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036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3682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2"/>
            <w:vMerge w:val="restart"/>
          </w:tcPr>
          <w:p>
            <w:pPr>
              <w:spacing w:after="0" w:line="238" w:lineRule="exact"/>
              <w:rPr>
                <w:rFonts w:ascii="Times New Roman" w:cs="Times New Roman" w:eastAsia="Times New Roman" w:hAnsi="Times New Roman"/>
                <w:sz w:val="21"/>
                <w:szCs w:val="21"/>
                <w:color w:val="0000EE"/>
                <w:w w:val="93"/>
              </w:rPr>
            </w:pPr>
            <w:hyperlink r:id="rId13">
              <w:r>
                <w:rPr>
                  <w:rFonts w:ascii="Times New Roman" w:cs="Times New Roman" w:eastAsia="Times New Roman" w:hAnsi="Times New Roman"/>
                  <w:sz w:val="21"/>
                  <w:szCs w:val="21"/>
                  <w:color w:val="0000EE"/>
                  <w:w w:val="93"/>
                </w:rPr>
                <w:t>Wehner Tony</w:t>
              </w:r>
            </w:hyperlink>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Dave &amp; Buster's Entertainment,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PLAY</w:t>
            </w:r>
          </w:p>
        </w:tc>
        <w:tc>
          <w:tcPr>
            <w:tcW w:w="12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100" w:type="dxa"/>
            <w:vAlign w:val="bottom"/>
            <w:tcBorders>
              <w:bottom w:val="single" w:sz="8" w:color="0000EE"/>
            </w:tcBorders>
            <w:gridSpan w:val="2"/>
            <w:vMerge w:val="continue"/>
          </w:tcPr>
          <w:p>
            <w:pPr>
              <w:spacing w:after="0"/>
              <w:rPr>
                <w:sz w:val="4"/>
                <w:szCs w:val="4"/>
                <w:color w:val="auto"/>
              </w:rPr>
            </w:pPr>
          </w:p>
        </w:tc>
        <w:tc>
          <w:tcPr>
            <w:tcW w:w="120" w:type="dxa"/>
            <w:vAlign w:val="bottom"/>
            <w:vMerge w:val="restart"/>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00" w:type="dxa"/>
            <w:vAlign w:val="bottom"/>
            <w:gridSpan w:val="4"/>
            <w:vMerge w:val="restart"/>
          </w:tcPr>
          <w:p>
            <w:pPr>
              <w:ind w:left="260"/>
              <w:spacing w:after="0" w:line="238" w:lineRule="exact"/>
              <w:rPr>
                <w:sz w:val="20"/>
                <w:szCs w:val="20"/>
                <w:color w:val="auto"/>
              </w:rPr>
            </w:pPr>
            <w:r>
              <w:rPr>
                <w:rFonts w:ascii="Times New Roman" w:cs="Times New Roman" w:eastAsia="Times New Roman" w:hAnsi="Times New Roman"/>
                <w:sz w:val="21"/>
                <w:szCs w:val="21"/>
                <w:color w:val="auto"/>
              </w:rPr>
              <w:t>]</w:t>
            </w: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100" w:type="dxa"/>
            <w:vAlign w:val="bottom"/>
            <w:gridSpan w:val="2"/>
          </w:tcPr>
          <w:p>
            <w:pPr>
              <w:spacing w:after="0"/>
              <w:rPr>
                <w:sz w:val="3"/>
                <w:szCs w:val="3"/>
                <w:color w:val="auto"/>
              </w:rPr>
            </w:pPr>
          </w:p>
        </w:tc>
        <w:tc>
          <w:tcPr>
            <w:tcW w:w="1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gridSpan w:val="4"/>
            <w:vMerge w:val="continue"/>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gridSpan w:val="4"/>
            <w:vMerge w:val="continue"/>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11"/>
                <w:szCs w:val="11"/>
                <w:color w:val="auto"/>
              </w:rPr>
            </w:pPr>
          </w:p>
        </w:tc>
        <w:tc>
          <w:tcPr>
            <w:tcW w:w="1480" w:type="dxa"/>
            <w:vAlign w:val="bottom"/>
            <w:gridSpan w:val="4"/>
          </w:tcPr>
          <w:p>
            <w:pPr>
              <w:ind w:left="220"/>
              <w:spacing w:after="0" w:line="135"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top w:val="single" w:sz="8" w:color="9A9A9A"/>
              <w:bottom w:val="single" w:sz="8" w:color="9A9A9A"/>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520" w:type="dxa"/>
            <w:vAlign w:val="bottom"/>
            <w:tcBorders>
              <w:top w:val="single" w:sz="8" w:color="9A9A9A"/>
            </w:tcBorders>
          </w:tcPr>
          <w:p>
            <w:pPr>
              <w:spacing w:after="0"/>
              <w:rPr>
                <w:sz w:val="9"/>
                <w:szCs w:val="9"/>
                <w:color w:val="auto"/>
              </w:rPr>
            </w:pPr>
          </w:p>
        </w:tc>
        <w:tc>
          <w:tcPr>
            <w:tcW w:w="120" w:type="dxa"/>
            <w:vAlign w:val="bottom"/>
            <w:tcBorders>
              <w:top w:val="single" w:sz="8" w:color="9A9A9A"/>
            </w:tcBorders>
          </w:tcPr>
          <w:p>
            <w:pPr>
              <w:spacing w:after="0"/>
              <w:rPr>
                <w:sz w:val="9"/>
                <w:szCs w:val="9"/>
                <w:color w:val="auto"/>
              </w:rPr>
            </w:pPr>
          </w:p>
        </w:tc>
        <w:tc>
          <w:tcPr>
            <w:tcW w:w="1220" w:type="dxa"/>
            <w:vAlign w:val="bottom"/>
            <w:tcBorders>
              <w:top w:val="single" w:sz="8" w:color="9A9A9A"/>
              <w:bottom w:val="single" w:sz="8" w:color="9A9A9A"/>
            </w:tcBorders>
            <w:gridSpan w:val="2"/>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tcBorders>
              <w:top w:val="single" w:sz="8" w:color="9A9A9A"/>
              <w:bottom w:val="single" w:sz="8" w:color="9A9A9A"/>
            </w:tcBorders>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Borders>
              <w:top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restart"/>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80" w:type="dxa"/>
            <w:vAlign w:val="bottom"/>
            <w:gridSpan w:val="6"/>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220"/>
              <w:spacing w:after="0"/>
              <w:rPr>
                <w:sz w:val="20"/>
                <w:szCs w:val="20"/>
                <w:color w:val="auto"/>
              </w:rPr>
            </w:pPr>
            <w:r>
              <w:rPr>
                <w:rFonts w:ascii="Times New Roman" w:cs="Times New Roman" w:eastAsia="Times New Roman" w:hAnsi="Times New Roman"/>
                <w:sz w:val="17"/>
                <w:szCs w:val="17"/>
                <w:color w:val="0000FF"/>
              </w:rPr>
              <w:t>Pres. Operations, Main Event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gridSpan w:val="6"/>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5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1221 S. BELT LINE RD., SUITE 500</w:t>
            </w:r>
          </w:p>
        </w:tc>
        <w:tc>
          <w:tcPr>
            <w:tcW w:w="1300" w:type="dxa"/>
            <w:vAlign w:val="bottom"/>
            <w:gridSpan w:val="5"/>
            <w:vMerge w:val="restart"/>
          </w:tcPr>
          <w:p>
            <w:pPr>
              <w:ind w:left="260"/>
              <w:spacing w:after="0"/>
              <w:rPr>
                <w:sz w:val="20"/>
                <w:szCs w:val="20"/>
                <w:color w:val="auto"/>
              </w:rPr>
            </w:pPr>
            <w:r>
              <w:rPr>
                <w:rFonts w:ascii="Times New Roman" w:cs="Times New Roman" w:eastAsia="Times New Roman" w:hAnsi="Times New Roman"/>
                <w:sz w:val="17"/>
                <w:szCs w:val="17"/>
                <w:color w:val="0000FF"/>
              </w:rPr>
              <w:t>04/24/2026</w:t>
            </w: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continue"/>
          </w:tcPr>
          <w:p>
            <w:pPr>
              <w:spacing w:after="0"/>
              <w:rPr>
                <w:sz w:val="11"/>
                <w:szCs w:val="11"/>
                <w:color w:val="auto"/>
              </w:rPr>
            </w:pPr>
          </w:p>
        </w:tc>
        <w:tc>
          <w:tcPr>
            <w:tcW w:w="1300" w:type="dxa"/>
            <w:vAlign w:val="bottom"/>
            <w:gridSpan w:val="5"/>
            <w:vMerge w:val="continue"/>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gridSpan w:val="4"/>
          </w:tcPr>
          <w:p>
            <w:pPr>
              <w:spacing w:after="0"/>
              <w:rPr>
                <w:sz w:val="9"/>
                <w:szCs w:val="9"/>
                <w:color w:val="auto"/>
              </w:rPr>
            </w:pPr>
          </w:p>
        </w:tc>
        <w:tc>
          <w:tcPr>
            <w:tcW w:w="2060" w:type="dxa"/>
            <w:vAlign w:val="bottom"/>
            <w:tcBorders>
              <w:bottom w:val="single" w:sz="8" w:color="2C2C2C"/>
            </w:tcBorders>
            <w:gridSpan w:val="4"/>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2980" w:type="dxa"/>
            <w:vAlign w:val="bottom"/>
            <w:tcBorders>
              <w:bottom w:val="single" w:sz="8" w:color="2C2C2C"/>
            </w:tcBorders>
            <w:gridSpan w:val="7"/>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35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12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20" w:type="dxa"/>
            <w:vAlign w:val="bottom"/>
            <w:gridSpan w:val="8"/>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gridSpan w:val="2"/>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COPPELL</w:t>
            </w: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75019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tcPr>
          <w:p>
            <w:pPr>
              <w:ind w:left="14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230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9"/>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134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6"/>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7"/>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020" w:type="dxa"/>
            <w:vAlign w:val="bottom"/>
            <w:gridSpan w:val="8"/>
          </w:tcPr>
          <w:p>
            <w:pPr>
              <w:ind w:left="120"/>
              <w:spacing w:after="0" w:line="128" w:lineRule="exact"/>
              <w:rPr>
                <w:sz w:val="20"/>
                <w:szCs w:val="20"/>
                <w:color w:val="auto"/>
              </w:rPr>
            </w:pPr>
            <w:r>
              <w:rPr>
                <w:rFonts w:ascii="Arial" w:cs="Arial" w:eastAsia="Arial" w:hAnsi="Arial"/>
                <w:sz w:val="12"/>
                <w:szCs w:val="12"/>
                <w:b w:val="1"/>
                <w:bCs w:val="1"/>
                <w:color w:val="auto"/>
                <w:w w:val="99"/>
              </w:rPr>
              <w:t>Disposed Of (D) (Instr. 3, 4 and 5)</w:t>
            </w: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5"/>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40" w:type="dxa"/>
            <w:vAlign w:val="bottom"/>
          </w:tcPr>
          <w:p>
            <w:pPr>
              <w:jc w:val="right"/>
              <w:ind w:right="11"/>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4"/>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jc w:val="right"/>
              <w:ind w:right="151"/>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20"/>
              <w:spacing w:after="0"/>
              <w:rPr>
                <w:sz w:val="20"/>
                <w:szCs w:val="20"/>
                <w:color w:val="auto"/>
              </w:rPr>
            </w:pPr>
            <w:r>
              <w:rPr>
                <w:rFonts w:ascii="Times New Roman" w:cs="Times New Roman" w:eastAsia="Times New Roman" w:hAnsi="Times New Roman"/>
                <w:sz w:val="17"/>
                <w:szCs w:val="17"/>
                <w:color w:val="0000FF"/>
              </w:rPr>
              <w:t>04/24/2026</w:t>
            </w: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10,153</w:t>
            </w:r>
            <w:r>
              <w:rPr>
                <w:rFonts w:ascii="Times New Roman" w:cs="Times New Roman" w:eastAsia="Times New Roman" w:hAnsi="Times New Roman"/>
                <w:sz w:val="21"/>
                <w:szCs w:val="21"/>
                <w:color w:val="008000"/>
                <w:vertAlign w:val="superscript"/>
              </w:rPr>
              <w:t>(1)</w:t>
            </w:r>
          </w:p>
        </w:tc>
        <w:tc>
          <w:tcPr>
            <w:tcW w:w="540" w:type="dxa"/>
            <w:vAlign w:val="bottom"/>
            <w:tcBorders>
              <w:bottom w:val="single" w:sz="8" w:color="2C2C2C"/>
            </w:tcBorders>
          </w:tcPr>
          <w:p>
            <w:pPr>
              <w:jc w:val="right"/>
              <w:ind w:right="71"/>
              <w:spacing w:after="0"/>
              <w:rPr>
                <w:sz w:val="20"/>
                <w:szCs w:val="20"/>
                <w:color w:val="auto"/>
              </w:rPr>
            </w:pPr>
            <w:r>
              <w:rPr>
                <w:rFonts w:ascii="Times New Roman" w:cs="Times New Roman" w:eastAsia="Times New Roman" w:hAnsi="Times New Roman"/>
                <w:sz w:val="17"/>
                <w:szCs w:val="17"/>
                <w:color w:val="0000FF"/>
              </w:rPr>
              <w:t>A</w:t>
            </w:r>
          </w:p>
        </w:tc>
        <w:tc>
          <w:tcPr>
            <w:tcW w:w="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86,893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20"/>
              <w:spacing w:after="0"/>
              <w:rPr>
                <w:sz w:val="20"/>
                <w:szCs w:val="20"/>
                <w:color w:val="auto"/>
              </w:rPr>
            </w:pPr>
            <w:r>
              <w:rPr>
                <w:rFonts w:ascii="Times New Roman" w:cs="Times New Roman" w:eastAsia="Times New Roman" w:hAnsi="Times New Roman"/>
                <w:sz w:val="17"/>
                <w:szCs w:val="17"/>
                <w:color w:val="0000FF"/>
              </w:rPr>
              <w:t>04/24/2026</w:t>
            </w: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jc w:val="center"/>
              <w:spacing w:after="0" w:line="309" w:lineRule="exact"/>
              <w:rPr>
                <w:sz w:val="20"/>
                <w:szCs w:val="20"/>
                <w:color w:val="auto"/>
              </w:rPr>
            </w:pPr>
            <w:r>
              <w:rPr>
                <w:rFonts w:ascii="Times New Roman" w:cs="Times New Roman" w:eastAsia="Times New Roman" w:hAnsi="Times New Roman"/>
                <w:sz w:val="33"/>
                <w:szCs w:val="33"/>
                <w:color w:val="0000FF"/>
                <w:vertAlign w:val="subscript"/>
              </w:rPr>
              <w:t>586</w:t>
            </w:r>
            <w:r>
              <w:rPr>
                <w:rFonts w:ascii="Times New Roman" w:cs="Times New Roman" w:eastAsia="Times New Roman" w:hAnsi="Times New Roman"/>
                <w:sz w:val="11"/>
                <w:szCs w:val="11"/>
                <w:color w:val="008000"/>
              </w:rPr>
              <w:t>(2)</w:t>
            </w:r>
          </w:p>
        </w:tc>
        <w:tc>
          <w:tcPr>
            <w:tcW w:w="1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ind w:right="71"/>
              <w:spacing w:after="0"/>
              <w:rPr>
                <w:sz w:val="20"/>
                <w:szCs w:val="20"/>
                <w:color w:val="auto"/>
              </w:rPr>
            </w:pPr>
            <w:r>
              <w:rPr>
                <w:rFonts w:ascii="Times New Roman" w:cs="Times New Roman" w:eastAsia="Times New Roman" w:hAnsi="Times New Roman"/>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12.33</w:t>
            </w: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86,307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19"/>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6"/>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130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Transaction   of</w:t>
            </w:r>
          </w:p>
        </w:tc>
        <w:tc>
          <w:tcPr>
            <w:tcW w:w="360" w:type="dxa"/>
            <w:vAlign w:val="bottom"/>
          </w:tcPr>
          <w:p>
            <w:pPr>
              <w:spacing w:after="0"/>
              <w:rPr>
                <w:sz w:val="11"/>
                <w:szCs w:val="11"/>
                <w:color w:val="auto"/>
              </w:rPr>
            </w:pP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of Securities</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line="129" w:lineRule="exact"/>
              <w:rPr>
                <w:sz w:val="20"/>
                <w:szCs w:val="20"/>
                <w:color w:val="auto"/>
              </w:rPr>
            </w:pPr>
            <w:r>
              <w:rPr>
                <w:rFonts w:ascii="Arial" w:cs="Arial" w:eastAsia="Arial" w:hAnsi="Arial"/>
                <w:sz w:val="12"/>
                <w:szCs w:val="12"/>
                <w:b w:val="1"/>
                <w:bCs w:val="1"/>
                <w:color w:val="auto"/>
                <w:w w:val="82"/>
              </w:rPr>
              <w:t>or</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line="129" w:lineRule="exact"/>
              <w:rPr>
                <w:sz w:val="20"/>
                <w:szCs w:val="20"/>
                <w:color w:val="auto"/>
              </w:rPr>
            </w:pPr>
            <w:r>
              <w:rPr>
                <w:rFonts w:ascii="Arial" w:cs="Arial" w:eastAsia="Arial" w:hAnsi="Arial"/>
                <w:sz w:val="12"/>
                <w:szCs w:val="12"/>
                <w:b w:val="1"/>
                <w:bCs w:val="1"/>
                <w:color w:val="auto"/>
                <w:w w:val="87"/>
              </w:rPr>
              <w:t>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12.33</w:t>
            </w:r>
          </w:p>
        </w:tc>
        <w:tc>
          <w:tcPr>
            <w:tcW w:w="140" w:type="dxa"/>
            <w:vAlign w:val="bottom"/>
          </w:tcPr>
          <w:p>
            <w:pPr>
              <w:spacing w:after="0"/>
              <w:rPr>
                <w:sz w:val="16"/>
                <w:szCs w:val="16"/>
                <w:color w:val="auto"/>
              </w:rPr>
            </w:pPr>
          </w:p>
        </w:tc>
        <w:tc>
          <w:tcPr>
            <w:tcW w:w="10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04/24/2026</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14,674</w:t>
            </w:r>
          </w:p>
        </w:tc>
        <w:tc>
          <w:tcPr>
            <w:tcW w:w="360" w:type="dxa"/>
            <w:vAlign w:val="bottom"/>
          </w:tcPr>
          <w:p>
            <w:pPr>
              <w:spacing w:after="0"/>
              <w:rPr>
                <w:sz w:val="16"/>
                <w:szCs w:val="16"/>
                <w:color w:val="auto"/>
              </w:rPr>
            </w:pP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spacing w:after="0"/>
              <w:rPr>
                <w:sz w:val="20"/>
                <w:szCs w:val="20"/>
                <w:color w:val="auto"/>
              </w:rPr>
            </w:pPr>
            <w:r>
              <w:rPr>
                <w:rFonts w:ascii="Times New Roman" w:cs="Times New Roman" w:eastAsia="Times New Roman" w:hAnsi="Times New Roman"/>
                <w:sz w:val="13"/>
                <w:szCs w:val="13"/>
                <w:color w:val="0000FF"/>
              </w:rPr>
              <w:t>04/24/2036</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3"/>
          </w:tcPr>
          <w:p>
            <w:pPr>
              <w:spacing w:after="0" w:line="194" w:lineRule="exact"/>
              <w:rPr>
                <w:sz w:val="20"/>
                <w:szCs w:val="20"/>
                <w:color w:val="auto"/>
              </w:rPr>
            </w:pPr>
            <w:r>
              <w:rPr>
                <w:rFonts w:ascii="Times New Roman" w:cs="Times New Roman" w:eastAsia="Times New Roman" w:hAnsi="Times New Roman"/>
                <w:sz w:val="17"/>
                <w:szCs w:val="17"/>
                <w:color w:val="0000FF"/>
              </w:rPr>
              <w:t>14,674</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14,674</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ind w:right="151"/>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4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granted to the reporting person under the Dave &amp; Buster's Entertainment, Inc. 2025 Omnibus Incentive Plan (the "Plan"). The restricted stock units will vest in three equal annual installements on each of April 24, 2027, 2028 and 2029.</w:t>
      </w:r>
    </w:p>
    <w:p>
      <w:pPr>
        <w:spacing w:after="0" w:line="17" w:lineRule="exact"/>
        <w:rPr>
          <w:rFonts w:ascii="Times New Roman" w:cs="Times New Roman" w:eastAsia="Times New Roman" w:hAnsi="Times New Roman"/>
          <w:sz w:val="13"/>
          <w:szCs w:val="13"/>
          <w:color w:val="008000"/>
        </w:rPr>
      </w:pPr>
    </w:p>
    <w:p>
      <w:pPr>
        <w:ind w:left="40" w:right="2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by Dave &amp; Buster's Entertainment, Inc. to satisfy tax withholding obligations in connection with the vesting of restricted stock units. No shares were sold in this transaction.</w:t>
      </w:r>
    </w:p>
    <w:p>
      <w:pPr>
        <w:spacing w:after="0" w:line="17" w:lineRule="exact"/>
        <w:rPr>
          <w:rFonts w:ascii="Times New Roman" w:cs="Times New Roman" w:eastAsia="Times New Roman" w:hAnsi="Times New Roman"/>
          <w:sz w:val="13"/>
          <w:szCs w:val="13"/>
          <w:color w:val="008000"/>
        </w:rPr>
      </w:pPr>
    </w:p>
    <w:p>
      <w:pPr>
        <w:ind w:left="40" w:right="4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granted to the reporting person under the Plan. The shares underlying these stock options will vest and become exercisable in three equal annual installments on each of April 24, 2027, 2028 and 2029.</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Sherri M. Smith, Attorney-in-</w:t>
            </w:r>
          </w:p>
        </w:tc>
        <w:tc>
          <w:tcPr>
            <w:tcW w:w="2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04/28/2026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40086" TargetMode="External"/><Relationship Id="rId14" Type="http://schemas.openxmlformats.org/officeDocument/2006/relationships/hyperlink" Target="http://www.sec.gov/cgi-bin/browse-edgar?action=getcompany&amp;CIK=00015257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2026-04-28T19:30:11Z</dcterms:created>
  <dcterms:modified xsi:type="dcterms:W3CDTF">2026-04-28T19:30:11Z</dcterms:modified>
</cp:coreProperties>
</file>