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865505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890905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(Amendment No. )</w:t>
      </w:r>
    </w:p>
    <w:p>
      <w:pPr>
        <w:spacing w:after="0" w:line="5"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6" w:lineRule="exact"/>
        <w:rPr>
          <w:sz w:val="24"/>
          <w:szCs w:val="24"/>
          <w:color w:val="auto"/>
        </w:rPr>
      </w:pPr>
    </w:p>
    <w:p>
      <w:pPr>
        <w:ind w:left="480" w:hanging="455"/>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313" w:lineRule="exact"/>
        <w:rPr>
          <w:rFonts w:ascii="Wingdings" w:cs="Wingdings" w:eastAsia="Wingdings" w:hAnsi="Wingdings"/>
          <w:sz w:val="18"/>
          <w:szCs w:val="18"/>
          <w:b w:val="1"/>
          <w:bCs w:val="1"/>
          <w:color w:val="auto"/>
        </w:rPr>
      </w:pPr>
    </w:p>
    <w:p>
      <w:pPr>
        <w:ind w:left="480" w:hanging="455"/>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21" w:lineRule="exact"/>
        <w:rPr>
          <w:sz w:val="24"/>
          <w:szCs w:val="24"/>
          <w:color w:val="auto"/>
        </w:rPr>
      </w:pPr>
    </w:p>
    <w:p>
      <w:pPr>
        <w:ind w:left="480" w:hanging="455"/>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317" w:lineRule="exact"/>
        <w:rPr>
          <w:sz w:val="24"/>
          <w:szCs w:val="24"/>
          <w:color w:val="auto"/>
        </w:rPr>
      </w:pPr>
    </w:p>
    <w:p>
      <w:pPr>
        <w:ind w:left="480" w:hanging="455"/>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317" w:lineRule="exact"/>
        <w:rPr>
          <w:rFonts w:ascii="Wingdings" w:cs="Wingdings" w:eastAsia="Wingdings" w:hAnsi="Wingdings"/>
          <w:sz w:val="18"/>
          <w:szCs w:val="18"/>
          <w:b w:val="1"/>
          <w:bCs w:val="1"/>
          <w:color w:val="auto"/>
        </w:rPr>
      </w:pPr>
    </w:p>
    <w:p>
      <w:pPr>
        <w:ind w:left="480" w:hanging="455"/>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Rule 14a-12</w:t>
      </w:r>
    </w:p>
    <w:p>
      <w:pPr>
        <w:spacing w:after="0" w:line="26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8"/>
          <w:szCs w:val="38"/>
          <w:b w:val="1"/>
          <w:bCs w:val="1"/>
          <w:color w:val="auto"/>
        </w:rPr>
        <w:t>DAVE &amp; BUSTER’S ENTERTAINMENT, INC.</w:t>
      </w:r>
    </w:p>
    <w:p>
      <w:pPr>
        <w:spacing w:after="0" w:line="7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72"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36" w:lineRule="exact"/>
        <w:rPr>
          <w:sz w:val="24"/>
          <w:szCs w:val="24"/>
          <w:color w:val="auto"/>
        </w:rPr>
      </w:pPr>
    </w:p>
    <w:p>
      <w:pPr>
        <w:ind w:left="480" w:hanging="455"/>
        <w:spacing w:after="0"/>
        <w:tabs>
          <w:tab w:leader="none" w:pos="4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317" w:lineRule="exact"/>
        <w:rPr>
          <w:sz w:val="24"/>
          <w:szCs w:val="24"/>
          <w:color w:val="auto"/>
        </w:rPr>
      </w:pPr>
    </w:p>
    <w:p>
      <w:pPr>
        <w:ind w:left="480" w:hanging="455"/>
        <w:spacing w:after="0"/>
        <w:tabs>
          <w:tab w:leader="none" w:pos="4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317" w:lineRule="exact"/>
        <w:rPr>
          <w:rFonts w:ascii="Wingdings" w:cs="Wingdings" w:eastAsia="Wingdings" w:hAnsi="Wingdings"/>
          <w:sz w:val="18"/>
          <w:szCs w:val="18"/>
          <w:b w:val="1"/>
          <w:bCs w:val="1"/>
          <w:color w:val="auto"/>
        </w:rPr>
      </w:pPr>
    </w:p>
    <w:p>
      <w:pPr>
        <w:ind w:left="480" w:hanging="455"/>
        <w:spacing w:after="0"/>
        <w:tabs>
          <w:tab w:leader="none" w:pos="4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891540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229870</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255905</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2443480</wp:posOffset>
            </wp:positionH>
            <wp:positionV relativeFrom="page">
              <wp:posOffset>831215</wp:posOffset>
            </wp:positionV>
            <wp:extent cx="2670810" cy="2158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670810" cy="2158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15"/>
          <w:szCs w:val="115"/>
          <w:color w:val="253C60"/>
        </w:rPr>
        <w:t>2026</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003B71"/>
        </w:rPr>
        <w:t>NOTICE OF ANNUAL MEETING</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003B71"/>
        </w:rPr>
        <w:t>AND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53C60"/>
        </w:rPr>
        <w:t>Thursday, June 18, 2026</w:t>
      </w:r>
      <w:r>
        <w:rPr>
          <w:rFonts w:ascii="Arial" w:cs="Arial" w:eastAsia="Arial" w:hAnsi="Arial"/>
          <w:sz w:val="25"/>
          <w:szCs w:val="25"/>
          <w:b w:val="1"/>
          <w:bCs w:val="1"/>
          <w:color w:val="003B71"/>
        </w:rPr>
        <w:t>, 4:30 p.m., Central Daylight Time</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003B71"/>
        </w:rPr>
        <w:t xml:space="preserve">Virtual Meeting – for details visit </w:t>
      </w:r>
      <w:r>
        <w:rPr>
          <w:rFonts w:ascii="Arial" w:cs="Arial" w:eastAsia="Arial" w:hAnsi="Arial"/>
          <w:sz w:val="24"/>
          <w:szCs w:val="24"/>
          <w:b w:val="1"/>
          <w:bCs w:val="1"/>
          <w:i w:val="1"/>
          <w:iCs w:val="1"/>
          <w:color w:val="003B71"/>
        </w:rPr>
        <w:t>www.meetnow.global/MRYSKX5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579120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3074670</wp:posOffset>
            </wp:positionH>
            <wp:positionV relativeFrom="page">
              <wp:posOffset>831215</wp:posOffset>
            </wp:positionV>
            <wp:extent cx="1407795" cy="1083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07795" cy="1083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253C60"/>
        </w:rPr>
        <w:t>May 6,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 of Directors, it is my pleasure to cordially invite you to participate in the 2026 Annual Meeting of Shareholders of Dave</w:t>
      </w:r>
    </w:p>
    <w:p>
      <w:pPr>
        <w:spacing w:after="0" w:line="26" w:lineRule="exact"/>
        <w:rPr>
          <w:sz w:val="20"/>
          <w:szCs w:val="20"/>
          <w:color w:val="auto"/>
        </w:rPr>
      </w:pPr>
    </w:p>
    <w:p>
      <w:pPr>
        <w:jc w:val="both"/>
        <w:ind w:firstLine="7"/>
        <w:spacing w:after="0" w:line="252" w:lineRule="auto"/>
        <w:tabs>
          <w:tab w:leader="none" w:pos="19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Buster’s Entertainment, Inc. (the “Annual Meeting”) on June 18, 2026, at 4:30 p.m. Central Daylight Time. The Annual Meeting will be conducted solely online via live webcast at </w:t>
      </w:r>
      <w:r>
        <w:rPr>
          <w:rFonts w:ascii="Arial" w:cs="Arial" w:eastAsia="Arial" w:hAnsi="Arial"/>
          <w:sz w:val="18"/>
          <w:szCs w:val="18"/>
          <w:i w:val="1"/>
          <w:iCs w:val="1"/>
          <w:color w:val="auto"/>
        </w:rPr>
        <w:t>www.meetnow.global/MRYSKX5</w:t>
      </w:r>
      <w:r>
        <w:rPr>
          <w:rFonts w:ascii="Arial" w:cs="Arial" w:eastAsia="Arial" w:hAnsi="Arial"/>
          <w:sz w:val="18"/>
          <w:szCs w:val="18"/>
          <w:color w:val="auto"/>
        </w:rPr>
        <w:t>. You will be able to listen to the Annual Meeting online, vote your shares electronically and submit your questions prior to and during the Annual Meeting. Please check in early to ensure that you can access the Annual Meeting on your computer or other electronic device. You will find information regarding the matters expected to be addressed at the Annual Meeting described in detail in the accompanying Notice of Annual Meeting of Shareholders and Proxy Statement. There is no physical location for the Annual Meeting.</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Your vote is important to us. While we invite you to listen online to the Annual Meeting and exercise your right to vote your shares online during the Annual Meeting, we recognize that many of you may not be able to listen or may choose not to do so. Whether or not you plan to listen, we respectfully request you vote as soon as possible over the internet, by telephone, or, upon your request, after receipt of paper copies of the proxy materials. </w:t>
      </w:r>
      <w:r>
        <w:rPr>
          <w:rFonts w:ascii="Arial" w:cs="Arial" w:eastAsia="Arial" w:hAnsi="Arial"/>
          <w:sz w:val="18"/>
          <w:szCs w:val="18"/>
          <w:b w:val="1"/>
          <w:bCs w:val="1"/>
          <w:color w:val="auto"/>
        </w:rPr>
        <w:t>We encourage you to vote by internet.</w:t>
      </w:r>
      <w:r>
        <w:rPr>
          <w:rFonts w:ascii="Arial" w:cs="Arial" w:eastAsia="Arial" w:hAnsi="Arial"/>
          <w:sz w:val="18"/>
          <w:szCs w:val="18"/>
          <w:color w:val="auto"/>
        </w:rPr>
        <w:t xml:space="preserve"> Your vote will mean that you are represented at the Annual Meeting regardless of whether you participate online during the Annual Meeting. You may also request a paper copy of the proxy card to submit your vote if you prefer. If you have voted by internet, by mail or by telephone and later decide to attend the Annual Meeting virtually, you may do so and vote during the Annual Meeting.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Thank you for being a shareholder and we look forward to seeing you at the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930275" cy="5975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30275"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Tarun Lal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564515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651510</wp:posOffset>
            </wp:positionH>
            <wp:positionV relativeFrom="page">
              <wp:posOffset>848360</wp:posOffset>
            </wp:positionV>
            <wp:extent cx="1407795" cy="1083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07795" cy="1083310"/>
                    </a:xfrm>
                    <a:prstGeom prst="rect">
                      <a:avLst/>
                    </a:prstGeom>
                    <a:noFill/>
                  </pic:spPr>
                </pic:pic>
              </a:graphicData>
            </a:graphic>
          </wp:anchor>
        </w:drawing>
      </w:r>
    </w:p>
    <w:p>
      <w:pPr>
        <w:spacing w:after="0" w:line="25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003B71"/>
        </w:rPr>
        <w:t>DAVE &amp; BUSTER’S ENTERTAINMENT, INC.</w:t>
      </w:r>
    </w:p>
    <w:p>
      <w:pPr>
        <w:spacing w:after="0" w:line="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1221 S. Belt Line Road, #500</w:t>
      </w:r>
    </w:p>
    <w:p>
      <w:pPr>
        <w:ind w:left="3640"/>
        <w:spacing w:after="0"/>
        <w:rPr>
          <w:sz w:val="20"/>
          <w:szCs w:val="20"/>
          <w:color w:val="auto"/>
        </w:rPr>
      </w:pPr>
      <w:r>
        <w:rPr>
          <w:rFonts w:ascii="Arial" w:cs="Arial" w:eastAsia="Arial" w:hAnsi="Arial"/>
          <w:sz w:val="18"/>
          <w:szCs w:val="18"/>
          <w:color w:val="auto"/>
        </w:rPr>
        <w:t>Coppell, Texas 75019</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39"/>
          <w:szCs w:val="39"/>
          <w:color w:val="003B71"/>
        </w:rPr>
        <w:t>NOTICE OF ANNUAL MEETING</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39"/>
          <w:szCs w:val="39"/>
          <w:color w:val="003B71"/>
        </w:rPr>
        <w:t>OF SHAREHOLDERS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83"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NOTICE IS HEREBY GIVEN that the 2026 Annual Meeting of Shareholders of Dave &amp; Buster’s Entertainment, Inc. (the “Annual Meeting”) will be held virtually at the time and location noted below for the following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3656330</wp:posOffset>
            </wp:positionH>
            <wp:positionV relativeFrom="paragraph">
              <wp:posOffset>109220</wp:posOffset>
            </wp:positionV>
            <wp:extent cx="3481070" cy="2065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1070" cy="20650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80" w:type="dxa"/>
            <w:vAlign w:val="bottom"/>
            <w:shd w:val="clear" w:color="auto" w:fill="003B71"/>
          </w:tcPr>
          <w:p>
            <w:pPr>
              <w:ind w:left="20"/>
              <w:spacing w:after="0"/>
              <w:rPr>
                <w:sz w:val="20"/>
                <w:szCs w:val="20"/>
                <w:color w:val="auto"/>
              </w:rPr>
            </w:pPr>
            <w:r>
              <w:rPr>
                <w:rFonts w:ascii="Arial" w:cs="Arial" w:eastAsia="Arial" w:hAnsi="Arial"/>
                <w:sz w:val="18"/>
                <w:szCs w:val="18"/>
                <w:b w:val="1"/>
                <w:bCs w:val="1"/>
                <w:color w:val="FFFFFF"/>
              </w:rPr>
              <w:t>When:</w:t>
            </w:r>
          </w:p>
        </w:tc>
        <w:tc>
          <w:tcPr>
            <w:tcW w:w="4240" w:type="dxa"/>
            <w:vAlign w:val="bottom"/>
            <w:shd w:val="clear" w:color="auto" w:fill="003B71"/>
          </w:tcPr>
          <w:p>
            <w:pPr>
              <w:ind w:left="60"/>
              <w:spacing w:after="0"/>
              <w:rPr>
                <w:sz w:val="20"/>
                <w:szCs w:val="20"/>
                <w:color w:val="auto"/>
              </w:rPr>
            </w:pPr>
            <w:r>
              <w:rPr>
                <w:rFonts w:ascii="Arial" w:cs="Arial" w:eastAsia="Arial" w:hAnsi="Arial"/>
                <w:sz w:val="18"/>
                <w:szCs w:val="18"/>
                <w:color w:val="FFFFFF"/>
              </w:rPr>
              <w:t>4:30 p.m.</w:t>
            </w:r>
          </w:p>
        </w:tc>
      </w:tr>
      <w:tr>
        <w:trPr>
          <w:trHeight w:val="215"/>
        </w:trPr>
        <w:tc>
          <w:tcPr>
            <w:tcW w:w="1280" w:type="dxa"/>
            <w:vAlign w:val="bottom"/>
            <w:shd w:val="clear" w:color="auto" w:fill="003B71"/>
          </w:tcPr>
          <w:p>
            <w:pPr>
              <w:spacing w:after="0"/>
              <w:rPr>
                <w:sz w:val="18"/>
                <w:szCs w:val="18"/>
                <w:color w:val="auto"/>
              </w:rPr>
            </w:pPr>
          </w:p>
        </w:tc>
        <w:tc>
          <w:tcPr>
            <w:tcW w:w="4240" w:type="dxa"/>
            <w:vAlign w:val="bottom"/>
            <w:shd w:val="clear" w:color="auto" w:fill="003B71"/>
          </w:tcPr>
          <w:p>
            <w:pPr>
              <w:ind w:left="60"/>
              <w:spacing w:after="0"/>
              <w:rPr>
                <w:sz w:val="20"/>
                <w:szCs w:val="20"/>
                <w:color w:val="auto"/>
              </w:rPr>
            </w:pPr>
            <w:r>
              <w:rPr>
                <w:rFonts w:ascii="Arial" w:cs="Arial" w:eastAsia="Arial" w:hAnsi="Arial"/>
                <w:sz w:val="18"/>
                <w:szCs w:val="18"/>
                <w:color w:val="FFFFFF"/>
              </w:rPr>
              <w:t>Central Daylight Time</w:t>
            </w:r>
          </w:p>
        </w:tc>
      </w:tr>
      <w:tr>
        <w:trPr>
          <w:trHeight w:val="238"/>
        </w:trPr>
        <w:tc>
          <w:tcPr>
            <w:tcW w:w="1280" w:type="dxa"/>
            <w:vAlign w:val="bottom"/>
            <w:shd w:val="clear" w:color="auto" w:fill="003B71"/>
          </w:tcPr>
          <w:p>
            <w:pPr>
              <w:spacing w:after="0"/>
              <w:rPr>
                <w:sz w:val="20"/>
                <w:szCs w:val="20"/>
                <w:color w:val="auto"/>
              </w:rPr>
            </w:pPr>
          </w:p>
        </w:tc>
        <w:tc>
          <w:tcPr>
            <w:tcW w:w="4240" w:type="dxa"/>
            <w:vAlign w:val="bottom"/>
            <w:shd w:val="clear" w:color="auto" w:fill="003B71"/>
          </w:tcPr>
          <w:p>
            <w:pPr>
              <w:ind w:left="60"/>
              <w:spacing w:after="0"/>
              <w:rPr>
                <w:sz w:val="20"/>
                <w:szCs w:val="20"/>
                <w:color w:val="auto"/>
              </w:rPr>
            </w:pPr>
            <w:r>
              <w:rPr>
                <w:rFonts w:ascii="Arial" w:cs="Arial" w:eastAsia="Arial" w:hAnsi="Arial"/>
                <w:sz w:val="18"/>
                <w:szCs w:val="18"/>
                <w:color w:val="FFFFFF"/>
              </w:rPr>
              <w:t>Thursday, June 18, 2026</w:t>
            </w:r>
          </w:p>
        </w:tc>
      </w:tr>
      <w:tr>
        <w:trPr>
          <w:trHeight w:val="309"/>
        </w:trPr>
        <w:tc>
          <w:tcPr>
            <w:tcW w:w="1280" w:type="dxa"/>
            <w:vAlign w:val="bottom"/>
            <w:shd w:val="clear" w:color="auto" w:fill="003B71"/>
          </w:tcPr>
          <w:p>
            <w:pPr>
              <w:ind w:left="20"/>
              <w:spacing w:after="0"/>
              <w:rPr>
                <w:sz w:val="20"/>
                <w:szCs w:val="20"/>
                <w:color w:val="auto"/>
              </w:rPr>
            </w:pPr>
            <w:r>
              <w:rPr>
                <w:rFonts w:ascii="Arial" w:cs="Arial" w:eastAsia="Arial" w:hAnsi="Arial"/>
                <w:sz w:val="18"/>
                <w:szCs w:val="18"/>
                <w:color w:val="FFFFFF"/>
              </w:rPr>
              <w:t>Where:</w:t>
            </w:r>
          </w:p>
        </w:tc>
        <w:tc>
          <w:tcPr>
            <w:tcW w:w="4240" w:type="dxa"/>
            <w:vAlign w:val="bottom"/>
            <w:shd w:val="clear" w:color="auto" w:fill="003B71"/>
          </w:tcPr>
          <w:p>
            <w:pPr>
              <w:ind w:left="60"/>
              <w:spacing w:after="0"/>
              <w:rPr>
                <w:sz w:val="20"/>
                <w:szCs w:val="20"/>
                <w:color w:val="auto"/>
              </w:rPr>
            </w:pPr>
            <w:r>
              <w:rPr>
                <w:rFonts w:ascii="Arial" w:cs="Arial" w:eastAsia="Arial" w:hAnsi="Arial"/>
                <w:sz w:val="18"/>
                <w:szCs w:val="18"/>
                <w:color w:val="FFFFFF"/>
              </w:rPr>
              <w:t>The Annual Meeting will be held virtually.</w:t>
            </w:r>
          </w:p>
        </w:tc>
      </w:tr>
      <w:tr>
        <w:trPr>
          <w:trHeight w:val="322"/>
        </w:trPr>
        <w:tc>
          <w:tcPr>
            <w:tcW w:w="1280" w:type="dxa"/>
            <w:vAlign w:val="bottom"/>
            <w:shd w:val="clear" w:color="auto" w:fill="003B71"/>
          </w:tcPr>
          <w:p>
            <w:pPr>
              <w:ind w:left="20"/>
              <w:spacing w:after="0"/>
              <w:rPr>
                <w:sz w:val="20"/>
                <w:szCs w:val="20"/>
                <w:color w:val="auto"/>
              </w:rPr>
            </w:pPr>
            <w:r>
              <w:rPr>
                <w:rFonts w:ascii="Arial" w:cs="Arial" w:eastAsia="Arial" w:hAnsi="Arial"/>
                <w:sz w:val="18"/>
                <w:szCs w:val="18"/>
                <w:color w:val="FFFFFF"/>
              </w:rPr>
              <w:t>Webpage:</w:t>
            </w:r>
          </w:p>
        </w:tc>
        <w:tc>
          <w:tcPr>
            <w:tcW w:w="4240" w:type="dxa"/>
            <w:vAlign w:val="bottom"/>
            <w:shd w:val="clear" w:color="auto" w:fill="003B71"/>
          </w:tcPr>
          <w:p>
            <w:pPr>
              <w:ind w:left="60"/>
              <w:spacing w:after="0"/>
              <w:rPr>
                <w:sz w:val="20"/>
                <w:szCs w:val="20"/>
                <w:color w:val="auto"/>
              </w:rPr>
            </w:pPr>
            <w:r>
              <w:rPr>
                <w:rFonts w:ascii="Arial" w:cs="Arial" w:eastAsia="Arial" w:hAnsi="Arial"/>
                <w:sz w:val="18"/>
                <w:szCs w:val="18"/>
                <w:i w:val="1"/>
                <w:iCs w:val="1"/>
                <w:color w:val="FFFFFF"/>
              </w:rPr>
              <w:t>www.meetnow.global/MRYSKX5</w:t>
            </w:r>
          </w:p>
        </w:tc>
      </w:tr>
      <w:tr>
        <w:trPr>
          <w:trHeight w:val="332"/>
        </w:trPr>
        <w:tc>
          <w:tcPr>
            <w:tcW w:w="1280" w:type="dxa"/>
            <w:vAlign w:val="bottom"/>
            <w:shd w:val="clear" w:color="auto" w:fill="003B71"/>
          </w:tcPr>
          <w:p>
            <w:pPr>
              <w:spacing w:after="0"/>
              <w:rPr>
                <w:sz w:val="24"/>
                <w:szCs w:val="24"/>
                <w:color w:val="auto"/>
              </w:rPr>
            </w:pPr>
          </w:p>
        </w:tc>
        <w:tc>
          <w:tcPr>
            <w:tcW w:w="4240" w:type="dxa"/>
            <w:vAlign w:val="bottom"/>
            <w:shd w:val="clear" w:color="auto" w:fill="003B7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3498215" cy="1023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8215" cy="102362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B71"/>
        </w:rPr>
        <w:t>Who Can Vote:</w:t>
      </w:r>
    </w:p>
    <w:p>
      <w:pPr>
        <w:spacing w:after="0" w:line="265" w:lineRule="exact"/>
        <w:rPr>
          <w:sz w:val="20"/>
          <w:szCs w:val="20"/>
          <w:color w:val="auto"/>
        </w:rPr>
      </w:pPr>
    </w:p>
    <w:p>
      <w:pPr>
        <w:jc w:val="both"/>
        <w:ind w:left="20" w:right="360"/>
        <w:spacing w:after="0" w:line="253" w:lineRule="auto"/>
        <w:rPr>
          <w:sz w:val="20"/>
          <w:szCs w:val="20"/>
          <w:color w:val="auto"/>
        </w:rPr>
      </w:pPr>
      <w:r>
        <w:rPr>
          <w:rFonts w:ascii="Arial" w:cs="Arial" w:eastAsia="Arial" w:hAnsi="Arial"/>
          <w:sz w:val="18"/>
          <w:szCs w:val="18"/>
          <w:b w:val="1"/>
          <w:bCs w:val="1"/>
          <w:i w:val="1"/>
          <w:iCs w:val="1"/>
          <w:color w:val="003B71"/>
        </w:rPr>
        <w:t>Only shareholders of record at the close of business on April 23, 2026 are entitled to notice of, and to vote at, the Annual Meeting or any adjournment or postponement thereof.</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003B71"/>
        </w:rPr>
        <w:t>Items of Business:</w:t>
      </w:r>
    </w:p>
    <w:p>
      <w:pPr>
        <w:spacing w:after="0" w:line="62" w:lineRule="exact"/>
        <w:rPr>
          <w:sz w:val="20"/>
          <w:szCs w:val="20"/>
          <w:color w:val="auto"/>
        </w:rPr>
      </w:pPr>
    </w:p>
    <w:p>
      <w:pPr>
        <w:jc w:val="both"/>
        <w:ind w:left="324" w:right="20" w:hanging="324"/>
        <w:spacing w:after="0" w:line="261" w:lineRule="auto"/>
        <w:tabs>
          <w:tab w:leader="none" w:pos="319"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elect seven (7) directors, each to serve until the 2027 annual meeting of shareholders and until his successor has been elected and qualified, or until his earlier death, resignation or removal.</w:t>
      </w:r>
    </w:p>
    <w:p>
      <w:pPr>
        <w:spacing w:after="0" w:line="13" w:lineRule="exact"/>
        <w:rPr>
          <w:rFonts w:ascii="Arial" w:cs="Arial" w:eastAsia="Arial" w:hAnsi="Arial"/>
          <w:sz w:val="18"/>
          <w:szCs w:val="18"/>
          <w:color w:val="003B71"/>
        </w:rPr>
      </w:pPr>
    </w:p>
    <w:p>
      <w:pPr>
        <w:ind w:left="324" w:right="20" w:hanging="324"/>
        <w:spacing w:after="0" w:line="280" w:lineRule="auto"/>
        <w:tabs>
          <w:tab w:leader="none" w:pos="319"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ratify the appointment of KPMG LLP as our independent registered public accounting firm for fiscal 2026.</w:t>
      </w:r>
    </w:p>
    <w:p>
      <w:pPr>
        <w:ind w:left="324" w:right="20" w:hanging="324"/>
        <w:spacing w:after="0" w:line="280" w:lineRule="auto"/>
        <w:tabs>
          <w:tab w:leader="none" w:pos="319"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approve, on an advisory basis, the compensation of our named executive officers.</w:t>
      </w:r>
    </w:p>
    <w:p>
      <w:pPr>
        <w:jc w:val="both"/>
        <w:ind w:left="324" w:right="20" w:hanging="324"/>
        <w:spacing w:after="0" w:line="267" w:lineRule="auto"/>
        <w:tabs>
          <w:tab w:leader="none" w:pos="319" w:val="left"/>
        </w:tabs>
        <w:numPr>
          <w:ilvl w:val="0"/>
          <w:numId w:val="7"/>
        </w:numPr>
        <w:rPr>
          <w:rFonts w:ascii="Arial" w:cs="Arial" w:eastAsia="Arial" w:hAnsi="Arial"/>
          <w:sz w:val="18"/>
          <w:szCs w:val="18"/>
          <w:color w:val="003B71"/>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612" w:lineRule="exact"/>
        <w:rPr>
          <w:sz w:val="20"/>
          <w:szCs w:val="20"/>
          <w:color w:val="auto"/>
        </w:rPr>
      </w:pPr>
    </w:p>
    <w:p>
      <w:pPr>
        <w:sectPr>
          <w:pgSz w:w="11900" w:h="16838" w:orient="portrait"/>
          <w:cols w:equalWidth="0" w:num="2">
            <w:col w:w="5520" w:space="256"/>
            <w:col w:w="5464"/>
          </w:cols>
          <w:pgMar w:left="320" w:top="1440" w:right="339" w:bottom="1440" w:gutter="0" w:footer="0" w:header="0"/>
          <w:type w:val="continuous"/>
        </w:sectPr>
      </w:pPr>
    </w:p>
    <w:p>
      <w:pPr>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129"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Beginning on or around May 6, 2026, we sent a Notice Regarding the Availability of Proxy Materials to all shareholders entitled to vote at the Annual Meeting, together with instructions on how to access our proxy materials over the internet and how to vote.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1569720" cy="469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9720" cy="46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Rodolfo Rodriguez, Jr.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Legal Officer and Corporate Secretary</w:t>
      </w:r>
    </w:p>
    <w:p>
      <w:pPr>
        <w:spacing w:after="0" w:line="353" w:lineRule="exact"/>
        <w:rPr>
          <w:sz w:val="20"/>
          <w:szCs w:val="20"/>
          <w:color w:val="auto"/>
        </w:rPr>
      </w:pPr>
    </w:p>
    <w:p>
      <w:pPr>
        <w:jc w:val="center"/>
        <w:ind w:left="340"/>
        <w:spacing w:after="0" w:line="294"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JUNE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65405</wp:posOffset>
            </wp:positionV>
            <wp:extent cx="7141210" cy="324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324485"/>
                    </a:xfrm>
                    <a:prstGeom prst="rect">
                      <a:avLst/>
                    </a:prstGeom>
                    <a:noFill/>
                  </pic:spPr>
                </pic:pic>
              </a:graphicData>
            </a:graphic>
          </wp:anchor>
        </w:drawing>
      </w:r>
    </w:p>
    <w:p>
      <w:pPr>
        <w:spacing w:after="0" w:line="104" w:lineRule="exact"/>
        <w:rPr>
          <w:sz w:val="20"/>
          <w:szCs w:val="20"/>
          <w:color w:val="auto"/>
        </w:rPr>
      </w:pPr>
    </w:p>
    <w:p>
      <w:pPr>
        <w:jc w:val="center"/>
        <w:ind w:left="340" w:right="60"/>
        <w:spacing w:after="0" w:line="285" w:lineRule="auto"/>
        <w:rPr>
          <w:sz w:val="20"/>
          <w:szCs w:val="20"/>
          <w:color w:val="auto"/>
        </w:rPr>
      </w:pPr>
      <w:r>
        <w:rPr>
          <w:rFonts w:ascii="Arial" w:cs="Arial" w:eastAsia="Arial" w:hAnsi="Arial"/>
          <w:sz w:val="18"/>
          <w:szCs w:val="18"/>
          <w:color w:val="auto"/>
        </w:rPr>
        <w:t xml:space="preserve">As permitted by the “Notice and Access” rules of the Securities and Exchange Commission, we are making this Notice, the Proxy Statement, the Proxy Card and the 2025 Annual Report available at </w:t>
      </w:r>
      <w:r>
        <w:rPr>
          <w:rFonts w:ascii="Arial" w:cs="Arial" w:eastAsia="Arial" w:hAnsi="Arial"/>
          <w:sz w:val="18"/>
          <w:szCs w:val="18"/>
          <w:i w:val="1"/>
          <w:iCs w:val="1"/>
          <w:color w:val="auto"/>
        </w:rPr>
        <w:t>www.envisionreports.com/play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617220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3440"/>
        <w:spacing w:after="0"/>
        <w:rPr>
          <w:sz w:val="20"/>
          <w:szCs w:val="20"/>
          <w:color w:val="auto"/>
        </w:rPr>
      </w:pPr>
      <w:r>
        <w:rPr>
          <w:rFonts w:ascii="Arial" w:cs="Arial" w:eastAsia="Arial" w:hAnsi="Arial"/>
          <w:sz w:val="21"/>
          <w:szCs w:val="21"/>
          <w:b w:val="1"/>
          <w:bCs w:val="1"/>
          <w:color w:val="003B71"/>
        </w:rPr>
        <w:t>DAVE &amp; BUSTER’S ENTERTAINMENT, INC.</w:t>
      </w:r>
    </w:p>
    <w:p>
      <w:pPr>
        <w:spacing w:after="0" w:line="202" w:lineRule="exact"/>
        <w:rPr>
          <w:sz w:val="20"/>
          <w:szCs w:val="20"/>
          <w:color w:val="auto"/>
        </w:rPr>
      </w:pPr>
    </w:p>
    <w:p>
      <w:pPr>
        <w:ind w:left="4780"/>
        <w:spacing w:after="0"/>
        <w:rPr>
          <w:sz w:val="20"/>
          <w:szCs w:val="20"/>
          <w:color w:val="auto"/>
        </w:rPr>
      </w:pPr>
      <w:r>
        <w:rPr>
          <w:rFonts w:ascii="Arial" w:cs="Arial" w:eastAsia="Arial" w:hAnsi="Arial"/>
          <w:sz w:val="21"/>
          <w:szCs w:val="21"/>
          <w:b w:val="1"/>
          <w:bCs w:val="1"/>
          <w:color w:val="003B71"/>
        </w:rPr>
        <w:t>Proxy Statement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B71"/>
        </w:rPr>
        <w:t>For the Annual Meeting of Shareholders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B71"/>
        </w:rPr>
        <w:t xml:space="preserve">To Be Held on </w:t>
      </w:r>
      <w:r>
        <w:rPr>
          <w:rFonts w:ascii="Arial" w:cs="Arial" w:eastAsia="Arial" w:hAnsi="Arial"/>
          <w:sz w:val="21"/>
          <w:szCs w:val="21"/>
          <w:b w:val="1"/>
          <w:bCs w:val="1"/>
          <w:color w:val="253C60"/>
        </w:rPr>
        <w:t>June 18, 2026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TABLE OF CONTENTS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003B71"/>
            </w:tcBorders>
          </w:tcPr>
          <w:p>
            <w:pPr>
              <w:spacing w:after="0"/>
              <w:rPr>
                <w:sz w:val="17"/>
                <w:szCs w:val="17"/>
                <w:color w:val="auto"/>
              </w:rPr>
            </w:pPr>
          </w:p>
        </w:tc>
        <w:tc>
          <w:tcPr>
            <w:tcW w:w="80" w:type="dxa"/>
            <w:vAlign w:val="bottom"/>
            <w:tcBorders>
              <w:bottom w:val="single" w:sz="8" w:color="003B71"/>
            </w:tcBorders>
          </w:tcPr>
          <w:p>
            <w:pPr>
              <w:spacing w:after="0"/>
              <w:rPr>
                <w:sz w:val="17"/>
                <w:szCs w:val="17"/>
                <w:color w:val="auto"/>
              </w:rPr>
            </w:pPr>
          </w:p>
        </w:tc>
        <w:tc>
          <w:tcPr>
            <w:tcW w:w="80" w:type="dxa"/>
            <w:vAlign w:val="bottom"/>
            <w:tcBorders>
              <w:bottom w:val="single" w:sz="8" w:color="003B71"/>
            </w:tcBorders>
          </w:tcPr>
          <w:p>
            <w:pPr>
              <w:spacing w:after="0"/>
              <w:rPr>
                <w:sz w:val="17"/>
                <w:szCs w:val="17"/>
                <w:color w:val="auto"/>
              </w:rPr>
            </w:pPr>
          </w:p>
        </w:tc>
        <w:tc>
          <w:tcPr>
            <w:tcW w:w="1080" w:type="dxa"/>
            <w:vAlign w:val="bottom"/>
            <w:tcBorders>
              <w:bottom w:val="single" w:sz="8" w:color="003B71"/>
            </w:tcBorders>
          </w:tcPr>
          <w:p>
            <w:pPr>
              <w:spacing w:after="0"/>
              <w:rPr>
                <w:sz w:val="17"/>
                <w:szCs w:val="17"/>
                <w:color w:val="auto"/>
              </w:rPr>
            </w:pPr>
          </w:p>
        </w:tc>
        <w:tc>
          <w:tcPr>
            <w:tcW w:w="20" w:type="dxa"/>
            <w:vAlign w:val="bottom"/>
            <w:tcBorders>
              <w:bottom w:val="single" w:sz="8" w:color="003B71"/>
            </w:tcBorders>
          </w:tcPr>
          <w:p>
            <w:pPr>
              <w:spacing w:after="0"/>
              <w:rPr>
                <w:sz w:val="17"/>
                <w:szCs w:val="17"/>
                <w:color w:val="auto"/>
              </w:rPr>
            </w:pPr>
          </w:p>
        </w:tc>
        <w:tc>
          <w:tcPr>
            <w:tcW w:w="80" w:type="dxa"/>
            <w:vAlign w:val="bottom"/>
            <w:tcBorders>
              <w:bottom w:val="single" w:sz="8" w:color="003B71"/>
            </w:tcBorders>
          </w:tcPr>
          <w:p>
            <w:pPr>
              <w:spacing w:after="0"/>
              <w:rPr>
                <w:sz w:val="17"/>
                <w:szCs w:val="17"/>
                <w:color w:val="auto"/>
              </w:rPr>
            </w:pPr>
          </w:p>
        </w:tc>
        <w:tc>
          <w:tcPr>
            <w:tcW w:w="220" w:type="dxa"/>
            <w:vAlign w:val="bottom"/>
            <w:tcBorders>
              <w:bottom w:val="single" w:sz="8" w:color="003B71"/>
            </w:tcBorders>
          </w:tcPr>
          <w:p>
            <w:pPr>
              <w:spacing w:after="0"/>
              <w:rPr>
                <w:sz w:val="17"/>
                <w:szCs w:val="17"/>
                <w:color w:val="auto"/>
              </w:rPr>
            </w:pPr>
          </w:p>
        </w:tc>
        <w:tc>
          <w:tcPr>
            <w:tcW w:w="80" w:type="dxa"/>
            <w:vAlign w:val="bottom"/>
            <w:tcBorders>
              <w:bottom w:val="single" w:sz="8" w:color="003B71"/>
            </w:tcBorders>
          </w:tcPr>
          <w:p>
            <w:pPr>
              <w:spacing w:after="0"/>
              <w:rPr>
                <w:sz w:val="17"/>
                <w:szCs w:val="17"/>
                <w:color w:val="auto"/>
              </w:rPr>
            </w:pPr>
          </w:p>
        </w:tc>
        <w:tc>
          <w:tcPr>
            <w:tcW w:w="160" w:type="dxa"/>
            <w:vAlign w:val="bottom"/>
            <w:tcBorders>
              <w:bottom w:val="single" w:sz="8" w:color="003B71"/>
            </w:tcBorders>
          </w:tcPr>
          <w:p>
            <w:pPr>
              <w:spacing w:after="0"/>
              <w:rPr>
                <w:sz w:val="17"/>
                <w:szCs w:val="17"/>
                <w:color w:val="auto"/>
              </w:rPr>
            </w:pPr>
          </w:p>
        </w:tc>
        <w:tc>
          <w:tcPr>
            <w:tcW w:w="20" w:type="dxa"/>
            <w:vAlign w:val="bottom"/>
            <w:tcBorders>
              <w:bottom w:val="single" w:sz="8" w:color="003B71"/>
            </w:tcBorders>
          </w:tcPr>
          <w:p>
            <w:pPr>
              <w:spacing w:after="0"/>
              <w:rPr>
                <w:sz w:val="17"/>
                <w:szCs w:val="17"/>
                <w:color w:val="auto"/>
              </w:rPr>
            </w:pPr>
          </w:p>
        </w:tc>
        <w:tc>
          <w:tcPr>
            <w:tcW w:w="100" w:type="dxa"/>
            <w:vAlign w:val="bottom"/>
            <w:tcBorders>
              <w:bottom w:val="single" w:sz="8" w:color="003B71"/>
            </w:tcBorders>
          </w:tcPr>
          <w:p>
            <w:pPr>
              <w:spacing w:after="0"/>
              <w:rPr>
                <w:sz w:val="17"/>
                <w:szCs w:val="17"/>
                <w:color w:val="auto"/>
              </w:rPr>
            </w:pPr>
          </w:p>
        </w:tc>
        <w:tc>
          <w:tcPr>
            <w:tcW w:w="100" w:type="dxa"/>
            <w:vAlign w:val="bottom"/>
            <w:tcBorders>
              <w:bottom w:val="single" w:sz="8" w:color="003B71"/>
            </w:tcBorders>
          </w:tcPr>
          <w:p>
            <w:pPr>
              <w:spacing w:after="0"/>
              <w:rPr>
                <w:sz w:val="17"/>
                <w:szCs w:val="17"/>
                <w:color w:val="auto"/>
              </w:rPr>
            </w:pPr>
          </w:p>
        </w:tc>
        <w:tc>
          <w:tcPr>
            <w:tcW w:w="80" w:type="dxa"/>
            <w:vAlign w:val="bottom"/>
            <w:tcBorders>
              <w:bottom w:val="single" w:sz="8" w:color="003B71"/>
            </w:tcBorders>
          </w:tcPr>
          <w:p>
            <w:pPr>
              <w:spacing w:after="0"/>
              <w:rPr>
                <w:sz w:val="17"/>
                <w:szCs w:val="17"/>
                <w:color w:val="auto"/>
              </w:rPr>
            </w:pPr>
          </w:p>
        </w:tc>
        <w:tc>
          <w:tcPr>
            <w:tcW w:w="40" w:type="dxa"/>
            <w:vAlign w:val="bottom"/>
            <w:tcBorders>
              <w:bottom w:val="single" w:sz="8" w:color="003B71"/>
            </w:tcBorders>
          </w:tcPr>
          <w:p>
            <w:pPr>
              <w:spacing w:after="0"/>
              <w:rPr>
                <w:sz w:val="17"/>
                <w:szCs w:val="17"/>
                <w:color w:val="auto"/>
              </w:rPr>
            </w:pPr>
          </w:p>
        </w:tc>
        <w:tc>
          <w:tcPr>
            <w:tcW w:w="60" w:type="dxa"/>
            <w:vAlign w:val="bottom"/>
            <w:tcBorders>
              <w:bottom w:val="single" w:sz="8" w:color="003B71"/>
            </w:tcBorders>
          </w:tcPr>
          <w:p>
            <w:pPr>
              <w:spacing w:after="0"/>
              <w:rPr>
                <w:sz w:val="17"/>
                <w:szCs w:val="17"/>
                <w:color w:val="auto"/>
              </w:rPr>
            </w:pPr>
          </w:p>
        </w:tc>
        <w:tc>
          <w:tcPr>
            <w:tcW w:w="200" w:type="dxa"/>
            <w:vAlign w:val="bottom"/>
            <w:tcBorders>
              <w:bottom w:val="single" w:sz="8" w:color="003B71"/>
            </w:tcBorders>
          </w:tcPr>
          <w:p>
            <w:pPr>
              <w:spacing w:after="0"/>
              <w:rPr>
                <w:sz w:val="17"/>
                <w:szCs w:val="17"/>
                <w:color w:val="auto"/>
              </w:rPr>
            </w:pPr>
          </w:p>
        </w:tc>
        <w:tc>
          <w:tcPr>
            <w:tcW w:w="80" w:type="dxa"/>
            <w:vAlign w:val="bottom"/>
            <w:tcBorders>
              <w:bottom w:val="single" w:sz="8" w:color="003B71"/>
            </w:tcBorders>
          </w:tcPr>
          <w:p>
            <w:pPr>
              <w:spacing w:after="0"/>
              <w:rPr>
                <w:sz w:val="17"/>
                <w:szCs w:val="17"/>
                <w:color w:val="auto"/>
              </w:rPr>
            </w:pPr>
          </w:p>
        </w:tc>
        <w:tc>
          <w:tcPr>
            <w:tcW w:w="200" w:type="dxa"/>
            <w:vAlign w:val="bottom"/>
            <w:tcBorders>
              <w:bottom w:val="single" w:sz="8" w:color="003B71"/>
            </w:tcBorders>
          </w:tcPr>
          <w:p>
            <w:pPr>
              <w:spacing w:after="0"/>
              <w:rPr>
                <w:sz w:val="17"/>
                <w:szCs w:val="17"/>
                <w:color w:val="auto"/>
              </w:rPr>
            </w:pPr>
          </w:p>
        </w:tc>
        <w:tc>
          <w:tcPr>
            <w:tcW w:w="60" w:type="dxa"/>
            <w:vAlign w:val="bottom"/>
            <w:tcBorders>
              <w:bottom w:val="single" w:sz="8" w:color="003B71"/>
            </w:tcBorders>
          </w:tcPr>
          <w:p>
            <w:pPr>
              <w:spacing w:after="0"/>
              <w:rPr>
                <w:sz w:val="17"/>
                <w:szCs w:val="17"/>
                <w:color w:val="auto"/>
              </w:rPr>
            </w:pPr>
          </w:p>
        </w:tc>
        <w:tc>
          <w:tcPr>
            <w:tcW w:w="60" w:type="dxa"/>
            <w:vAlign w:val="bottom"/>
            <w:tcBorders>
              <w:bottom w:val="single" w:sz="8" w:color="003B71"/>
            </w:tcBorders>
          </w:tcPr>
          <w:p>
            <w:pPr>
              <w:spacing w:after="0"/>
              <w:rPr>
                <w:sz w:val="17"/>
                <w:szCs w:val="17"/>
                <w:color w:val="auto"/>
              </w:rPr>
            </w:pPr>
          </w:p>
        </w:tc>
        <w:tc>
          <w:tcPr>
            <w:tcW w:w="100" w:type="dxa"/>
            <w:vAlign w:val="bottom"/>
            <w:tcBorders>
              <w:bottom w:val="single" w:sz="8" w:color="003B71"/>
            </w:tcBorders>
          </w:tcPr>
          <w:p>
            <w:pPr>
              <w:spacing w:after="0"/>
              <w:rPr>
                <w:sz w:val="17"/>
                <w:szCs w:val="17"/>
                <w:color w:val="auto"/>
              </w:rPr>
            </w:pPr>
          </w:p>
        </w:tc>
        <w:tc>
          <w:tcPr>
            <w:tcW w:w="20" w:type="dxa"/>
            <w:vAlign w:val="bottom"/>
            <w:tcBorders>
              <w:bottom w:val="single" w:sz="8" w:color="003B71"/>
            </w:tcBorders>
          </w:tcPr>
          <w:p>
            <w:pPr>
              <w:spacing w:after="0"/>
              <w:rPr>
                <w:sz w:val="17"/>
                <w:szCs w:val="17"/>
                <w:color w:val="auto"/>
              </w:rPr>
            </w:pPr>
          </w:p>
        </w:tc>
        <w:tc>
          <w:tcPr>
            <w:tcW w:w="80" w:type="dxa"/>
            <w:vAlign w:val="bottom"/>
            <w:tcBorders>
              <w:bottom w:val="single" w:sz="8" w:color="003B71"/>
            </w:tcBorders>
          </w:tcPr>
          <w:p>
            <w:pPr>
              <w:spacing w:after="0"/>
              <w:rPr>
                <w:sz w:val="17"/>
                <w:szCs w:val="17"/>
                <w:color w:val="auto"/>
              </w:rPr>
            </w:pPr>
          </w:p>
        </w:tc>
        <w:tc>
          <w:tcPr>
            <w:tcW w:w="20" w:type="dxa"/>
            <w:vAlign w:val="bottom"/>
            <w:tcBorders>
              <w:bottom w:val="single" w:sz="8" w:color="003B71"/>
            </w:tcBorders>
          </w:tcPr>
          <w:p>
            <w:pPr>
              <w:spacing w:after="0"/>
              <w:rPr>
                <w:sz w:val="17"/>
                <w:szCs w:val="17"/>
                <w:color w:val="auto"/>
              </w:rPr>
            </w:pPr>
          </w:p>
        </w:tc>
        <w:tc>
          <w:tcPr>
            <w:tcW w:w="20" w:type="dxa"/>
            <w:vAlign w:val="bottom"/>
            <w:tcBorders>
              <w:bottom w:val="single" w:sz="8" w:color="003B71"/>
            </w:tcBorders>
          </w:tcPr>
          <w:p>
            <w:pPr>
              <w:spacing w:after="0"/>
              <w:rPr>
                <w:sz w:val="17"/>
                <w:szCs w:val="17"/>
                <w:color w:val="auto"/>
              </w:rPr>
            </w:pPr>
          </w:p>
        </w:tc>
        <w:tc>
          <w:tcPr>
            <w:tcW w:w="20" w:type="dxa"/>
            <w:vAlign w:val="bottom"/>
            <w:tcBorders>
              <w:bottom w:val="single" w:sz="8" w:color="003B71"/>
            </w:tcBorders>
          </w:tcPr>
          <w:p>
            <w:pPr>
              <w:spacing w:after="0"/>
              <w:rPr>
                <w:sz w:val="17"/>
                <w:szCs w:val="17"/>
                <w:color w:val="auto"/>
              </w:rPr>
            </w:pPr>
          </w:p>
        </w:tc>
        <w:tc>
          <w:tcPr>
            <w:tcW w:w="100" w:type="dxa"/>
            <w:vAlign w:val="bottom"/>
            <w:tcBorders>
              <w:bottom w:val="single" w:sz="8" w:color="003B71"/>
            </w:tcBorders>
          </w:tcPr>
          <w:p>
            <w:pPr>
              <w:spacing w:after="0"/>
              <w:rPr>
                <w:sz w:val="17"/>
                <w:szCs w:val="17"/>
                <w:color w:val="auto"/>
              </w:rPr>
            </w:pPr>
          </w:p>
        </w:tc>
        <w:tc>
          <w:tcPr>
            <w:tcW w:w="40" w:type="dxa"/>
            <w:vAlign w:val="bottom"/>
            <w:tcBorders>
              <w:bottom w:val="single" w:sz="8" w:color="003B71"/>
            </w:tcBorders>
          </w:tcPr>
          <w:p>
            <w:pPr>
              <w:spacing w:after="0"/>
              <w:rPr>
                <w:sz w:val="17"/>
                <w:szCs w:val="17"/>
                <w:color w:val="auto"/>
              </w:rPr>
            </w:pPr>
          </w:p>
        </w:tc>
        <w:tc>
          <w:tcPr>
            <w:tcW w:w="20" w:type="dxa"/>
            <w:vAlign w:val="bottom"/>
            <w:tcBorders>
              <w:bottom w:val="single" w:sz="8" w:color="003B71"/>
            </w:tcBorders>
          </w:tcPr>
          <w:p>
            <w:pPr>
              <w:spacing w:after="0"/>
              <w:rPr>
                <w:sz w:val="17"/>
                <w:szCs w:val="17"/>
                <w:color w:val="auto"/>
              </w:rPr>
            </w:pPr>
          </w:p>
        </w:tc>
        <w:tc>
          <w:tcPr>
            <w:tcW w:w="100" w:type="dxa"/>
            <w:vAlign w:val="bottom"/>
            <w:tcBorders>
              <w:bottom w:val="single" w:sz="8" w:color="003B71"/>
            </w:tcBorders>
          </w:tcPr>
          <w:p>
            <w:pPr>
              <w:spacing w:after="0"/>
              <w:rPr>
                <w:sz w:val="17"/>
                <w:szCs w:val="17"/>
                <w:color w:val="auto"/>
              </w:rPr>
            </w:pPr>
          </w:p>
        </w:tc>
        <w:tc>
          <w:tcPr>
            <w:tcW w:w="1220" w:type="dxa"/>
            <w:vAlign w:val="bottom"/>
            <w:tcBorders>
              <w:bottom w:val="single" w:sz="8" w:color="003B71"/>
            </w:tcBorders>
          </w:tcPr>
          <w:p>
            <w:pPr>
              <w:spacing w:after="0"/>
              <w:rPr>
                <w:sz w:val="17"/>
                <w:szCs w:val="17"/>
                <w:color w:val="auto"/>
              </w:rPr>
            </w:pPr>
          </w:p>
        </w:tc>
        <w:tc>
          <w:tcPr>
            <w:tcW w:w="180" w:type="dxa"/>
            <w:vAlign w:val="bottom"/>
            <w:tcBorders>
              <w:bottom w:val="single" w:sz="8" w:color="003B71"/>
            </w:tcBorders>
          </w:tcPr>
          <w:p>
            <w:pPr>
              <w:spacing w:after="0"/>
              <w:rPr>
                <w:sz w:val="17"/>
                <w:szCs w:val="17"/>
                <w:color w:val="auto"/>
              </w:rPr>
            </w:pPr>
          </w:p>
        </w:tc>
        <w:tc>
          <w:tcPr>
            <w:tcW w:w="140" w:type="dxa"/>
            <w:vAlign w:val="bottom"/>
            <w:tcBorders>
              <w:bottom w:val="single" w:sz="8" w:color="003B71"/>
            </w:tcBorders>
          </w:tcPr>
          <w:p>
            <w:pPr>
              <w:spacing w:after="0"/>
              <w:rPr>
                <w:sz w:val="17"/>
                <w:szCs w:val="17"/>
                <w:color w:val="auto"/>
              </w:rPr>
            </w:pPr>
          </w:p>
        </w:tc>
        <w:tc>
          <w:tcPr>
            <w:tcW w:w="240" w:type="dxa"/>
            <w:vAlign w:val="bottom"/>
            <w:tcBorders>
              <w:bottom w:val="single" w:sz="8" w:color="003B71"/>
            </w:tcBorders>
          </w:tcPr>
          <w:p>
            <w:pPr>
              <w:spacing w:after="0"/>
              <w:rPr>
                <w:sz w:val="17"/>
                <w:szCs w:val="17"/>
                <w:color w:val="auto"/>
              </w:rPr>
            </w:pPr>
          </w:p>
        </w:tc>
        <w:tc>
          <w:tcPr>
            <w:tcW w:w="280" w:type="dxa"/>
            <w:vAlign w:val="bottom"/>
            <w:tcBorders>
              <w:bottom w:val="single" w:sz="8" w:color="003B71"/>
            </w:tcBorders>
          </w:tcPr>
          <w:p>
            <w:pPr>
              <w:spacing w:after="0"/>
              <w:rPr>
                <w:sz w:val="17"/>
                <w:szCs w:val="17"/>
                <w:color w:val="auto"/>
              </w:rPr>
            </w:pPr>
          </w:p>
        </w:tc>
        <w:tc>
          <w:tcPr>
            <w:tcW w:w="20" w:type="dxa"/>
            <w:vAlign w:val="bottom"/>
            <w:tcBorders>
              <w:bottom w:val="single" w:sz="8" w:color="003B71"/>
            </w:tcBorders>
          </w:tcPr>
          <w:p>
            <w:pPr>
              <w:spacing w:after="0"/>
              <w:rPr>
                <w:sz w:val="17"/>
                <w:szCs w:val="17"/>
                <w:color w:val="auto"/>
              </w:rPr>
            </w:pPr>
          </w:p>
        </w:tc>
        <w:tc>
          <w:tcPr>
            <w:tcW w:w="280" w:type="dxa"/>
            <w:vAlign w:val="bottom"/>
            <w:tcBorders>
              <w:bottom w:val="single" w:sz="8" w:color="003B71"/>
            </w:tcBorders>
          </w:tcPr>
          <w:p>
            <w:pPr>
              <w:spacing w:after="0"/>
              <w:rPr>
                <w:sz w:val="17"/>
                <w:szCs w:val="17"/>
                <w:color w:val="auto"/>
              </w:rPr>
            </w:pPr>
          </w:p>
        </w:tc>
        <w:tc>
          <w:tcPr>
            <w:tcW w:w="780" w:type="dxa"/>
            <w:vAlign w:val="bottom"/>
            <w:tcBorders>
              <w:bottom w:val="single" w:sz="8" w:color="003B71"/>
            </w:tcBorders>
          </w:tcPr>
          <w:p>
            <w:pPr>
              <w:spacing w:after="0"/>
              <w:rPr>
                <w:sz w:val="17"/>
                <w:szCs w:val="17"/>
                <w:color w:val="auto"/>
              </w:rPr>
            </w:pPr>
          </w:p>
        </w:tc>
        <w:tc>
          <w:tcPr>
            <w:tcW w:w="1720" w:type="dxa"/>
            <w:vAlign w:val="bottom"/>
            <w:tcBorders>
              <w:bottom w:val="single" w:sz="8" w:color="003B71"/>
            </w:tcBorders>
          </w:tcPr>
          <w:p>
            <w:pPr>
              <w:spacing w:after="0"/>
              <w:rPr>
                <w:sz w:val="17"/>
                <w:szCs w:val="17"/>
                <w:color w:val="auto"/>
              </w:rPr>
            </w:pPr>
          </w:p>
        </w:tc>
        <w:tc>
          <w:tcPr>
            <w:tcW w:w="1240" w:type="dxa"/>
            <w:vAlign w:val="bottom"/>
            <w:tcBorders>
              <w:bottom w:val="single" w:sz="8" w:color="003B71"/>
            </w:tcBorders>
          </w:tcPr>
          <w:p>
            <w:pPr>
              <w:spacing w:after="0"/>
              <w:rPr>
                <w:sz w:val="17"/>
                <w:szCs w:val="17"/>
                <w:color w:val="auto"/>
              </w:rPr>
            </w:pPr>
          </w:p>
        </w:tc>
        <w:tc>
          <w:tcPr>
            <w:tcW w:w="1800" w:type="dxa"/>
            <w:vAlign w:val="bottom"/>
            <w:tcBorders>
              <w:bottom w:val="single" w:sz="8" w:color="003B71"/>
            </w:tcBorders>
          </w:tcPr>
          <w:p>
            <w:pPr>
              <w:ind w:left="1220"/>
              <w:spacing w:after="0"/>
              <w:rPr>
                <w:sz w:val="20"/>
                <w:szCs w:val="20"/>
                <w:color w:val="auto"/>
              </w:rPr>
            </w:pPr>
            <w:r>
              <w:rPr>
                <w:rFonts w:ascii="Arial" w:cs="Arial" w:eastAsia="Arial" w:hAnsi="Arial"/>
                <w:sz w:val="14"/>
                <w:szCs w:val="14"/>
                <w:b w:val="1"/>
                <w:bCs w:val="1"/>
                <w:color w:val="003B71"/>
              </w:rPr>
              <w:t>Page</w:t>
            </w:r>
          </w:p>
        </w:tc>
      </w:tr>
      <w:tr>
        <w:trPr>
          <w:trHeight w:val="202"/>
        </w:trPr>
        <w:tc>
          <w:tcPr>
            <w:tcW w:w="20" w:type="dxa"/>
            <w:vAlign w:val="bottom"/>
          </w:tcPr>
          <w:p>
            <w:pPr>
              <w:spacing w:after="0"/>
              <w:rPr>
                <w:sz w:val="17"/>
                <w:szCs w:val="17"/>
                <w:color w:val="auto"/>
              </w:rPr>
            </w:pPr>
          </w:p>
        </w:tc>
        <w:tc>
          <w:tcPr>
            <w:tcW w:w="2740" w:type="dxa"/>
            <w:vAlign w:val="bottom"/>
            <w:tcBorders>
              <w:bottom w:val="single" w:sz="8" w:color="0000FF"/>
            </w:tcBorders>
            <w:gridSpan w:val="18"/>
          </w:tcPr>
          <w:p>
            <w:pPr>
              <w:spacing w:after="0" w:line="182" w:lineRule="exact"/>
              <w:rPr>
                <w:sz w:val="20"/>
                <w:szCs w:val="20"/>
                <w:color w:val="auto"/>
              </w:rPr>
            </w:pPr>
            <w:r>
              <w:rPr>
                <w:rFonts w:ascii="Arial" w:cs="Arial" w:eastAsia="Arial" w:hAnsi="Arial"/>
                <w:sz w:val="18"/>
                <w:szCs w:val="18"/>
                <w:b w:val="1"/>
                <w:bCs w:val="1"/>
                <w:color w:val="0000FF"/>
                <w:w w:val="99"/>
              </w:rPr>
              <w:t>2026 Proxy Statement Summary</w:t>
            </w:r>
          </w:p>
        </w:tc>
        <w:tc>
          <w:tcPr>
            <w:tcW w:w="6680" w:type="dxa"/>
            <w:vAlign w:val="bottom"/>
            <w:gridSpan w:val="21"/>
          </w:tcPr>
          <w:p>
            <w:pPr>
              <w:spacing w:after="0"/>
              <w:rPr>
                <w:sz w:val="17"/>
                <w:szCs w:val="17"/>
                <w:color w:val="auto"/>
              </w:rPr>
            </w:pPr>
          </w:p>
        </w:tc>
        <w:tc>
          <w:tcPr>
            <w:tcW w:w="1800" w:type="dxa"/>
            <w:vAlign w:val="bottom"/>
          </w:tcPr>
          <w:p>
            <w:pPr>
              <w:jc w:val="center"/>
              <w:ind w:left="920"/>
              <w:spacing w:after="0" w:line="181" w:lineRule="exact"/>
              <w:rPr>
                <w:sz w:val="20"/>
                <w:szCs w:val="20"/>
                <w:color w:val="auto"/>
              </w:rPr>
            </w:pPr>
            <w:r>
              <w:rPr>
                <w:rFonts w:ascii="Arial" w:cs="Arial" w:eastAsia="Arial" w:hAnsi="Arial"/>
                <w:sz w:val="16"/>
                <w:szCs w:val="16"/>
                <w:color w:val="0000FF"/>
                <w:w w:val="89"/>
              </w:rPr>
              <w:t>1</w:t>
            </w:r>
          </w:p>
        </w:tc>
      </w:tr>
      <w:tr>
        <w:trPr>
          <w:trHeight w:val="302"/>
        </w:trPr>
        <w:tc>
          <w:tcPr>
            <w:tcW w:w="20" w:type="dxa"/>
            <w:vAlign w:val="bottom"/>
          </w:tcPr>
          <w:p>
            <w:pPr>
              <w:spacing w:after="0"/>
              <w:rPr>
                <w:sz w:val="24"/>
                <w:szCs w:val="24"/>
                <w:color w:val="auto"/>
              </w:rPr>
            </w:pPr>
          </w:p>
        </w:tc>
        <w:tc>
          <w:tcPr>
            <w:tcW w:w="32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b w:val="1"/>
                <w:bCs w:val="1"/>
                <w:color w:val="0000FF"/>
                <w:w w:val="98"/>
              </w:rPr>
              <w:t>Proposal No. 1 – Election of Directors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0" w:type="dxa"/>
            <w:vAlign w:val="bottom"/>
          </w:tcPr>
          <w:p>
            <w:pPr>
              <w:jc w:val="center"/>
              <w:ind w:left="920"/>
              <w:spacing w:after="0"/>
              <w:rPr>
                <w:sz w:val="20"/>
                <w:szCs w:val="20"/>
                <w:color w:val="auto"/>
              </w:rPr>
            </w:pPr>
            <w:r>
              <w:rPr>
                <w:rFonts w:ascii="Arial" w:cs="Arial" w:eastAsia="Arial" w:hAnsi="Arial"/>
                <w:sz w:val="16"/>
                <w:szCs w:val="16"/>
                <w:color w:val="0000FF"/>
                <w:w w:val="89"/>
              </w:rPr>
              <w:t>5</w:t>
            </w:r>
          </w:p>
        </w:tc>
      </w:tr>
      <w:tr>
        <w:trPr>
          <w:trHeight w:val="302"/>
        </w:trPr>
        <w:tc>
          <w:tcPr>
            <w:tcW w:w="20" w:type="dxa"/>
            <w:vAlign w:val="bottom"/>
          </w:tcPr>
          <w:p>
            <w:pPr>
              <w:spacing w:after="0"/>
              <w:rPr>
                <w:sz w:val="24"/>
                <w:szCs w:val="24"/>
                <w:color w:val="auto"/>
              </w:rPr>
            </w:pPr>
          </w:p>
        </w:tc>
        <w:tc>
          <w:tcPr>
            <w:tcW w:w="8180" w:type="dxa"/>
            <w:vAlign w:val="bottom"/>
            <w:tcBorders>
              <w:bottom w:val="single" w:sz="8" w:color="0000FF"/>
            </w:tcBorders>
            <w:gridSpan w:val="38"/>
          </w:tcPr>
          <w:p>
            <w:pPr>
              <w:spacing w:after="0"/>
              <w:rPr>
                <w:sz w:val="20"/>
                <w:szCs w:val="20"/>
                <w:color w:val="auto"/>
              </w:rPr>
            </w:pPr>
            <w:r>
              <w:rPr>
                <w:rFonts w:ascii="Arial" w:cs="Arial" w:eastAsia="Arial" w:hAnsi="Arial"/>
                <w:sz w:val="18"/>
                <w:szCs w:val="18"/>
                <w:b w:val="1"/>
                <w:bCs w:val="1"/>
                <w:color w:val="0000FF"/>
                <w:w w:val="99"/>
              </w:rPr>
              <w:t>Proposal No. 2 – Ratification of Appointment of Independent Registered Public Accounting Firm</w:t>
            </w:r>
          </w:p>
        </w:tc>
        <w:tc>
          <w:tcPr>
            <w:tcW w:w="1240" w:type="dxa"/>
            <w:vAlign w:val="bottom"/>
          </w:tcPr>
          <w:p>
            <w:pPr>
              <w:spacing w:after="0"/>
              <w:rPr>
                <w:sz w:val="24"/>
                <w:szCs w:val="24"/>
                <w:color w:val="auto"/>
              </w:rPr>
            </w:pPr>
          </w:p>
        </w:tc>
        <w:tc>
          <w:tcPr>
            <w:tcW w:w="1800" w:type="dxa"/>
            <w:vAlign w:val="bottom"/>
          </w:tcPr>
          <w:p>
            <w:pPr>
              <w:jc w:val="center"/>
              <w:ind w:left="920"/>
              <w:spacing w:after="0"/>
              <w:rPr>
                <w:sz w:val="20"/>
                <w:szCs w:val="20"/>
                <w:color w:val="auto"/>
              </w:rPr>
            </w:pPr>
            <w:r>
              <w:rPr>
                <w:rFonts w:ascii="Arial" w:cs="Arial" w:eastAsia="Arial" w:hAnsi="Arial"/>
                <w:sz w:val="16"/>
                <w:szCs w:val="16"/>
                <w:color w:val="0000FF"/>
                <w:w w:val="89"/>
              </w:rPr>
              <w:t>11</w:t>
            </w:r>
          </w:p>
        </w:tc>
      </w:tr>
      <w:tr>
        <w:trPr>
          <w:trHeight w:val="302"/>
        </w:trPr>
        <w:tc>
          <w:tcPr>
            <w:tcW w:w="20" w:type="dxa"/>
            <w:vAlign w:val="bottom"/>
          </w:tcPr>
          <w:p>
            <w:pPr>
              <w:spacing w:after="0"/>
              <w:rPr>
                <w:sz w:val="24"/>
                <w:szCs w:val="24"/>
                <w:color w:val="auto"/>
              </w:rPr>
            </w:pPr>
          </w:p>
        </w:tc>
        <w:tc>
          <w:tcPr>
            <w:tcW w:w="5100" w:type="dxa"/>
            <w:vAlign w:val="bottom"/>
            <w:tcBorders>
              <w:bottom w:val="single" w:sz="8" w:color="0000FF"/>
            </w:tcBorders>
            <w:gridSpan w:val="33"/>
          </w:tcPr>
          <w:p>
            <w:pPr>
              <w:spacing w:after="0"/>
              <w:rPr>
                <w:sz w:val="20"/>
                <w:szCs w:val="20"/>
                <w:color w:val="auto"/>
              </w:rPr>
            </w:pPr>
            <w:r>
              <w:rPr>
                <w:rFonts w:ascii="Arial" w:cs="Arial" w:eastAsia="Arial" w:hAnsi="Arial"/>
                <w:sz w:val="18"/>
                <w:szCs w:val="18"/>
                <w:b w:val="1"/>
                <w:bCs w:val="1"/>
                <w:color w:val="0000FF"/>
                <w:w w:val="98"/>
              </w:rPr>
              <w:t>Proposal No. 3 – Advisory Vote on Executive Compensation</w:t>
            </w:r>
          </w:p>
        </w:tc>
        <w:tc>
          <w:tcPr>
            <w:tcW w:w="4320" w:type="dxa"/>
            <w:vAlign w:val="bottom"/>
            <w:gridSpan w:val="6"/>
          </w:tcPr>
          <w:p>
            <w:pPr>
              <w:spacing w:after="0"/>
              <w:rPr>
                <w:sz w:val="24"/>
                <w:szCs w:val="24"/>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12</w:t>
            </w:r>
          </w:p>
        </w:tc>
      </w:tr>
      <w:tr>
        <w:trPr>
          <w:trHeight w:val="249"/>
        </w:trPr>
        <w:tc>
          <w:tcPr>
            <w:tcW w:w="20" w:type="dxa"/>
            <w:vAlign w:val="bottom"/>
          </w:tcPr>
          <w:p>
            <w:pPr>
              <w:spacing w:after="0"/>
              <w:rPr>
                <w:sz w:val="21"/>
                <w:szCs w:val="21"/>
                <w:color w:val="auto"/>
              </w:rPr>
            </w:pPr>
          </w:p>
        </w:tc>
        <w:tc>
          <w:tcPr>
            <w:tcW w:w="31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b w:val="1"/>
                <w:bCs w:val="1"/>
                <w:color w:val="0000FF"/>
                <w:w w:val="99"/>
              </w:rPr>
              <w:t>Directors and Corporate Governance</w:t>
            </w:r>
          </w:p>
        </w:tc>
        <w:tc>
          <w:tcPr>
            <w:tcW w:w="6260" w:type="dxa"/>
            <w:vAlign w:val="bottom"/>
            <w:gridSpan w:val="13"/>
          </w:tcPr>
          <w:p>
            <w:pPr>
              <w:spacing w:after="0"/>
              <w:rPr>
                <w:sz w:val="21"/>
                <w:szCs w:val="21"/>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13</w:t>
            </w: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rPr>
              <w:t>Composition and Board Independence</w:t>
            </w:r>
          </w:p>
        </w:tc>
        <w:tc>
          <w:tcPr>
            <w:tcW w:w="6500" w:type="dxa"/>
            <w:vAlign w:val="bottom"/>
            <w:gridSpan w:val="18"/>
          </w:tcPr>
          <w:p>
            <w:pPr>
              <w:spacing w:after="0"/>
              <w:rPr>
                <w:sz w:val="20"/>
                <w:szCs w:val="20"/>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13</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Corporate Governance</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13</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The Board’s Role in Risk Oversight</w:t>
            </w:r>
          </w:p>
        </w:tc>
        <w:tc>
          <w:tcPr>
            <w:tcW w:w="6740" w:type="dxa"/>
            <w:vAlign w:val="bottom"/>
            <w:gridSpan w:val="22"/>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14</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Succession Planning</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14</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Board of Directors Leadership Structure</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14</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rPr>
              <w:t>Director Compensation</w:t>
            </w:r>
          </w:p>
        </w:tc>
        <w:tc>
          <w:tcPr>
            <w:tcW w:w="1180" w:type="dxa"/>
            <w:vAlign w:val="bottom"/>
            <w:tcBorders>
              <w:top w:val="single" w:sz="8" w:color="0000FF"/>
            </w:tcBorders>
            <w:gridSpan w:val="13"/>
          </w:tcPr>
          <w:p>
            <w:pPr>
              <w:spacing w:after="0"/>
              <w:rPr>
                <w:sz w:val="19"/>
                <w:szCs w:val="19"/>
                <w:color w:val="auto"/>
              </w:rPr>
            </w:pPr>
          </w:p>
        </w:tc>
        <w:tc>
          <w:tcPr>
            <w:tcW w:w="6420" w:type="dxa"/>
            <w:vAlign w:val="bottom"/>
            <w:gridSpan w:val="17"/>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15</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Director Stock Ownership Guidelines</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17</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40" w:type="dxa"/>
            <w:vAlign w:val="bottom"/>
            <w:tcBorders>
              <w:bottom w:val="single" w:sz="8" w:color="0000FF"/>
            </w:tcBorders>
            <w:gridSpan w:val="33"/>
          </w:tcPr>
          <w:p>
            <w:pPr>
              <w:spacing w:after="0"/>
              <w:rPr>
                <w:sz w:val="20"/>
                <w:szCs w:val="20"/>
                <w:color w:val="auto"/>
              </w:rPr>
            </w:pPr>
            <w:r>
              <w:rPr>
                <w:rFonts w:ascii="Arial" w:cs="Arial" w:eastAsia="Arial" w:hAnsi="Arial"/>
                <w:sz w:val="16"/>
                <w:szCs w:val="16"/>
                <w:color w:val="0000FF"/>
              </w:rPr>
              <w:t>Policy Regarding Shareholder Recommendations for Director Candidates</w:t>
            </w:r>
          </w:p>
        </w:tc>
        <w:tc>
          <w:tcPr>
            <w:tcW w:w="4020" w:type="dxa"/>
            <w:vAlign w:val="bottom"/>
            <w:gridSpan w:val="4"/>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17</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Director Qualifications</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17</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Current Nominations</w:t>
            </w:r>
          </w:p>
        </w:tc>
        <w:tc>
          <w:tcPr>
            <w:tcW w:w="7620" w:type="dxa"/>
            <w:vAlign w:val="bottom"/>
            <w:gridSpan w:val="31"/>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17</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tcBorders>
              <w:bottom w:val="single" w:sz="8" w:color="0000FF"/>
            </w:tcBorders>
            <w:gridSpan w:val="29"/>
          </w:tcPr>
          <w:p>
            <w:pPr>
              <w:spacing w:after="0"/>
              <w:rPr>
                <w:sz w:val="20"/>
                <w:szCs w:val="20"/>
                <w:color w:val="auto"/>
              </w:rPr>
            </w:pPr>
            <w:r>
              <w:rPr>
                <w:rFonts w:ascii="Arial" w:cs="Arial" w:eastAsia="Arial" w:hAnsi="Arial"/>
                <w:sz w:val="16"/>
                <w:szCs w:val="16"/>
                <w:color w:val="0000FF"/>
              </w:rPr>
              <w:t>Code of Business Conduct and Ethics and Whistleblower Policy</w:t>
            </w:r>
          </w:p>
        </w:tc>
        <w:tc>
          <w:tcPr>
            <w:tcW w:w="4700" w:type="dxa"/>
            <w:vAlign w:val="bottom"/>
            <w:gridSpan w:val="8"/>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18</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80" w:type="dxa"/>
            <w:vAlign w:val="bottom"/>
            <w:tcBorders>
              <w:bottom w:val="single" w:sz="8" w:color="0000FF"/>
            </w:tcBorders>
            <w:gridSpan w:val="28"/>
          </w:tcPr>
          <w:p>
            <w:pPr>
              <w:spacing w:after="0"/>
              <w:rPr>
                <w:sz w:val="20"/>
                <w:szCs w:val="20"/>
                <w:color w:val="auto"/>
              </w:rPr>
            </w:pPr>
            <w:r>
              <w:rPr>
                <w:rFonts w:ascii="Arial" w:cs="Arial" w:eastAsia="Arial" w:hAnsi="Arial"/>
                <w:sz w:val="16"/>
                <w:szCs w:val="16"/>
                <w:color w:val="0000FF"/>
              </w:rPr>
              <w:t>Compensation Committee Interlocks and Insider Participation</w:t>
            </w:r>
          </w:p>
        </w:tc>
        <w:tc>
          <w:tcPr>
            <w:tcW w:w="4880" w:type="dxa"/>
            <w:vAlign w:val="bottom"/>
            <w:gridSpan w:val="9"/>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18</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60" w:type="dxa"/>
            <w:vAlign w:val="bottom"/>
            <w:tcBorders>
              <w:bottom w:val="single" w:sz="8" w:color="0000FF"/>
            </w:tcBorders>
            <w:gridSpan w:val="27"/>
          </w:tcPr>
          <w:p>
            <w:pPr>
              <w:spacing w:after="0"/>
              <w:rPr>
                <w:sz w:val="20"/>
                <w:szCs w:val="20"/>
                <w:color w:val="auto"/>
              </w:rPr>
            </w:pPr>
            <w:r>
              <w:rPr>
                <w:rFonts w:ascii="Arial" w:cs="Arial" w:eastAsia="Arial" w:hAnsi="Arial"/>
                <w:sz w:val="16"/>
                <w:szCs w:val="16"/>
                <w:color w:val="0000FF"/>
              </w:rPr>
              <w:t>Communications with the Board of Directors</w:t>
            </w:r>
          </w:p>
        </w:tc>
        <w:tc>
          <w:tcPr>
            <w:tcW w:w="6100" w:type="dxa"/>
            <w:vAlign w:val="bottom"/>
            <w:gridSpan w:val="10"/>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18</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9"/>
              </w:rPr>
              <w:t>Insider Trading</w:t>
            </w:r>
          </w:p>
        </w:tc>
        <w:tc>
          <w:tcPr>
            <w:tcW w:w="8180" w:type="dxa"/>
            <w:vAlign w:val="bottom"/>
            <w:gridSpan w:val="36"/>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18</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Arrangements and Family Relationships</w:t>
            </w:r>
          </w:p>
        </w:tc>
        <w:tc>
          <w:tcPr>
            <w:tcW w:w="6380" w:type="dxa"/>
            <w:vAlign w:val="bottom"/>
            <w:gridSpan w:val="15"/>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18</w:t>
            </w:r>
          </w:p>
        </w:tc>
      </w:tr>
      <w:tr>
        <w:trPr>
          <w:trHeight w:val="235"/>
        </w:trPr>
        <w:tc>
          <w:tcPr>
            <w:tcW w:w="20" w:type="dxa"/>
            <w:vAlign w:val="bottom"/>
          </w:tcPr>
          <w:p>
            <w:pPr>
              <w:spacing w:after="0"/>
              <w:rPr>
                <w:sz w:val="20"/>
                <w:szCs w:val="20"/>
                <w:color w:val="auto"/>
              </w:rPr>
            </w:pPr>
          </w:p>
        </w:tc>
        <w:tc>
          <w:tcPr>
            <w:tcW w:w="9420" w:type="dxa"/>
            <w:vAlign w:val="bottom"/>
            <w:gridSpan w:val="39"/>
          </w:tcPr>
          <w:p>
            <w:pPr>
              <w:spacing w:after="0"/>
              <w:rPr>
                <w:sz w:val="20"/>
                <w:szCs w:val="20"/>
                <w:color w:val="auto"/>
              </w:rPr>
            </w:pPr>
            <w:r>
              <w:rPr>
                <w:rFonts w:ascii="Arial" w:cs="Arial" w:eastAsia="Arial" w:hAnsi="Arial"/>
                <w:sz w:val="18"/>
                <w:szCs w:val="18"/>
                <w:b w:val="1"/>
                <w:bCs w:val="1"/>
                <w:color w:val="0000FF"/>
              </w:rPr>
              <w:t>Security Ownership of Certain Beneficial Owners and Management</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20</w:t>
            </w:r>
          </w:p>
        </w:tc>
      </w:tr>
      <w:tr>
        <w:trPr>
          <w:trHeight w:val="302"/>
        </w:trPr>
        <w:tc>
          <w:tcPr>
            <w:tcW w:w="20" w:type="dxa"/>
            <w:vAlign w:val="bottom"/>
          </w:tcPr>
          <w:p>
            <w:pPr>
              <w:spacing w:after="0"/>
              <w:rPr>
                <w:sz w:val="24"/>
                <w:szCs w:val="24"/>
                <w:color w:val="auto"/>
              </w:rPr>
            </w:pPr>
          </w:p>
        </w:tc>
        <w:tc>
          <w:tcPr>
            <w:tcW w:w="5680" w:type="dxa"/>
            <w:vAlign w:val="bottom"/>
            <w:tcBorders>
              <w:top w:val="single" w:sz="8" w:color="0000FF"/>
            </w:tcBorders>
            <w:gridSpan w:val="36"/>
          </w:tcPr>
          <w:p>
            <w:pPr>
              <w:spacing w:after="0"/>
              <w:rPr>
                <w:sz w:val="20"/>
                <w:szCs w:val="20"/>
                <w:color w:val="auto"/>
              </w:rPr>
            </w:pPr>
            <w:r>
              <w:rPr>
                <w:rFonts w:ascii="Arial" w:cs="Arial" w:eastAsia="Arial" w:hAnsi="Arial"/>
                <w:sz w:val="18"/>
                <w:szCs w:val="18"/>
                <w:b w:val="1"/>
                <w:bCs w:val="1"/>
                <w:color w:val="0000FF"/>
              </w:rPr>
              <w:t>Executive Officers</w:t>
            </w:r>
          </w:p>
        </w:tc>
        <w:tc>
          <w:tcPr>
            <w:tcW w:w="3740" w:type="dxa"/>
            <w:vAlign w:val="bottom"/>
            <w:gridSpan w:val="3"/>
          </w:tcPr>
          <w:p>
            <w:pPr>
              <w:spacing w:after="0"/>
              <w:rPr>
                <w:sz w:val="24"/>
                <w:szCs w:val="24"/>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22</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2"/>
        </w:trPr>
        <w:tc>
          <w:tcPr>
            <w:tcW w:w="20" w:type="dxa"/>
            <w:vAlign w:val="bottom"/>
          </w:tcPr>
          <w:p>
            <w:pPr>
              <w:spacing w:after="0"/>
              <w:rPr>
                <w:sz w:val="24"/>
                <w:szCs w:val="24"/>
                <w:color w:val="auto"/>
              </w:rPr>
            </w:pPr>
          </w:p>
        </w:tc>
        <w:tc>
          <w:tcPr>
            <w:tcW w:w="21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b w:val="1"/>
                <w:bCs w:val="1"/>
                <w:color w:val="0000FF"/>
                <w:w w:val="99"/>
              </w:rPr>
              <w:t>Executive Compensation</w:t>
            </w:r>
          </w:p>
        </w:tc>
        <w:tc>
          <w:tcPr>
            <w:tcW w:w="7280" w:type="dxa"/>
            <w:vAlign w:val="bottom"/>
            <w:gridSpan w:val="26"/>
          </w:tcPr>
          <w:p>
            <w:pPr>
              <w:spacing w:after="0"/>
              <w:rPr>
                <w:sz w:val="24"/>
                <w:szCs w:val="24"/>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25</w:t>
            </w: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40" w:type="dxa"/>
            <w:vAlign w:val="bottom"/>
            <w:gridSpan w:val="38"/>
          </w:tcPr>
          <w:p>
            <w:pPr>
              <w:spacing w:after="0"/>
              <w:rPr>
                <w:sz w:val="20"/>
                <w:szCs w:val="20"/>
                <w:color w:val="auto"/>
              </w:rPr>
            </w:pPr>
            <w:r>
              <w:rPr>
                <w:rFonts w:ascii="Arial" w:cs="Arial" w:eastAsia="Arial" w:hAnsi="Arial"/>
                <w:sz w:val="16"/>
                <w:szCs w:val="16"/>
                <w:color w:val="0000FF"/>
              </w:rPr>
              <w:t>Compensation Discussion and Analysis</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25</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740" w:type="dxa"/>
            <w:vAlign w:val="bottom"/>
            <w:tcBorders>
              <w:top w:val="single" w:sz="8" w:color="0000FF"/>
            </w:tcBorders>
            <w:gridSpan w:val="18"/>
          </w:tcPr>
          <w:p>
            <w:pPr>
              <w:spacing w:after="0"/>
              <w:rPr>
                <w:sz w:val="20"/>
                <w:szCs w:val="20"/>
                <w:color w:val="auto"/>
              </w:rPr>
            </w:pPr>
            <w:r>
              <w:rPr>
                <w:rFonts w:ascii="Arial" w:cs="Arial" w:eastAsia="Arial" w:hAnsi="Arial"/>
                <w:sz w:val="16"/>
                <w:szCs w:val="16"/>
                <w:color w:val="0000FF"/>
              </w:rPr>
              <w:t>Named Executive Officers</w:t>
            </w:r>
          </w:p>
        </w:tc>
        <w:tc>
          <w:tcPr>
            <w:tcW w:w="6520" w:type="dxa"/>
            <w:vAlign w:val="bottom"/>
            <w:gridSpan w:val="19"/>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3051F2"/>
              </w:rPr>
              <w:t>25</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00" w:type="dxa"/>
            <w:vAlign w:val="bottom"/>
            <w:tcBorders>
              <w:bottom w:val="single" w:sz="8" w:color="3051F2"/>
            </w:tcBorders>
            <w:gridSpan w:val="30"/>
          </w:tcPr>
          <w:p>
            <w:pPr>
              <w:spacing w:after="0"/>
              <w:rPr>
                <w:sz w:val="20"/>
                <w:szCs w:val="20"/>
                <w:color w:val="auto"/>
              </w:rPr>
            </w:pPr>
            <w:r>
              <w:rPr>
                <w:rFonts w:ascii="Arial" w:cs="Arial" w:eastAsia="Arial" w:hAnsi="Arial"/>
                <w:sz w:val="16"/>
                <w:szCs w:val="16"/>
                <w:color w:val="3051F2"/>
              </w:rPr>
              <w:t>Business, Strategy &amp; Performance Highlights for Fiscal Year 2025</w:t>
            </w:r>
          </w:p>
        </w:tc>
        <w:tc>
          <w:tcPr>
            <w:tcW w:w="4560" w:type="dxa"/>
            <w:vAlign w:val="bottom"/>
            <w:gridSpan w:val="7"/>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3051F2"/>
              </w:rPr>
              <w:t>25</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00" w:type="dxa"/>
            <w:vAlign w:val="bottom"/>
            <w:tcBorders>
              <w:bottom w:val="single" w:sz="8" w:color="0000FF"/>
            </w:tcBorders>
            <w:gridSpan w:val="35"/>
          </w:tcPr>
          <w:p>
            <w:pPr>
              <w:spacing w:after="0"/>
              <w:rPr>
                <w:sz w:val="20"/>
                <w:szCs w:val="20"/>
                <w:color w:val="auto"/>
              </w:rPr>
            </w:pPr>
            <w:r>
              <w:rPr>
                <w:rFonts w:ascii="Arial" w:cs="Arial" w:eastAsia="Arial" w:hAnsi="Arial"/>
                <w:sz w:val="16"/>
                <w:szCs w:val="16"/>
                <w:color w:val="0000FF"/>
              </w:rPr>
              <w:t>Compensation Philosophy and Overall Objectives of Executive Compensation Programs</w:t>
            </w:r>
          </w:p>
        </w:tc>
        <w:tc>
          <w:tcPr>
            <w:tcW w:w="2960" w:type="dxa"/>
            <w:vAlign w:val="bottom"/>
            <w:gridSpan w:val="2"/>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27</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Compensation Practices</w:t>
            </w:r>
          </w:p>
        </w:tc>
        <w:tc>
          <w:tcPr>
            <w:tcW w:w="7500" w:type="dxa"/>
            <w:vAlign w:val="bottom"/>
            <w:gridSpan w:val="29"/>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27</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Shareholder Say-on-Pay Vote for 2025 and Compensation Actions Taken</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28</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20" w:type="dxa"/>
            <w:vAlign w:val="bottom"/>
            <w:tcBorders>
              <w:top w:val="single" w:sz="8" w:color="0000FF"/>
            </w:tcBorders>
            <w:gridSpan w:val="32"/>
          </w:tcPr>
          <w:p>
            <w:pPr>
              <w:spacing w:after="0"/>
              <w:rPr>
                <w:sz w:val="20"/>
                <w:szCs w:val="20"/>
                <w:color w:val="auto"/>
              </w:rPr>
            </w:pPr>
            <w:r>
              <w:rPr>
                <w:rFonts w:ascii="Arial" w:cs="Arial" w:eastAsia="Arial" w:hAnsi="Arial"/>
                <w:sz w:val="16"/>
                <w:szCs w:val="16"/>
                <w:color w:val="0000FF"/>
              </w:rPr>
              <w:t>Procedures for Determining Compensation</w:t>
            </w:r>
          </w:p>
        </w:tc>
        <w:tc>
          <w:tcPr>
            <w:tcW w:w="4040" w:type="dxa"/>
            <w:vAlign w:val="bottom"/>
            <w:gridSpan w:val="5"/>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28</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tcBorders>
              <w:top w:val="single" w:sz="8" w:color="0000FF"/>
            </w:tcBorders>
            <w:gridSpan w:val="26"/>
          </w:tcPr>
          <w:p>
            <w:pPr>
              <w:spacing w:after="0"/>
              <w:rPr>
                <w:sz w:val="20"/>
                <w:szCs w:val="20"/>
                <w:color w:val="auto"/>
              </w:rPr>
            </w:pPr>
            <w:r>
              <w:rPr>
                <w:rFonts w:ascii="Arial" w:cs="Arial" w:eastAsia="Arial" w:hAnsi="Arial"/>
                <w:sz w:val="16"/>
                <w:szCs w:val="16"/>
                <w:color w:val="0000FF"/>
              </w:rPr>
              <w:t>Pay for Performance Alignment</w:t>
            </w:r>
          </w:p>
        </w:tc>
        <w:tc>
          <w:tcPr>
            <w:tcW w:w="6200" w:type="dxa"/>
            <w:vAlign w:val="bottom"/>
            <w:gridSpan w:val="11"/>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29</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4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Elements of Compensation</w:t>
            </w:r>
          </w:p>
        </w:tc>
        <w:tc>
          <w:tcPr>
            <w:tcW w:w="7020" w:type="dxa"/>
            <w:vAlign w:val="bottom"/>
            <w:gridSpan w:val="24"/>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30</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7"/>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Deductibility of Executive Compensation</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36</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9"/>
              </w:rPr>
              <w:t>CEO Pay Ratio</w:t>
            </w:r>
          </w:p>
        </w:tc>
        <w:tc>
          <w:tcPr>
            <w:tcW w:w="1780" w:type="dxa"/>
            <w:vAlign w:val="bottom"/>
            <w:tcBorders>
              <w:top w:val="single" w:sz="8" w:color="0000FF"/>
            </w:tcBorders>
            <w:gridSpan w:val="20"/>
          </w:tcPr>
          <w:p>
            <w:pPr>
              <w:spacing w:after="0"/>
              <w:rPr>
                <w:sz w:val="19"/>
                <w:szCs w:val="19"/>
                <w:color w:val="auto"/>
              </w:rPr>
            </w:pPr>
          </w:p>
        </w:tc>
        <w:tc>
          <w:tcPr>
            <w:tcW w:w="6380" w:type="dxa"/>
            <w:vAlign w:val="bottom"/>
            <w:gridSpan w:val="15"/>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36</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Stock Ownership Guidelines for Officers</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36</w:t>
            </w: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tcBorders>
              <w:top w:val="single" w:sz="8" w:color="0000FF"/>
            </w:tcBorders>
            <w:gridSpan w:val="21"/>
          </w:tcPr>
          <w:p>
            <w:pPr>
              <w:spacing w:after="0"/>
              <w:rPr>
                <w:sz w:val="20"/>
                <w:szCs w:val="20"/>
                <w:color w:val="auto"/>
              </w:rPr>
            </w:pPr>
            <w:r>
              <w:rPr>
                <w:rFonts w:ascii="Arial" w:cs="Arial" w:eastAsia="Arial" w:hAnsi="Arial"/>
                <w:sz w:val="16"/>
                <w:szCs w:val="16"/>
                <w:color w:val="0000FF"/>
              </w:rPr>
              <w:t>Clawback Policy</w:t>
            </w:r>
          </w:p>
        </w:tc>
        <w:tc>
          <w:tcPr>
            <w:tcW w:w="6400" w:type="dxa"/>
            <w:vAlign w:val="bottom"/>
            <w:gridSpan w:val="16"/>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36</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0000FF"/>
              </w:rPr>
              <w:t>Risk Assessment Disclosure</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37</w:t>
            </w: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1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9"/>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Compensation Committee Report</w:t>
            </w:r>
          </w:p>
        </w:tc>
        <w:tc>
          <w:tcPr>
            <w:tcW w:w="6940" w:type="dxa"/>
            <w:vAlign w:val="bottom"/>
            <w:gridSpan w:val="23"/>
          </w:tcPr>
          <w:p>
            <w:pPr>
              <w:spacing w:after="0"/>
              <w:rPr>
                <w:sz w:val="19"/>
                <w:szCs w:val="19"/>
                <w:color w:val="auto"/>
              </w:rPr>
            </w:pP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37</w:t>
            </w:r>
          </w:p>
        </w:tc>
      </w:tr>
      <w:tr>
        <w:trPr>
          <w:trHeight w:val="289"/>
        </w:trPr>
        <w:tc>
          <w:tcPr>
            <w:tcW w:w="20" w:type="dxa"/>
            <w:vAlign w:val="bottom"/>
          </w:tcPr>
          <w:p>
            <w:pPr>
              <w:spacing w:after="0"/>
              <w:rPr>
                <w:sz w:val="24"/>
                <w:szCs w:val="24"/>
                <w:color w:val="auto"/>
              </w:rPr>
            </w:pPr>
          </w:p>
        </w:tc>
        <w:tc>
          <w:tcPr>
            <w:tcW w:w="9420" w:type="dxa"/>
            <w:vAlign w:val="bottom"/>
            <w:gridSpan w:val="39"/>
          </w:tcPr>
          <w:p>
            <w:pPr>
              <w:spacing w:after="0"/>
              <w:rPr>
                <w:sz w:val="20"/>
                <w:szCs w:val="20"/>
                <w:color w:val="auto"/>
              </w:rPr>
            </w:pPr>
            <w:r>
              <w:rPr>
                <w:rFonts w:ascii="Arial" w:cs="Arial" w:eastAsia="Arial" w:hAnsi="Arial"/>
                <w:sz w:val="18"/>
                <w:szCs w:val="18"/>
                <w:b w:val="1"/>
                <w:bCs w:val="1"/>
                <w:color w:val="0000FF"/>
              </w:rPr>
              <w:t>2025 Summary Compensation Table</w:t>
            </w:r>
          </w:p>
        </w:tc>
        <w:tc>
          <w:tcPr>
            <w:tcW w:w="1800" w:type="dxa"/>
            <w:vAlign w:val="bottom"/>
          </w:tcPr>
          <w:p>
            <w:pPr>
              <w:jc w:val="center"/>
              <w:ind w:left="900"/>
              <w:spacing w:after="0"/>
              <w:rPr>
                <w:sz w:val="20"/>
                <w:szCs w:val="20"/>
                <w:color w:val="auto"/>
              </w:rPr>
            </w:pPr>
            <w:r>
              <w:rPr>
                <w:rFonts w:ascii="Arial" w:cs="Arial" w:eastAsia="Arial" w:hAnsi="Arial"/>
                <w:sz w:val="16"/>
                <w:szCs w:val="16"/>
                <w:color w:val="0000FF"/>
              </w:rPr>
              <w:t>38</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00" w:type="dxa"/>
            <w:vAlign w:val="bottom"/>
            <w:gridSpan w:val="23"/>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gridSpan w:val="37"/>
          </w:tcPr>
          <w:p>
            <w:pPr>
              <w:spacing w:after="0"/>
              <w:rPr>
                <w:sz w:val="20"/>
                <w:szCs w:val="20"/>
                <w:color w:val="auto"/>
              </w:rPr>
            </w:pPr>
            <w:r>
              <w:rPr>
                <w:rFonts w:ascii="Arial" w:cs="Arial" w:eastAsia="Arial" w:hAnsi="Arial"/>
                <w:sz w:val="16"/>
                <w:szCs w:val="16"/>
                <w:color w:val="3051F2"/>
              </w:rPr>
              <w:t>Grants of Plan-Based Awards in Fiscal 2025</w:t>
            </w:r>
          </w:p>
        </w:tc>
        <w:tc>
          <w:tcPr>
            <w:tcW w:w="1800" w:type="dxa"/>
            <w:vAlign w:val="bottom"/>
          </w:tcPr>
          <w:p>
            <w:pPr>
              <w:jc w:val="center"/>
              <w:ind w:left="900"/>
              <w:spacing w:after="0"/>
              <w:rPr>
                <w:sz w:val="20"/>
                <w:szCs w:val="20"/>
                <w:color w:val="auto"/>
              </w:rPr>
            </w:pPr>
            <w:r>
              <w:rPr>
                <w:rFonts w:ascii="Arial" w:cs="Arial" w:eastAsia="Arial" w:hAnsi="Arial"/>
                <w:sz w:val="16"/>
                <w:szCs w:val="16"/>
                <w:color w:val="3051F2"/>
              </w:rPr>
              <w:t>39</w:t>
            </w:r>
          </w:p>
        </w:tc>
      </w:tr>
      <w:tr>
        <w:trPr>
          <w:trHeight w:val="1048"/>
        </w:trPr>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22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16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4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20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20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4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003B71"/>
            </w:tcBorders>
          </w:tcPr>
          <w:p>
            <w:pPr>
              <w:spacing w:after="0"/>
              <w:rPr>
                <w:sz w:val="17"/>
                <w:szCs w:val="17"/>
                <w:color w:val="auto"/>
              </w:rPr>
            </w:pPr>
          </w:p>
        </w:tc>
        <w:tc>
          <w:tcPr>
            <w:tcW w:w="160" w:type="dxa"/>
            <w:vAlign w:val="bottom"/>
            <w:tcBorders>
              <w:bottom w:val="single" w:sz="8" w:color="003B71"/>
            </w:tcBorders>
          </w:tcPr>
          <w:p>
            <w:pPr>
              <w:spacing w:after="0"/>
              <w:rPr>
                <w:sz w:val="17"/>
                <w:szCs w:val="17"/>
                <w:color w:val="auto"/>
              </w:rPr>
            </w:pPr>
          </w:p>
        </w:tc>
        <w:tc>
          <w:tcPr>
            <w:tcW w:w="320" w:type="dxa"/>
            <w:vAlign w:val="bottom"/>
            <w:tcBorders>
              <w:bottom w:val="single" w:sz="8" w:color="003B71"/>
            </w:tcBorders>
          </w:tcPr>
          <w:p>
            <w:pPr>
              <w:spacing w:after="0"/>
              <w:rPr>
                <w:sz w:val="17"/>
                <w:szCs w:val="17"/>
                <w:color w:val="auto"/>
              </w:rPr>
            </w:pPr>
          </w:p>
        </w:tc>
        <w:tc>
          <w:tcPr>
            <w:tcW w:w="840" w:type="dxa"/>
            <w:vAlign w:val="bottom"/>
            <w:tcBorders>
              <w:bottom w:val="single" w:sz="8" w:color="003B71"/>
            </w:tcBorders>
          </w:tcPr>
          <w:p>
            <w:pPr>
              <w:spacing w:after="0"/>
              <w:rPr>
                <w:sz w:val="17"/>
                <w:szCs w:val="17"/>
                <w:color w:val="auto"/>
              </w:rPr>
            </w:pPr>
          </w:p>
        </w:tc>
        <w:tc>
          <w:tcPr>
            <w:tcW w:w="640" w:type="dxa"/>
            <w:vAlign w:val="bottom"/>
            <w:tcBorders>
              <w:bottom w:val="single" w:sz="8" w:color="003B71"/>
            </w:tcBorders>
          </w:tcPr>
          <w:p>
            <w:pPr>
              <w:spacing w:after="0"/>
              <w:rPr>
                <w:sz w:val="17"/>
                <w:szCs w:val="17"/>
                <w:color w:val="auto"/>
              </w:rPr>
            </w:pPr>
          </w:p>
        </w:tc>
        <w:tc>
          <w:tcPr>
            <w:tcW w:w="500" w:type="dxa"/>
            <w:vAlign w:val="bottom"/>
            <w:tcBorders>
              <w:bottom w:val="single" w:sz="8" w:color="003B71"/>
            </w:tcBorders>
          </w:tcPr>
          <w:p>
            <w:pPr>
              <w:spacing w:after="0"/>
              <w:rPr>
                <w:sz w:val="17"/>
                <w:szCs w:val="17"/>
                <w:color w:val="auto"/>
              </w:rPr>
            </w:pPr>
          </w:p>
        </w:tc>
        <w:tc>
          <w:tcPr>
            <w:tcW w:w="140" w:type="dxa"/>
            <w:vAlign w:val="bottom"/>
            <w:tcBorders>
              <w:bottom w:val="single" w:sz="8" w:color="003B71"/>
            </w:tcBorders>
          </w:tcPr>
          <w:p>
            <w:pPr>
              <w:spacing w:after="0"/>
              <w:rPr>
                <w:sz w:val="17"/>
                <w:szCs w:val="17"/>
                <w:color w:val="auto"/>
              </w:rPr>
            </w:pPr>
          </w:p>
        </w:tc>
        <w:tc>
          <w:tcPr>
            <w:tcW w:w="220" w:type="dxa"/>
            <w:vAlign w:val="bottom"/>
            <w:tcBorders>
              <w:bottom w:val="single" w:sz="8" w:color="003B71"/>
            </w:tcBorders>
          </w:tcPr>
          <w:p>
            <w:pPr>
              <w:spacing w:after="0"/>
              <w:rPr>
                <w:sz w:val="17"/>
                <w:szCs w:val="17"/>
                <w:color w:val="auto"/>
              </w:rPr>
            </w:pPr>
          </w:p>
        </w:tc>
        <w:tc>
          <w:tcPr>
            <w:tcW w:w="100" w:type="dxa"/>
            <w:vAlign w:val="bottom"/>
            <w:tcBorders>
              <w:bottom w:val="single" w:sz="8" w:color="003B71"/>
            </w:tcBorders>
          </w:tcPr>
          <w:p>
            <w:pPr>
              <w:spacing w:after="0"/>
              <w:rPr>
                <w:sz w:val="17"/>
                <w:szCs w:val="17"/>
                <w:color w:val="auto"/>
              </w:rPr>
            </w:pPr>
          </w:p>
        </w:tc>
        <w:tc>
          <w:tcPr>
            <w:tcW w:w="60" w:type="dxa"/>
            <w:vAlign w:val="bottom"/>
            <w:tcBorders>
              <w:bottom w:val="single" w:sz="8" w:color="003B71"/>
            </w:tcBorders>
          </w:tcPr>
          <w:p>
            <w:pPr>
              <w:spacing w:after="0"/>
              <w:rPr>
                <w:sz w:val="17"/>
                <w:szCs w:val="17"/>
                <w:color w:val="auto"/>
              </w:rPr>
            </w:pPr>
          </w:p>
        </w:tc>
        <w:tc>
          <w:tcPr>
            <w:tcW w:w="280" w:type="dxa"/>
            <w:vAlign w:val="bottom"/>
            <w:tcBorders>
              <w:bottom w:val="single" w:sz="8" w:color="003B71"/>
            </w:tcBorders>
          </w:tcPr>
          <w:p>
            <w:pPr>
              <w:spacing w:after="0"/>
              <w:rPr>
                <w:sz w:val="17"/>
                <w:szCs w:val="17"/>
                <w:color w:val="auto"/>
              </w:rPr>
            </w:pPr>
          </w:p>
        </w:tc>
        <w:tc>
          <w:tcPr>
            <w:tcW w:w="300" w:type="dxa"/>
            <w:vAlign w:val="bottom"/>
            <w:tcBorders>
              <w:bottom w:val="single" w:sz="8" w:color="003B71"/>
            </w:tcBorders>
          </w:tcPr>
          <w:p>
            <w:pPr>
              <w:spacing w:after="0"/>
              <w:rPr>
                <w:sz w:val="17"/>
                <w:szCs w:val="17"/>
                <w:color w:val="auto"/>
              </w:rPr>
            </w:pPr>
          </w:p>
        </w:tc>
        <w:tc>
          <w:tcPr>
            <w:tcW w:w="120" w:type="dxa"/>
            <w:vAlign w:val="bottom"/>
            <w:tcBorders>
              <w:bottom w:val="single" w:sz="8" w:color="003B71"/>
            </w:tcBorders>
          </w:tcPr>
          <w:p>
            <w:pPr>
              <w:spacing w:after="0"/>
              <w:rPr>
                <w:sz w:val="17"/>
                <w:szCs w:val="17"/>
                <w:color w:val="auto"/>
              </w:rPr>
            </w:pPr>
          </w:p>
        </w:tc>
        <w:tc>
          <w:tcPr>
            <w:tcW w:w="120" w:type="dxa"/>
            <w:vAlign w:val="bottom"/>
            <w:tcBorders>
              <w:bottom w:val="single" w:sz="8" w:color="003B71"/>
            </w:tcBorders>
          </w:tcPr>
          <w:p>
            <w:pPr>
              <w:spacing w:after="0"/>
              <w:rPr>
                <w:sz w:val="17"/>
                <w:szCs w:val="17"/>
                <w:color w:val="auto"/>
              </w:rPr>
            </w:pPr>
          </w:p>
        </w:tc>
        <w:tc>
          <w:tcPr>
            <w:tcW w:w="60" w:type="dxa"/>
            <w:vAlign w:val="bottom"/>
            <w:tcBorders>
              <w:bottom w:val="single" w:sz="8" w:color="003B71"/>
            </w:tcBorders>
          </w:tcPr>
          <w:p>
            <w:pPr>
              <w:spacing w:after="0"/>
              <w:rPr>
                <w:sz w:val="17"/>
                <w:szCs w:val="17"/>
                <w:color w:val="auto"/>
              </w:rPr>
            </w:pPr>
          </w:p>
        </w:tc>
        <w:tc>
          <w:tcPr>
            <w:tcW w:w="380" w:type="dxa"/>
            <w:vAlign w:val="bottom"/>
            <w:tcBorders>
              <w:bottom w:val="single" w:sz="8" w:color="003B71"/>
            </w:tcBorders>
          </w:tcPr>
          <w:p>
            <w:pPr>
              <w:spacing w:after="0"/>
              <w:rPr>
                <w:sz w:val="17"/>
                <w:szCs w:val="17"/>
                <w:color w:val="auto"/>
              </w:rPr>
            </w:pPr>
          </w:p>
        </w:tc>
        <w:tc>
          <w:tcPr>
            <w:tcW w:w="140" w:type="dxa"/>
            <w:vAlign w:val="bottom"/>
            <w:tcBorders>
              <w:bottom w:val="single" w:sz="8" w:color="003B71"/>
            </w:tcBorders>
          </w:tcPr>
          <w:p>
            <w:pPr>
              <w:spacing w:after="0"/>
              <w:rPr>
                <w:sz w:val="17"/>
                <w:szCs w:val="17"/>
                <w:color w:val="auto"/>
              </w:rPr>
            </w:pPr>
          </w:p>
        </w:tc>
        <w:tc>
          <w:tcPr>
            <w:tcW w:w="6840" w:type="dxa"/>
            <w:vAlign w:val="bottom"/>
            <w:tcBorders>
              <w:bottom w:val="single" w:sz="8" w:color="003B71"/>
            </w:tcBorders>
          </w:tcPr>
          <w:p>
            <w:pPr>
              <w:jc w:val="center"/>
              <w:ind w:left="5940"/>
              <w:spacing w:after="0"/>
              <w:rPr>
                <w:sz w:val="20"/>
                <w:szCs w:val="20"/>
                <w:color w:val="auto"/>
              </w:rPr>
            </w:pPr>
            <w:r>
              <w:rPr>
                <w:rFonts w:ascii="Arial" w:cs="Arial" w:eastAsia="Arial" w:hAnsi="Arial"/>
                <w:sz w:val="14"/>
                <w:szCs w:val="14"/>
                <w:b w:val="1"/>
                <w:bCs w:val="1"/>
                <w:color w:val="003B71"/>
              </w:rPr>
              <w:t>Page</w:t>
            </w: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20" w:type="dxa"/>
            <w:vAlign w:val="bottom"/>
            <w:gridSpan w:val="15"/>
          </w:tcPr>
          <w:p>
            <w:pPr>
              <w:spacing w:after="0"/>
              <w:rPr>
                <w:sz w:val="20"/>
                <w:szCs w:val="20"/>
                <w:color w:val="auto"/>
              </w:rPr>
            </w:pPr>
            <w:r>
              <w:rPr>
                <w:rFonts w:ascii="Arial" w:cs="Arial" w:eastAsia="Arial" w:hAnsi="Arial"/>
                <w:sz w:val="16"/>
                <w:szCs w:val="16"/>
                <w:color w:val="3051F2"/>
              </w:rPr>
              <w:t>Outstanding Equity Awards at Fiscal Year-End 2025</w:t>
            </w:r>
          </w:p>
        </w:tc>
        <w:tc>
          <w:tcPr>
            <w:tcW w:w="6840" w:type="dxa"/>
            <w:vAlign w:val="bottom"/>
          </w:tcPr>
          <w:p>
            <w:pPr>
              <w:jc w:val="center"/>
              <w:ind w:left="5940"/>
              <w:spacing w:after="0"/>
              <w:rPr>
                <w:sz w:val="20"/>
                <w:szCs w:val="20"/>
                <w:color w:val="auto"/>
              </w:rPr>
            </w:pPr>
            <w:r>
              <w:rPr>
                <w:rFonts w:ascii="Arial" w:cs="Arial" w:eastAsia="Arial" w:hAnsi="Arial"/>
                <w:sz w:val="16"/>
                <w:szCs w:val="16"/>
                <w:color w:val="3051F2"/>
              </w:rPr>
              <w:t>42</w:t>
            </w: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0" w:type="dxa"/>
            <w:vAlign w:val="bottom"/>
            <w:tcBorders>
              <w:top w:val="single" w:sz="8" w:color="3051F2"/>
              <w:bottom w:val="single" w:sz="8" w:color="0000FF"/>
            </w:tcBorders>
            <w:gridSpan w:val="10"/>
          </w:tcPr>
          <w:p>
            <w:pPr>
              <w:spacing w:after="0"/>
              <w:rPr>
                <w:sz w:val="20"/>
                <w:szCs w:val="20"/>
                <w:color w:val="auto"/>
              </w:rPr>
            </w:pPr>
            <w:r>
              <w:rPr>
                <w:rFonts w:ascii="Arial" w:cs="Arial" w:eastAsia="Arial" w:hAnsi="Arial"/>
                <w:sz w:val="16"/>
                <w:szCs w:val="16"/>
                <w:color w:val="0000FF"/>
              </w:rPr>
              <w:t>Fiscal 2025 Option Exercises and Stock Vested</w:t>
            </w:r>
          </w:p>
        </w:tc>
        <w:tc>
          <w:tcPr>
            <w:tcW w:w="300" w:type="dxa"/>
            <w:vAlign w:val="bottom"/>
            <w:tcBorders>
              <w:top w:val="single" w:sz="8" w:color="3051F2"/>
            </w:tcBorders>
            <w:gridSpan w:val="3"/>
          </w:tcPr>
          <w:p>
            <w:pPr>
              <w:spacing w:after="0"/>
              <w:rPr>
                <w:sz w:val="19"/>
                <w:szCs w:val="19"/>
                <w:color w:val="auto"/>
              </w:rPr>
            </w:pPr>
          </w:p>
        </w:tc>
        <w:tc>
          <w:tcPr>
            <w:tcW w:w="520" w:type="dxa"/>
            <w:vAlign w:val="bottom"/>
            <w:gridSpan w:val="2"/>
          </w:tcPr>
          <w:p>
            <w:pPr>
              <w:spacing w:after="0"/>
              <w:rPr>
                <w:sz w:val="19"/>
                <w:szCs w:val="19"/>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43</w:t>
            </w: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20" w:type="dxa"/>
            <w:vAlign w:val="bottom"/>
            <w:gridSpan w:val="15"/>
          </w:tcPr>
          <w:p>
            <w:pPr>
              <w:spacing w:after="0"/>
              <w:rPr>
                <w:sz w:val="20"/>
                <w:szCs w:val="20"/>
                <w:color w:val="auto"/>
              </w:rPr>
            </w:pPr>
            <w:r>
              <w:rPr>
                <w:rFonts w:ascii="Arial" w:cs="Arial" w:eastAsia="Arial" w:hAnsi="Arial"/>
                <w:sz w:val="16"/>
                <w:szCs w:val="16"/>
                <w:color w:val="0000FF"/>
              </w:rPr>
              <w:t>Fiscal 2025 Nonqualified Deferred Compensation</w:t>
            </w: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43</w:t>
            </w: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20" w:type="dxa"/>
            <w:vAlign w:val="bottom"/>
            <w:tcBorders>
              <w:top w:val="single" w:sz="8" w:color="0000FF"/>
            </w:tcBorders>
            <w:gridSpan w:val="11"/>
          </w:tcPr>
          <w:p>
            <w:pPr>
              <w:spacing w:after="0"/>
              <w:rPr>
                <w:sz w:val="20"/>
                <w:szCs w:val="20"/>
                <w:color w:val="auto"/>
              </w:rPr>
            </w:pPr>
            <w:r>
              <w:rPr>
                <w:rFonts w:ascii="Arial" w:cs="Arial" w:eastAsia="Arial" w:hAnsi="Arial"/>
                <w:sz w:val="16"/>
                <w:szCs w:val="16"/>
                <w:color w:val="0000FF"/>
              </w:rPr>
              <w:t>Pay vs. Performance Disclosure</w:t>
            </w:r>
          </w:p>
        </w:tc>
        <w:tc>
          <w:tcPr>
            <w:tcW w:w="700" w:type="dxa"/>
            <w:vAlign w:val="bottom"/>
            <w:gridSpan w:val="4"/>
          </w:tcPr>
          <w:p>
            <w:pPr>
              <w:spacing w:after="0"/>
              <w:rPr>
                <w:sz w:val="19"/>
                <w:szCs w:val="19"/>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44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Employment Agreements and Other Arrangements</w:t>
            </w:r>
          </w:p>
        </w:tc>
        <w:tc>
          <w:tcPr>
            <w:tcW w:w="580" w:type="dxa"/>
            <w:vAlign w:val="bottom"/>
            <w:gridSpan w:val="3"/>
          </w:tcPr>
          <w:p>
            <w:pPr>
              <w:spacing w:after="0"/>
              <w:rPr>
                <w:sz w:val="19"/>
                <w:szCs w:val="19"/>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48</w:t>
            </w: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2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9"/>
              </w:rPr>
              <w:t>Potential Payments upon Termination or Change-in-Control</w:t>
            </w: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48</w:t>
            </w: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Equity Compensation Plan Information</w:t>
            </w:r>
          </w:p>
        </w:tc>
        <w:tc>
          <w:tcPr>
            <w:tcW w:w="1460" w:type="dxa"/>
            <w:vAlign w:val="bottom"/>
            <w:gridSpan w:val="8"/>
          </w:tcPr>
          <w:p>
            <w:pPr>
              <w:spacing w:after="0"/>
              <w:rPr>
                <w:sz w:val="19"/>
                <w:szCs w:val="19"/>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55</w:t>
            </w:r>
          </w:p>
        </w:tc>
      </w:tr>
      <w:tr>
        <w:trPr>
          <w:trHeight w:val="289"/>
        </w:trPr>
        <w:tc>
          <w:tcPr>
            <w:tcW w:w="20" w:type="dxa"/>
            <w:vAlign w:val="bottom"/>
          </w:tcPr>
          <w:p>
            <w:pPr>
              <w:spacing w:after="0"/>
              <w:rPr>
                <w:sz w:val="24"/>
                <w:szCs w:val="24"/>
                <w:color w:val="auto"/>
              </w:rPr>
            </w:pPr>
          </w:p>
        </w:tc>
        <w:tc>
          <w:tcPr>
            <w:tcW w:w="29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w w:val="98"/>
              </w:rPr>
              <w:t>Transactions with Related Persons</w:t>
            </w:r>
          </w:p>
        </w:tc>
        <w:tc>
          <w:tcPr>
            <w:tcW w:w="1400" w:type="dxa"/>
            <w:vAlign w:val="bottom"/>
            <w:gridSpan w:val="7"/>
          </w:tcPr>
          <w:p>
            <w:pPr>
              <w:spacing w:after="0"/>
              <w:rPr>
                <w:sz w:val="24"/>
                <w:szCs w:val="24"/>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56</w:t>
            </w:r>
          </w:p>
        </w:tc>
      </w:tr>
      <w:tr>
        <w:trPr>
          <w:trHeight w:val="289"/>
        </w:trPr>
        <w:tc>
          <w:tcPr>
            <w:tcW w:w="20" w:type="dxa"/>
            <w:vAlign w:val="bottom"/>
          </w:tcPr>
          <w:p>
            <w:pPr>
              <w:spacing w:after="0"/>
              <w:rPr>
                <w:sz w:val="24"/>
                <w:szCs w:val="24"/>
                <w:color w:val="auto"/>
              </w:rPr>
            </w:pPr>
          </w:p>
        </w:tc>
        <w:tc>
          <w:tcPr>
            <w:tcW w:w="4380" w:type="dxa"/>
            <w:vAlign w:val="bottom"/>
            <w:gridSpan w:val="16"/>
          </w:tcPr>
          <w:p>
            <w:pPr>
              <w:spacing w:after="0"/>
              <w:rPr>
                <w:sz w:val="20"/>
                <w:szCs w:val="20"/>
                <w:color w:val="auto"/>
              </w:rPr>
            </w:pPr>
            <w:r>
              <w:rPr>
                <w:rFonts w:ascii="Arial" w:cs="Arial" w:eastAsia="Arial" w:hAnsi="Arial"/>
                <w:sz w:val="18"/>
                <w:szCs w:val="18"/>
                <w:b w:val="1"/>
                <w:bCs w:val="1"/>
                <w:color w:val="0000FF"/>
              </w:rPr>
              <w:t>Report of the Audit Committee</w:t>
            </w: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56</w:t>
            </w: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4380" w:type="dxa"/>
            <w:vAlign w:val="bottom"/>
            <w:gridSpan w:val="16"/>
          </w:tcPr>
          <w:p>
            <w:pPr>
              <w:spacing w:after="0"/>
              <w:rPr>
                <w:sz w:val="20"/>
                <w:szCs w:val="20"/>
                <w:color w:val="auto"/>
              </w:rPr>
            </w:pPr>
            <w:r>
              <w:rPr>
                <w:rFonts w:ascii="Arial" w:cs="Arial" w:eastAsia="Arial" w:hAnsi="Arial"/>
                <w:sz w:val="18"/>
                <w:szCs w:val="18"/>
                <w:b w:val="1"/>
                <w:bCs w:val="1"/>
                <w:color w:val="0000FF"/>
              </w:rPr>
              <w:t>Delinquent Section 16(a) Reports</w:t>
            </w: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57</w:t>
            </w:r>
          </w:p>
        </w:tc>
      </w:tr>
      <w:tr>
        <w:trPr>
          <w:trHeight w:val="289"/>
        </w:trPr>
        <w:tc>
          <w:tcPr>
            <w:tcW w:w="20" w:type="dxa"/>
            <w:vAlign w:val="bottom"/>
          </w:tcPr>
          <w:p>
            <w:pPr>
              <w:spacing w:after="0"/>
              <w:rPr>
                <w:sz w:val="24"/>
                <w:szCs w:val="24"/>
                <w:color w:val="auto"/>
              </w:rPr>
            </w:pPr>
          </w:p>
        </w:tc>
        <w:tc>
          <w:tcPr>
            <w:tcW w:w="282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0000FF"/>
              </w:rPr>
              <w:t>Shareholder Proposals</w:t>
            </w:r>
          </w:p>
        </w:tc>
        <w:tc>
          <w:tcPr>
            <w:tcW w:w="1560" w:type="dxa"/>
            <w:vAlign w:val="bottom"/>
            <w:gridSpan w:val="9"/>
          </w:tcPr>
          <w:p>
            <w:pPr>
              <w:spacing w:after="0"/>
              <w:rPr>
                <w:sz w:val="24"/>
                <w:szCs w:val="24"/>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57</w:t>
            </w:r>
          </w:p>
        </w:tc>
      </w:tr>
      <w:tr>
        <w:trPr>
          <w:trHeight w:val="289"/>
        </w:trPr>
        <w:tc>
          <w:tcPr>
            <w:tcW w:w="20" w:type="dxa"/>
            <w:vAlign w:val="bottom"/>
          </w:tcPr>
          <w:p>
            <w:pPr>
              <w:spacing w:after="0"/>
              <w:rPr>
                <w:sz w:val="24"/>
                <w:szCs w:val="24"/>
                <w:color w:val="auto"/>
              </w:rPr>
            </w:pPr>
          </w:p>
        </w:tc>
        <w:tc>
          <w:tcPr>
            <w:tcW w:w="1960" w:type="dxa"/>
            <w:vAlign w:val="bottom"/>
            <w:tcBorders>
              <w:top w:val="single" w:sz="8" w:color="0000FF"/>
            </w:tcBorders>
            <w:gridSpan w:val="4"/>
          </w:tcPr>
          <w:p>
            <w:pPr>
              <w:spacing w:after="0"/>
              <w:rPr>
                <w:sz w:val="20"/>
                <w:szCs w:val="20"/>
                <w:color w:val="auto"/>
              </w:rPr>
            </w:pPr>
            <w:r>
              <w:rPr>
                <w:rFonts w:ascii="Arial" w:cs="Arial" w:eastAsia="Arial" w:hAnsi="Arial"/>
                <w:sz w:val="18"/>
                <w:szCs w:val="18"/>
                <w:b w:val="1"/>
                <w:bCs w:val="1"/>
                <w:color w:val="0000FF"/>
              </w:rPr>
              <w:t>Other Business</w:t>
            </w:r>
          </w:p>
        </w:tc>
        <w:tc>
          <w:tcPr>
            <w:tcW w:w="2420" w:type="dxa"/>
            <w:vAlign w:val="bottom"/>
            <w:gridSpan w:val="12"/>
          </w:tcPr>
          <w:p>
            <w:pPr>
              <w:spacing w:after="0"/>
              <w:rPr>
                <w:sz w:val="24"/>
                <w:szCs w:val="24"/>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58</w:t>
            </w: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3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w w:val="98"/>
              </w:rPr>
              <w:t>Where You Can Find More Information</w:t>
            </w:r>
          </w:p>
        </w:tc>
        <w:tc>
          <w:tcPr>
            <w:tcW w:w="1120" w:type="dxa"/>
            <w:vAlign w:val="bottom"/>
            <w:gridSpan w:val="6"/>
          </w:tcPr>
          <w:p>
            <w:pPr>
              <w:spacing w:after="0"/>
              <w:rPr>
                <w:sz w:val="24"/>
                <w:szCs w:val="24"/>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58</w:t>
            </w:r>
          </w:p>
        </w:tc>
      </w:tr>
      <w:tr>
        <w:trPr>
          <w:trHeight w:val="289"/>
        </w:trPr>
        <w:tc>
          <w:tcPr>
            <w:tcW w:w="20" w:type="dxa"/>
            <w:vAlign w:val="bottom"/>
          </w:tcPr>
          <w:p>
            <w:pPr>
              <w:spacing w:after="0"/>
              <w:rPr>
                <w:sz w:val="24"/>
                <w:szCs w:val="24"/>
                <w:color w:val="auto"/>
              </w:rPr>
            </w:pPr>
          </w:p>
        </w:tc>
        <w:tc>
          <w:tcPr>
            <w:tcW w:w="4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5"/>
              </w:rPr>
              <w:t>FAQs</w:t>
            </w:r>
          </w:p>
        </w:tc>
        <w:tc>
          <w:tcPr>
            <w:tcW w:w="3900" w:type="dxa"/>
            <w:vAlign w:val="bottom"/>
            <w:gridSpan w:val="14"/>
          </w:tcPr>
          <w:p>
            <w:pPr>
              <w:spacing w:after="0"/>
              <w:rPr>
                <w:sz w:val="24"/>
                <w:szCs w:val="24"/>
                <w:color w:val="auto"/>
              </w:rPr>
            </w:pP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59</w:t>
            </w:r>
          </w:p>
        </w:tc>
      </w:tr>
      <w:tr>
        <w:trPr>
          <w:trHeight w:val="235"/>
        </w:trPr>
        <w:tc>
          <w:tcPr>
            <w:tcW w:w="20" w:type="dxa"/>
            <w:vAlign w:val="bottom"/>
          </w:tcPr>
          <w:p>
            <w:pPr>
              <w:spacing w:after="0"/>
              <w:rPr>
                <w:sz w:val="20"/>
                <w:szCs w:val="20"/>
                <w:color w:val="auto"/>
              </w:rPr>
            </w:pPr>
          </w:p>
        </w:tc>
        <w:tc>
          <w:tcPr>
            <w:tcW w:w="4380" w:type="dxa"/>
            <w:vAlign w:val="bottom"/>
            <w:gridSpan w:val="16"/>
          </w:tcPr>
          <w:p>
            <w:pPr>
              <w:spacing w:after="0"/>
              <w:rPr>
                <w:sz w:val="20"/>
                <w:szCs w:val="20"/>
                <w:color w:val="auto"/>
              </w:rPr>
            </w:pPr>
            <w:r>
              <w:rPr>
                <w:rFonts w:ascii="Arial" w:cs="Arial" w:eastAsia="Arial" w:hAnsi="Arial"/>
                <w:sz w:val="18"/>
                <w:szCs w:val="18"/>
                <w:b w:val="1"/>
                <w:bCs w:val="1"/>
                <w:color w:val="0000FF"/>
              </w:rPr>
              <w:t>Appendix A – Supplemental Financial Information</w:t>
            </w:r>
          </w:p>
        </w:tc>
        <w:tc>
          <w:tcPr>
            <w:tcW w:w="6840" w:type="dxa"/>
            <w:vAlign w:val="bottom"/>
          </w:tcPr>
          <w:p>
            <w:pPr>
              <w:jc w:val="center"/>
              <w:ind w:left="5940"/>
              <w:spacing w:after="0"/>
              <w:rPr>
                <w:sz w:val="20"/>
                <w:szCs w:val="20"/>
                <w:color w:val="auto"/>
              </w:rPr>
            </w:pPr>
            <w:r>
              <w:rPr>
                <w:rFonts w:ascii="Arial" w:cs="Arial" w:eastAsia="Arial" w:hAnsi="Arial"/>
                <w:sz w:val="16"/>
                <w:szCs w:val="16"/>
                <w:color w:val="0000FF"/>
              </w:rPr>
              <w:t>65</w:t>
            </w:r>
          </w:p>
        </w:tc>
      </w:tr>
      <w:tr>
        <w:trPr>
          <w:trHeight w:val="1102"/>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39"/>
          <w:szCs w:val="39"/>
          <w:color w:val="003B71"/>
        </w:rPr>
        <w:t>2026 Proxy Statement Summary</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summary highlights selected information on Dave &amp; Buster’s Entertainment, Inc., a Delaware corporation (sometimes referred to herein as “we”, “us”, “our” or the “Company”) that is provided in more detail throughout this proxy statement (the “Proxy Statement”). This summary does not contain all of the information you should consider before voting, and you should read the entire Proxy Statement before casting your vote. Beginning on or around May 6, 2026, we sent a Notice Regarding the Availability of Proxy Materials to all shareholders entitled to vote at the Company’s 2026 Annual Meeting of Shareholders (the “Annual Meeting”), together with instructions on how to access our proxy materials over the internet and how to vote.</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2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720" w:type="dxa"/>
            <w:vAlign w:val="bottom"/>
            <w:shd w:val="clear" w:color="auto" w:fill="003B71"/>
          </w:tcPr>
          <w:p>
            <w:pPr>
              <w:ind w:left="20"/>
              <w:spacing w:after="0"/>
              <w:rPr>
                <w:sz w:val="20"/>
                <w:szCs w:val="20"/>
                <w:color w:val="auto"/>
              </w:rPr>
            </w:pPr>
            <w:r>
              <w:rPr>
                <w:rFonts w:ascii="Arial" w:cs="Arial" w:eastAsia="Arial" w:hAnsi="Arial"/>
                <w:sz w:val="18"/>
                <w:szCs w:val="18"/>
                <w:b w:val="1"/>
                <w:bCs w:val="1"/>
                <w:color w:val="FFFFFF"/>
              </w:rPr>
              <w:t>Date:</w:t>
            </w:r>
          </w:p>
        </w:tc>
        <w:tc>
          <w:tcPr>
            <w:tcW w:w="3680" w:type="dxa"/>
            <w:vAlign w:val="bottom"/>
            <w:shd w:val="clear" w:color="auto" w:fill="003B71"/>
          </w:tcPr>
          <w:p>
            <w:pPr>
              <w:ind w:left="20"/>
              <w:spacing w:after="0"/>
              <w:rPr>
                <w:sz w:val="20"/>
                <w:szCs w:val="20"/>
                <w:color w:val="auto"/>
              </w:rPr>
            </w:pPr>
            <w:r>
              <w:rPr>
                <w:rFonts w:ascii="Arial" w:cs="Arial" w:eastAsia="Arial" w:hAnsi="Arial"/>
                <w:sz w:val="18"/>
                <w:szCs w:val="18"/>
                <w:color w:val="FFFFFF"/>
              </w:rPr>
              <w:t>Thursday, June 18, 2026</w:t>
            </w:r>
          </w:p>
        </w:tc>
      </w:tr>
      <w:tr>
        <w:trPr>
          <w:trHeight w:val="897"/>
        </w:trPr>
        <w:tc>
          <w:tcPr>
            <w:tcW w:w="1720" w:type="dxa"/>
            <w:vAlign w:val="bottom"/>
            <w:shd w:val="clear" w:color="auto" w:fill="003B71"/>
          </w:tcPr>
          <w:p>
            <w:pPr>
              <w:ind w:left="20"/>
              <w:spacing w:after="0"/>
              <w:rPr>
                <w:sz w:val="20"/>
                <w:szCs w:val="20"/>
                <w:color w:val="auto"/>
              </w:rPr>
            </w:pPr>
            <w:r>
              <w:rPr>
                <w:rFonts w:ascii="Arial" w:cs="Arial" w:eastAsia="Arial" w:hAnsi="Arial"/>
                <w:sz w:val="18"/>
                <w:szCs w:val="18"/>
                <w:b w:val="1"/>
                <w:bCs w:val="1"/>
                <w:color w:val="FFFFFF"/>
              </w:rPr>
              <w:t>Time:</w:t>
            </w:r>
          </w:p>
        </w:tc>
        <w:tc>
          <w:tcPr>
            <w:tcW w:w="3680" w:type="dxa"/>
            <w:vAlign w:val="bottom"/>
            <w:shd w:val="clear" w:color="auto" w:fill="003B71"/>
          </w:tcPr>
          <w:p>
            <w:pPr>
              <w:ind w:left="20"/>
              <w:spacing w:after="0"/>
              <w:rPr>
                <w:sz w:val="20"/>
                <w:szCs w:val="20"/>
                <w:color w:val="auto"/>
              </w:rPr>
            </w:pPr>
            <w:r>
              <w:rPr>
                <w:rFonts w:ascii="Arial" w:cs="Arial" w:eastAsia="Arial" w:hAnsi="Arial"/>
                <w:sz w:val="18"/>
                <w:szCs w:val="18"/>
                <w:color w:val="FFFFFF"/>
              </w:rPr>
              <w:t>4:30 p.m.</w:t>
            </w:r>
          </w:p>
        </w:tc>
      </w:tr>
      <w:tr>
        <w:trPr>
          <w:trHeight w:val="238"/>
        </w:trPr>
        <w:tc>
          <w:tcPr>
            <w:tcW w:w="1720" w:type="dxa"/>
            <w:vAlign w:val="bottom"/>
            <w:shd w:val="clear" w:color="auto" w:fill="003B71"/>
          </w:tcPr>
          <w:p>
            <w:pPr>
              <w:spacing w:after="0"/>
              <w:rPr>
                <w:sz w:val="20"/>
                <w:szCs w:val="20"/>
                <w:color w:val="auto"/>
              </w:rPr>
            </w:pPr>
          </w:p>
        </w:tc>
        <w:tc>
          <w:tcPr>
            <w:tcW w:w="3680" w:type="dxa"/>
            <w:vAlign w:val="bottom"/>
            <w:shd w:val="clear" w:color="auto" w:fill="003B71"/>
          </w:tcPr>
          <w:p>
            <w:pPr>
              <w:ind w:left="20"/>
              <w:spacing w:after="0"/>
              <w:rPr>
                <w:sz w:val="20"/>
                <w:szCs w:val="20"/>
                <w:color w:val="auto"/>
              </w:rPr>
            </w:pPr>
            <w:r>
              <w:rPr>
                <w:rFonts w:ascii="Arial" w:cs="Arial" w:eastAsia="Arial" w:hAnsi="Arial"/>
                <w:sz w:val="18"/>
                <w:szCs w:val="18"/>
                <w:color w:val="FFFFFF"/>
              </w:rPr>
              <w:t>Central Daylight Time</w:t>
            </w:r>
          </w:p>
        </w:tc>
      </w:tr>
      <w:tr>
        <w:trPr>
          <w:trHeight w:val="760"/>
        </w:trPr>
        <w:tc>
          <w:tcPr>
            <w:tcW w:w="1720" w:type="dxa"/>
            <w:vAlign w:val="bottom"/>
            <w:shd w:val="clear" w:color="auto" w:fill="003B71"/>
          </w:tcPr>
          <w:p>
            <w:pPr>
              <w:ind w:left="20"/>
              <w:spacing w:after="0"/>
              <w:rPr>
                <w:sz w:val="20"/>
                <w:szCs w:val="20"/>
                <w:color w:val="auto"/>
              </w:rPr>
            </w:pPr>
            <w:r>
              <w:rPr>
                <w:rFonts w:ascii="Arial" w:cs="Arial" w:eastAsia="Arial" w:hAnsi="Arial"/>
                <w:sz w:val="18"/>
                <w:szCs w:val="18"/>
                <w:b w:val="1"/>
                <w:bCs w:val="1"/>
                <w:color w:val="FFFFFF"/>
              </w:rPr>
              <w:t>Place:</w:t>
            </w:r>
          </w:p>
        </w:tc>
        <w:tc>
          <w:tcPr>
            <w:tcW w:w="3680" w:type="dxa"/>
            <w:vAlign w:val="bottom"/>
            <w:shd w:val="clear" w:color="auto" w:fill="003B71"/>
          </w:tcPr>
          <w:p>
            <w:pPr>
              <w:ind w:left="20"/>
              <w:spacing w:after="0"/>
              <w:rPr>
                <w:sz w:val="20"/>
                <w:szCs w:val="20"/>
                <w:color w:val="auto"/>
              </w:rPr>
            </w:pPr>
            <w:r>
              <w:rPr>
                <w:rFonts w:ascii="Arial" w:cs="Arial" w:eastAsia="Arial" w:hAnsi="Arial"/>
                <w:sz w:val="18"/>
                <w:szCs w:val="18"/>
                <w:color w:val="FFFFFF"/>
              </w:rPr>
              <w:t>The Annual Meeting will be held virtually.</w:t>
            </w:r>
          </w:p>
        </w:tc>
      </w:tr>
      <w:tr>
        <w:trPr>
          <w:trHeight w:val="954"/>
        </w:trPr>
        <w:tc>
          <w:tcPr>
            <w:tcW w:w="1720" w:type="dxa"/>
            <w:vAlign w:val="bottom"/>
            <w:shd w:val="clear" w:color="auto" w:fill="003B71"/>
          </w:tcPr>
          <w:p>
            <w:pPr>
              <w:ind w:left="20"/>
              <w:spacing w:after="0"/>
              <w:rPr>
                <w:sz w:val="20"/>
                <w:szCs w:val="20"/>
                <w:color w:val="auto"/>
              </w:rPr>
            </w:pPr>
            <w:r>
              <w:rPr>
                <w:rFonts w:ascii="Arial" w:cs="Arial" w:eastAsia="Arial" w:hAnsi="Arial"/>
                <w:sz w:val="18"/>
                <w:szCs w:val="18"/>
                <w:b w:val="1"/>
                <w:bCs w:val="1"/>
                <w:color w:val="FFFFFF"/>
              </w:rPr>
              <w:t>Webpage:</w:t>
            </w:r>
          </w:p>
        </w:tc>
        <w:tc>
          <w:tcPr>
            <w:tcW w:w="3680" w:type="dxa"/>
            <w:vAlign w:val="bottom"/>
            <w:shd w:val="clear" w:color="auto" w:fill="003B71"/>
          </w:tcPr>
          <w:p>
            <w:pPr>
              <w:ind w:left="20"/>
              <w:spacing w:after="0"/>
              <w:rPr>
                <w:sz w:val="20"/>
                <w:szCs w:val="20"/>
                <w:color w:val="auto"/>
              </w:rPr>
            </w:pPr>
            <w:r>
              <w:rPr>
                <w:rFonts w:ascii="Arial" w:cs="Arial" w:eastAsia="Arial" w:hAnsi="Arial"/>
                <w:sz w:val="18"/>
                <w:szCs w:val="18"/>
                <w:i w:val="1"/>
                <w:iCs w:val="1"/>
                <w:color w:val="FFFFFF"/>
              </w:rPr>
              <w:t>www.meetnow.global/MRYSKX5</w:t>
            </w:r>
          </w:p>
        </w:tc>
      </w:tr>
      <w:tr>
        <w:trPr>
          <w:trHeight w:val="887"/>
        </w:trPr>
        <w:tc>
          <w:tcPr>
            <w:tcW w:w="1720" w:type="dxa"/>
            <w:vAlign w:val="bottom"/>
            <w:shd w:val="clear" w:color="auto" w:fill="003B71"/>
          </w:tcPr>
          <w:p>
            <w:pPr>
              <w:ind w:left="40"/>
              <w:spacing w:after="0"/>
              <w:rPr>
                <w:sz w:val="20"/>
                <w:szCs w:val="20"/>
                <w:color w:val="auto"/>
              </w:rPr>
            </w:pPr>
            <w:r>
              <w:rPr>
                <w:rFonts w:ascii="Arial" w:cs="Arial" w:eastAsia="Arial" w:hAnsi="Arial"/>
                <w:sz w:val="18"/>
                <w:szCs w:val="18"/>
                <w:b w:val="1"/>
                <w:bCs w:val="1"/>
                <w:color w:val="FFFFFF"/>
              </w:rPr>
              <w:t>Record Date:</w:t>
            </w:r>
          </w:p>
        </w:tc>
        <w:tc>
          <w:tcPr>
            <w:tcW w:w="3680" w:type="dxa"/>
            <w:vAlign w:val="bottom"/>
            <w:shd w:val="clear" w:color="auto" w:fill="003B71"/>
          </w:tcPr>
          <w:p>
            <w:pPr>
              <w:ind w:left="20"/>
              <w:spacing w:after="0"/>
              <w:rPr>
                <w:sz w:val="20"/>
                <w:szCs w:val="20"/>
                <w:color w:val="auto"/>
              </w:rPr>
            </w:pPr>
            <w:r>
              <w:rPr>
                <w:rFonts w:ascii="Arial" w:cs="Arial" w:eastAsia="Arial" w:hAnsi="Arial"/>
                <w:sz w:val="18"/>
                <w:szCs w:val="18"/>
                <w:color w:val="FFFFFF"/>
              </w:rPr>
              <w:t>Thursday, April 23, 2026</w:t>
            </w:r>
          </w:p>
        </w:tc>
      </w:tr>
      <w:tr>
        <w:trPr>
          <w:trHeight w:val="445"/>
        </w:trPr>
        <w:tc>
          <w:tcPr>
            <w:tcW w:w="1720" w:type="dxa"/>
            <w:vAlign w:val="bottom"/>
            <w:shd w:val="clear" w:color="auto" w:fill="003B71"/>
          </w:tcPr>
          <w:p>
            <w:pPr>
              <w:spacing w:after="0"/>
              <w:rPr>
                <w:sz w:val="24"/>
                <w:szCs w:val="24"/>
                <w:color w:val="auto"/>
              </w:rPr>
            </w:pPr>
          </w:p>
        </w:tc>
        <w:tc>
          <w:tcPr>
            <w:tcW w:w="3680" w:type="dxa"/>
            <w:vAlign w:val="bottom"/>
            <w:shd w:val="clear" w:color="auto" w:fill="003B71"/>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204470</wp:posOffset>
            </wp:positionV>
            <wp:extent cx="682625" cy="640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625" cy="64008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204470</wp:posOffset>
            </wp:positionV>
            <wp:extent cx="392430" cy="640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2430" cy="640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Voting</w:t>
      </w:r>
    </w:p>
    <w:p>
      <w:pPr>
        <w:spacing w:after="0" w:line="115"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Only shareholders as of April 23, 2026 (the “Record Date”) are entitled to vote.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Participating Online During the Annual Meeting</w:t>
      </w:r>
    </w:p>
    <w:p>
      <w:pPr>
        <w:spacing w:after="0" w:line="1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If you are a registered shareholder (your shares are held in your name), you register by following the instructions set forth at www.meetnow.global/MRYSKX5 or in the FAQs section of this Proxy Statement (page 59).</w:t>
      </w:r>
    </w:p>
    <w:p>
      <w:pPr>
        <w:spacing w:after="0" w:line="6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If you are a beneficial shareholder (your shares are held in the name of your bank, brokerage firm or other nominee), you will need to obtain a “legal proxy” from the registered shareholder (your bank, brokerage firm or other nominee) to register to vote at the Annual Meeting and follow the instructions set forth in the FAQs section of this Proxy Statement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749300</wp:posOffset>
            </wp:positionV>
            <wp:extent cx="682625" cy="622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2625" cy="62293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749300</wp:posOffset>
            </wp:positionV>
            <wp:extent cx="682625" cy="657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625" cy="657225"/>
                    </a:xfrm>
                    <a:prstGeom prst="rect">
                      <a:avLst/>
                    </a:prstGeom>
                    <a:noFill/>
                  </pic:spPr>
                </pic:pic>
              </a:graphicData>
            </a:graphic>
          </wp:anchor>
        </w:drawing>
      </w:r>
    </w:p>
    <w:p>
      <w:pPr>
        <w:spacing w:after="0" w:line="1057" w:lineRule="exact"/>
        <w:rPr>
          <w:sz w:val="20"/>
          <w:szCs w:val="20"/>
          <w:color w:val="auto"/>
        </w:rPr>
      </w:pPr>
    </w:p>
    <w:p>
      <w:pPr>
        <w:sectPr>
          <w:pgSz w:w="11900" w:h="16838" w:orient="portrait"/>
          <w:cols w:equalWidth="0" w:num="2">
            <w:col w:w="5400" w:space="540"/>
            <w:col w:w="5300"/>
          </w:cols>
          <w:pgMar w:left="320" w:top="110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jc w:val="center"/>
              <w:ind w:right="359"/>
              <w:spacing w:after="0"/>
              <w:rPr>
                <w:sz w:val="20"/>
                <w:szCs w:val="20"/>
                <w:color w:val="auto"/>
              </w:rPr>
            </w:pPr>
            <w:r>
              <w:rPr>
                <w:rFonts w:ascii="Arial" w:cs="Arial" w:eastAsia="Arial" w:hAnsi="Arial"/>
                <w:sz w:val="18"/>
                <w:szCs w:val="18"/>
                <w:b w:val="1"/>
                <w:bCs w:val="1"/>
                <w:color w:val="003B71"/>
                <w:w w:val="98"/>
              </w:rPr>
              <w:t>Vote via Internet</w:t>
            </w:r>
          </w:p>
        </w:tc>
        <w:tc>
          <w:tcPr>
            <w:tcW w:w="2560" w:type="dxa"/>
            <w:vAlign w:val="bottom"/>
          </w:tcPr>
          <w:p>
            <w:pPr>
              <w:jc w:val="center"/>
              <w:ind w:right="522"/>
              <w:spacing w:after="0"/>
              <w:rPr>
                <w:sz w:val="20"/>
                <w:szCs w:val="20"/>
                <w:color w:val="auto"/>
              </w:rPr>
            </w:pPr>
            <w:r>
              <w:rPr>
                <w:rFonts w:ascii="Arial" w:cs="Arial" w:eastAsia="Arial" w:hAnsi="Arial"/>
                <w:sz w:val="18"/>
                <w:szCs w:val="18"/>
                <w:b w:val="1"/>
                <w:bCs w:val="1"/>
                <w:color w:val="003B71"/>
                <w:w w:val="99"/>
              </w:rPr>
              <w:t>Vote via Phone</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003B71"/>
                <w:w w:val="98"/>
              </w:rPr>
              <w:t>Vote via</w:t>
            </w:r>
          </w:p>
        </w:tc>
        <w:tc>
          <w:tcPr>
            <w:tcW w:w="2920" w:type="dxa"/>
            <w:vAlign w:val="bottom"/>
          </w:tcPr>
          <w:p>
            <w:pPr>
              <w:jc w:val="center"/>
              <w:ind w:left="20"/>
              <w:spacing w:after="0"/>
              <w:rPr>
                <w:sz w:val="20"/>
                <w:szCs w:val="20"/>
                <w:color w:val="auto"/>
              </w:rPr>
            </w:pPr>
            <w:r>
              <w:rPr>
                <w:rFonts w:ascii="Arial" w:cs="Arial" w:eastAsia="Arial" w:hAnsi="Arial"/>
                <w:sz w:val="18"/>
                <w:szCs w:val="18"/>
                <w:b w:val="1"/>
                <w:bCs w:val="1"/>
                <w:color w:val="003B71"/>
                <w:w w:val="97"/>
              </w:rPr>
              <w:t>Vote Online</w:t>
            </w:r>
          </w:p>
        </w:tc>
        <w:tc>
          <w:tcPr>
            <w:tcW w:w="0" w:type="dxa"/>
            <w:vAlign w:val="bottom"/>
          </w:tcPr>
          <w:p>
            <w:pPr>
              <w:spacing w:after="0"/>
              <w:rPr>
                <w:sz w:val="1"/>
                <w:szCs w:val="1"/>
                <w:color w:val="auto"/>
              </w:rPr>
            </w:pPr>
          </w:p>
        </w:tc>
      </w:tr>
      <w:tr>
        <w:trPr>
          <w:trHeight w:val="207"/>
        </w:trPr>
        <w:tc>
          <w:tcPr>
            <w:tcW w:w="3220" w:type="dxa"/>
            <w:vAlign w:val="bottom"/>
          </w:tcPr>
          <w:p>
            <w:pPr>
              <w:jc w:val="center"/>
              <w:ind w:right="339"/>
              <w:spacing w:after="0"/>
              <w:rPr>
                <w:sz w:val="20"/>
                <w:szCs w:val="20"/>
                <w:color w:val="auto"/>
              </w:rPr>
            </w:pPr>
            <w:r>
              <w:rPr>
                <w:rFonts w:ascii="Arial" w:cs="Arial" w:eastAsia="Arial" w:hAnsi="Arial"/>
                <w:sz w:val="14"/>
                <w:szCs w:val="14"/>
                <w:color w:val="auto"/>
              </w:rPr>
              <w:t>Follow the instructions on your</w:t>
            </w:r>
          </w:p>
        </w:tc>
        <w:tc>
          <w:tcPr>
            <w:tcW w:w="2560" w:type="dxa"/>
            <w:vAlign w:val="bottom"/>
          </w:tcPr>
          <w:p>
            <w:pPr>
              <w:jc w:val="center"/>
              <w:ind w:right="522"/>
              <w:spacing w:after="0"/>
              <w:rPr>
                <w:sz w:val="20"/>
                <w:szCs w:val="20"/>
                <w:color w:val="auto"/>
              </w:rPr>
            </w:pPr>
            <w:r>
              <w:rPr>
                <w:rFonts w:ascii="Arial" w:cs="Arial" w:eastAsia="Arial" w:hAnsi="Arial"/>
                <w:sz w:val="14"/>
                <w:szCs w:val="14"/>
                <w:color w:val="auto"/>
              </w:rPr>
              <w:t>Call the number on</w:t>
            </w:r>
          </w:p>
        </w:tc>
        <w:tc>
          <w:tcPr>
            <w:tcW w:w="2540" w:type="dxa"/>
            <w:vAlign w:val="bottom"/>
          </w:tcPr>
          <w:p>
            <w:pPr>
              <w:jc w:val="center"/>
              <w:ind w:right="2"/>
              <w:spacing w:after="0"/>
              <w:rPr>
                <w:sz w:val="20"/>
                <w:szCs w:val="20"/>
                <w:color w:val="auto"/>
              </w:rPr>
            </w:pPr>
            <w:r>
              <w:rPr>
                <w:rFonts w:ascii="Arial" w:cs="Arial" w:eastAsia="Arial" w:hAnsi="Arial"/>
                <w:sz w:val="18"/>
                <w:szCs w:val="18"/>
                <w:b w:val="1"/>
                <w:bCs w:val="1"/>
                <w:color w:val="003B71"/>
                <w:w w:val="96"/>
              </w:rPr>
              <w:t>Mail</w:t>
            </w:r>
          </w:p>
        </w:tc>
        <w:tc>
          <w:tcPr>
            <w:tcW w:w="2920" w:type="dxa"/>
            <w:vAlign w:val="bottom"/>
          </w:tcPr>
          <w:p>
            <w:pPr>
              <w:jc w:val="center"/>
              <w:ind w:left="40"/>
              <w:spacing w:after="0"/>
              <w:rPr>
                <w:sz w:val="20"/>
                <w:szCs w:val="20"/>
                <w:color w:val="auto"/>
              </w:rPr>
            </w:pPr>
            <w:r>
              <w:rPr>
                <w:rFonts w:ascii="Arial" w:cs="Arial" w:eastAsia="Arial" w:hAnsi="Arial"/>
                <w:sz w:val="18"/>
                <w:szCs w:val="18"/>
                <w:b w:val="1"/>
                <w:bCs w:val="1"/>
                <w:color w:val="003B71"/>
                <w:w w:val="99"/>
              </w:rPr>
              <w:t>during the</w:t>
            </w:r>
          </w:p>
        </w:tc>
        <w:tc>
          <w:tcPr>
            <w:tcW w:w="0" w:type="dxa"/>
            <w:vAlign w:val="bottom"/>
          </w:tcPr>
          <w:p>
            <w:pPr>
              <w:spacing w:after="0"/>
              <w:rPr>
                <w:sz w:val="1"/>
                <w:szCs w:val="1"/>
                <w:color w:val="auto"/>
              </w:rPr>
            </w:pPr>
          </w:p>
        </w:tc>
      </w:tr>
      <w:tr>
        <w:trPr>
          <w:trHeight w:val="190"/>
        </w:trPr>
        <w:tc>
          <w:tcPr>
            <w:tcW w:w="3220" w:type="dxa"/>
            <w:vAlign w:val="bottom"/>
            <w:vMerge w:val="restart"/>
          </w:tcPr>
          <w:p>
            <w:pPr>
              <w:jc w:val="center"/>
              <w:ind w:right="339"/>
              <w:spacing w:after="0"/>
              <w:rPr>
                <w:sz w:val="20"/>
                <w:szCs w:val="20"/>
                <w:color w:val="auto"/>
              </w:rPr>
            </w:pPr>
            <w:r>
              <w:rPr>
                <w:rFonts w:ascii="Arial" w:cs="Arial" w:eastAsia="Arial" w:hAnsi="Arial"/>
                <w:sz w:val="14"/>
                <w:szCs w:val="14"/>
                <w:color w:val="auto"/>
              </w:rPr>
              <w:t>Notice or Proxy Card</w:t>
            </w:r>
          </w:p>
        </w:tc>
        <w:tc>
          <w:tcPr>
            <w:tcW w:w="2560" w:type="dxa"/>
            <w:vAlign w:val="bottom"/>
          </w:tcPr>
          <w:p>
            <w:pPr>
              <w:jc w:val="center"/>
              <w:ind w:right="522"/>
              <w:spacing w:after="0"/>
              <w:rPr>
                <w:sz w:val="20"/>
                <w:szCs w:val="20"/>
                <w:color w:val="auto"/>
              </w:rPr>
            </w:pPr>
            <w:r>
              <w:rPr>
                <w:rFonts w:ascii="Arial" w:cs="Arial" w:eastAsia="Arial" w:hAnsi="Arial"/>
                <w:sz w:val="14"/>
                <w:szCs w:val="14"/>
                <w:color w:val="auto"/>
              </w:rPr>
              <w:t>your Notice or Proxy Card</w:t>
            </w:r>
          </w:p>
        </w:tc>
        <w:tc>
          <w:tcPr>
            <w:tcW w:w="2540" w:type="dxa"/>
            <w:vAlign w:val="bottom"/>
            <w:vMerge w:val="restart"/>
          </w:tcPr>
          <w:p>
            <w:pPr>
              <w:jc w:val="center"/>
              <w:ind w:right="2"/>
              <w:spacing w:after="0"/>
              <w:rPr>
                <w:sz w:val="20"/>
                <w:szCs w:val="20"/>
                <w:color w:val="auto"/>
              </w:rPr>
            </w:pPr>
            <w:r>
              <w:rPr>
                <w:rFonts w:ascii="Arial" w:cs="Arial" w:eastAsia="Arial" w:hAnsi="Arial"/>
                <w:sz w:val="14"/>
                <w:szCs w:val="14"/>
                <w:color w:val="auto"/>
              </w:rPr>
              <w:t>Follow the</w:t>
            </w:r>
          </w:p>
        </w:tc>
        <w:tc>
          <w:tcPr>
            <w:tcW w:w="2920" w:type="dxa"/>
            <w:vAlign w:val="bottom"/>
            <w:vMerge w:val="restart"/>
          </w:tcPr>
          <w:p>
            <w:pPr>
              <w:jc w:val="center"/>
              <w:ind w:left="20"/>
              <w:spacing w:after="0"/>
              <w:rPr>
                <w:sz w:val="20"/>
                <w:szCs w:val="20"/>
                <w:color w:val="auto"/>
              </w:rPr>
            </w:pPr>
            <w:r>
              <w:rPr>
                <w:rFonts w:ascii="Arial" w:cs="Arial" w:eastAsia="Arial" w:hAnsi="Arial"/>
                <w:sz w:val="18"/>
                <w:szCs w:val="18"/>
                <w:b w:val="1"/>
                <w:bCs w:val="1"/>
                <w:color w:val="003B71"/>
                <w:w w:val="99"/>
              </w:rPr>
              <w:t>Annual Meeting</w:t>
            </w:r>
          </w:p>
        </w:tc>
        <w:tc>
          <w:tcPr>
            <w:tcW w:w="0" w:type="dxa"/>
            <w:vAlign w:val="bottom"/>
          </w:tcPr>
          <w:p>
            <w:pPr>
              <w:spacing w:after="0"/>
              <w:rPr>
                <w:sz w:val="1"/>
                <w:szCs w:val="1"/>
                <w:color w:val="auto"/>
              </w:rPr>
            </w:pPr>
          </w:p>
        </w:tc>
      </w:tr>
      <w:tr>
        <w:trPr>
          <w:trHeight w:val="25"/>
        </w:trPr>
        <w:tc>
          <w:tcPr>
            <w:tcW w:w="3220" w:type="dxa"/>
            <w:vAlign w:val="bottom"/>
            <w:vMerge w:val="continue"/>
          </w:tcPr>
          <w:p>
            <w:pPr>
              <w:spacing w:after="0"/>
              <w:rPr>
                <w:sz w:val="2"/>
                <w:szCs w:val="2"/>
                <w:color w:val="auto"/>
              </w:rPr>
            </w:pPr>
          </w:p>
        </w:tc>
        <w:tc>
          <w:tcPr>
            <w:tcW w:w="2560" w:type="dxa"/>
            <w:vAlign w:val="bottom"/>
          </w:tcPr>
          <w:p>
            <w:pPr>
              <w:spacing w:after="0"/>
              <w:rPr>
                <w:sz w:val="2"/>
                <w:szCs w:val="2"/>
                <w:color w:val="auto"/>
              </w:rPr>
            </w:pPr>
          </w:p>
        </w:tc>
        <w:tc>
          <w:tcPr>
            <w:tcW w:w="2540" w:type="dxa"/>
            <w:vAlign w:val="bottom"/>
            <w:vMerge w:val="continue"/>
          </w:tcPr>
          <w:p>
            <w:pPr>
              <w:spacing w:after="0"/>
              <w:rPr>
                <w:sz w:val="2"/>
                <w:szCs w:val="2"/>
                <w:color w:val="auto"/>
              </w:rPr>
            </w:pPr>
          </w:p>
        </w:tc>
        <w:tc>
          <w:tcPr>
            <w:tcW w:w="2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32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540" w:type="dxa"/>
            <w:vAlign w:val="bottom"/>
          </w:tcPr>
          <w:p>
            <w:pPr>
              <w:jc w:val="center"/>
              <w:spacing w:after="0" w:line="152" w:lineRule="exact"/>
              <w:rPr>
                <w:sz w:val="20"/>
                <w:szCs w:val="20"/>
                <w:color w:val="auto"/>
              </w:rPr>
            </w:pPr>
            <w:r>
              <w:rPr>
                <w:rFonts w:ascii="Arial" w:cs="Arial" w:eastAsia="Arial" w:hAnsi="Arial"/>
                <w:sz w:val="14"/>
                <w:szCs w:val="14"/>
                <w:color w:val="auto"/>
              </w:rPr>
              <w:t>instructions</w:t>
            </w:r>
          </w:p>
        </w:tc>
        <w:tc>
          <w:tcPr>
            <w:tcW w:w="2920" w:type="dxa"/>
            <w:vAlign w:val="bottom"/>
            <w:vMerge w:val="restart"/>
          </w:tcPr>
          <w:p>
            <w:pPr>
              <w:jc w:val="center"/>
              <w:ind w:left="40"/>
              <w:spacing w:after="0"/>
              <w:rPr>
                <w:sz w:val="20"/>
                <w:szCs w:val="20"/>
                <w:color w:val="auto"/>
              </w:rPr>
            </w:pPr>
            <w:r>
              <w:rPr>
                <w:rFonts w:ascii="Arial" w:cs="Arial" w:eastAsia="Arial" w:hAnsi="Arial"/>
                <w:sz w:val="14"/>
                <w:szCs w:val="14"/>
                <w:color w:val="auto"/>
              </w:rPr>
              <w:t>Register to</w:t>
            </w:r>
          </w:p>
        </w:tc>
        <w:tc>
          <w:tcPr>
            <w:tcW w:w="0" w:type="dxa"/>
            <w:vAlign w:val="bottom"/>
          </w:tcPr>
          <w:p>
            <w:pPr>
              <w:spacing w:after="0"/>
              <w:rPr>
                <w:sz w:val="1"/>
                <w:szCs w:val="1"/>
                <w:color w:val="auto"/>
              </w:rPr>
            </w:pPr>
          </w:p>
        </w:tc>
      </w:tr>
      <w:tr>
        <w:trPr>
          <w:trHeight w:val="82"/>
        </w:trPr>
        <w:tc>
          <w:tcPr>
            <w:tcW w:w="32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2540" w:type="dxa"/>
            <w:vAlign w:val="bottom"/>
            <w:vMerge w:val="restart"/>
          </w:tcPr>
          <w:p>
            <w:pPr>
              <w:jc w:val="center"/>
              <w:spacing w:after="0"/>
              <w:rPr>
                <w:sz w:val="20"/>
                <w:szCs w:val="20"/>
                <w:color w:val="auto"/>
              </w:rPr>
            </w:pPr>
            <w:r>
              <w:rPr>
                <w:rFonts w:ascii="Arial" w:cs="Arial" w:eastAsia="Arial" w:hAnsi="Arial"/>
                <w:sz w:val="14"/>
                <w:szCs w:val="14"/>
                <w:color w:val="auto"/>
              </w:rPr>
              <w:t>on your Notice</w:t>
            </w: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32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2920" w:type="dxa"/>
            <w:vAlign w:val="bottom"/>
            <w:vMerge w:val="restart"/>
          </w:tcPr>
          <w:p>
            <w:pPr>
              <w:jc w:val="center"/>
              <w:ind w:left="40"/>
              <w:spacing w:after="0"/>
              <w:rPr>
                <w:sz w:val="20"/>
                <w:szCs w:val="20"/>
                <w:color w:val="auto"/>
              </w:rPr>
            </w:pPr>
            <w:r>
              <w:rPr>
                <w:rFonts w:ascii="Arial" w:cs="Arial" w:eastAsia="Arial" w:hAnsi="Arial"/>
                <w:sz w:val="14"/>
                <w:szCs w:val="14"/>
                <w:color w:val="auto"/>
              </w:rPr>
              <w:t>participate in the</w:t>
            </w:r>
          </w:p>
        </w:tc>
        <w:tc>
          <w:tcPr>
            <w:tcW w:w="0" w:type="dxa"/>
            <w:vAlign w:val="bottom"/>
          </w:tcPr>
          <w:p>
            <w:pPr>
              <w:spacing w:after="0"/>
              <w:rPr>
                <w:sz w:val="1"/>
                <w:szCs w:val="1"/>
                <w:color w:val="auto"/>
              </w:rPr>
            </w:pPr>
          </w:p>
        </w:tc>
      </w:tr>
      <w:tr>
        <w:trPr>
          <w:trHeight w:val="94"/>
        </w:trPr>
        <w:tc>
          <w:tcPr>
            <w:tcW w:w="32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540" w:type="dxa"/>
            <w:vAlign w:val="bottom"/>
            <w:vMerge w:val="restart"/>
          </w:tcPr>
          <w:p>
            <w:pPr>
              <w:jc w:val="center"/>
              <w:spacing w:after="0"/>
              <w:rPr>
                <w:sz w:val="20"/>
                <w:szCs w:val="20"/>
                <w:color w:val="auto"/>
              </w:rPr>
            </w:pPr>
            <w:r>
              <w:rPr>
                <w:rFonts w:ascii="Arial" w:cs="Arial" w:eastAsia="Arial" w:hAnsi="Arial"/>
                <w:sz w:val="14"/>
                <w:szCs w:val="14"/>
                <w:color w:val="auto"/>
              </w:rPr>
              <w:t>or Proxy Card</w:t>
            </w:r>
          </w:p>
        </w:tc>
        <w:tc>
          <w:tcPr>
            <w:tcW w:w="2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2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2920" w:type="dxa"/>
            <w:vAlign w:val="bottom"/>
            <w:vMerge w:val="restart"/>
          </w:tcPr>
          <w:p>
            <w:pPr>
              <w:jc w:val="center"/>
              <w:ind w:left="40"/>
              <w:spacing w:after="0"/>
              <w:rPr>
                <w:sz w:val="20"/>
                <w:szCs w:val="20"/>
                <w:color w:val="auto"/>
              </w:rPr>
            </w:pPr>
            <w:r>
              <w:rPr>
                <w:rFonts w:ascii="Arial" w:cs="Arial" w:eastAsia="Arial" w:hAnsi="Arial"/>
                <w:sz w:val="14"/>
                <w:szCs w:val="14"/>
                <w:color w:val="auto"/>
              </w:rPr>
              <w:t>Annual Meeting</w:t>
            </w:r>
          </w:p>
        </w:tc>
        <w:tc>
          <w:tcPr>
            <w:tcW w:w="0" w:type="dxa"/>
            <w:vAlign w:val="bottom"/>
          </w:tcPr>
          <w:p>
            <w:pPr>
              <w:spacing w:after="0"/>
              <w:rPr>
                <w:sz w:val="1"/>
                <w:szCs w:val="1"/>
                <w:color w:val="auto"/>
              </w:rPr>
            </w:pPr>
          </w:p>
        </w:tc>
      </w:tr>
      <w:tr>
        <w:trPr>
          <w:trHeight w:val="93"/>
        </w:trPr>
        <w:tc>
          <w:tcPr>
            <w:tcW w:w="32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920" w:type="dxa"/>
            <w:vAlign w:val="bottom"/>
          </w:tcPr>
          <w:p>
            <w:pPr>
              <w:jc w:val="center"/>
              <w:ind w:left="40"/>
              <w:spacing w:after="0"/>
              <w:rPr>
                <w:sz w:val="20"/>
                <w:szCs w:val="20"/>
                <w:color w:val="auto"/>
              </w:rPr>
            </w:pPr>
            <w:r>
              <w:rPr>
                <w:rFonts w:ascii="Arial" w:cs="Arial" w:eastAsia="Arial" w:hAnsi="Arial"/>
                <w:sz w:val="14"/>
                <w:szCs w:val="14"/>
                <w:color w:val="auto"/>
              </w:rPr>
              <w:t>virtually and vote</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920" w:type="dxa"/>
            <w:vAlign w:val="bottom"/>
          </w:tcPr>
          <w:p>
            <w:pPr>
              <w:jc w:val="center"/>
              <w:ind w:left="20"/>
              <w:spacing w:after="0"/>
              <w:rPr>
                <w:sz w:val="20"/>
                <w:szCs w:val="20"/>
                <w:color w:val="auto"/>
              </w:rPr>
            </w:pPr>
            <w:r>
              <w:rPr>
                <w:rFonts w:ascii="Arial" w:cs="Arial" w:eastAsia="Arial" w:hAnsi="Arial"/>
                <w:sz w:val="14"/>
                <w:szCs w:val="14"/>
                <w:color w:val="auto"/>
              </w:rPr>
              <w:t>online</w:t>
            </w:r>
          </w:p>
        </w:tc>
        <w:tc>
          <w:tcPr>
            <w:tcW w:w="0" w:type="dxa"/>
            <w:vAlign w:val="bottom"/>
          </w:tcPr>
          <w:p>
            <w:pPr>
              <w:spacing w:after="0"/>
              <w:rPr>
                <w:sz w:val="1"/>
                <w:szCs w:val="1"/>
                <w:color w:val="auto"/>
              </w:rPr>
            </w:pPr>
          </w:p>
        </w:tc>
      </w:tr>
      <w:tr>
        <w:trPr>
          <w:trHeight w:val="559"/>
        </w:trPr>
        <w:tc>
          <w:tcPr>
            <w:tcW w:w="3220" w:type="dxa"/>
            <w:vAlign w:val="bottom"/>
            <w:tcBorders>
              <w:bottom w:val="single" w:sz="8" w:color="003B71"/>
            </w:tcBorders>
          </w:tcPr>
          <w:p>
            <w:pPr>
              <w:spacing w:after="0"/>
              <w:rPr>
                <w:sz w:val="24"/>
                <w:szCs w:val="24"/>
                <w:color w:val="auto"/>
              </w:rPr>
            </w:pPr>
          </w:p>
        </w:tc>
        <w:tc>
          <w:tcPr>
            <w:tcW w:w="2560" w:type="dxa"/>
            <w:vAlign w:val="bottom"/>
            <w:tcBorders>
              <w:bottom w:val="single" w:sz="8" w:color="003B71"/>
            </w:tcBorders>
          </w:tcPr>
          <w:p>
            <w:pPr>
              <w:spacing w:after="0"/>
              <w:rPr>
                <w:sz w:val="24"/>
                <w:szCs w:val="24"/>
                <w:color w:val="auto"/>
              </w:rPr>
            </w:pPr>
          </w:p>
        </w:tc>
        <w:tc>
          <w:tcPr>
            <w:tcW w:w="2540" w:type="dxa"/>
            <w:vAlign w:val="bottom"/>
            <w:tcBorders>
              <w:bottom w:val="single" w:sz="8" w:color="003B71"/>
            </w:tcBorders>
          </w:tcPr>
          <w:p>
            <w:pPr>
              <w:spacing w:after="0"/>
              <w:rPr>
                <w:sz w:val="24"/>
                <w:szCs w:val="24"/>
                <w:color w:val="auto"/>
              </w:rPr>
            </w:pPr>
          </w:p>
        </w:tc>
        <w:tc>
          <w:tcPr>
            <w:tcW w:w="2920" w:type="dxa"/>
            <w:vAlign w:val="bottom"/>
            <w:tcBorders>
              <w:bottom w:val="single" w:sz="8" w:color="003B71"/>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22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25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4C4C4C"/>
              </w:rPr>
              <w:t>1</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2540" w:type="dxa"/>
            <w:vAlign w:val="bottom"/>
            <w:tcBorders>
              <w:bottom w:val="single" w:sz="8" w:color="9A9A9A"/>
            </w:tcBorders>
          </w:tcPr>
          <w:p>
            <w:pPr>
              <w:spacing w:after="0"/>
              <w:rPr>
                <w:sz w:val="18"/>
                <w:szCs w:val="18"/>
                <w:color w:val="auto"/>
              </w:rPr>
            </w:pPr>
          </w:p>
        </w:tc>
        <w:tc>
          <w:tcPr>
            <w:tcW w:w="29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5"/>
          <w:szCs w:val="25"/>
          <w:b w:val="1"/>
          <w:bCs w:val="1"/>
          <w:color w:val="4C4C4C"/>
        </w:rPr>
        <w:t>Proposals Before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3B71"/>
        </w:rPr>
        <w:t>Proposals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jc w:val="center"/>
        <w:ind w:right="1960"/>
        <w:spacing w:after="0"/>
        <w:rPr>
          <w:sz w:val="20"/>
          <w:szCs w:val="20"/>
          <w:color w:val="auto"/>
        </w:rPr>
      </w:pPr>
      <w:r>
        <w:rPr>
          <w:rFonts w:ascii="Arial" w:cs="Arial" w:eastAsia="Arial" w:hAnsi="Arial"/>
          <w:sz w:val="14"/>
          <w:szCs w:val="14"/>
          <w:b w:val="1"/>
          <w:bCs w:val="1"/>
          <w:color w:val="003B71"/>
        </w:rPr>
        <w:t>Description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003B71"/>
        </w:rPr>
        <w:t>Board Voting</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003B71"/>
        </w:rPr>
        <w:t>Recommendation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3B71"/>
        </w:rPr>
        <w:t>Votes</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3B71"/>
        </w:rPr>
        <w:t>Required</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003B71"/>
        </w:rPr>
        <w:t>Page</w:t>
      </w:r>
    </w:p>
    <w:p>
      <w:pPr>
        <w:spacing w:after="0" w:line="2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003B71"/>
        </w:rPr>
        <w:t>Reference</w:t>
      </w:r>
    </w:p>
    <w:p>
      <w:pPr>
        <w:spacing w:after="0" w:line="1" w:lineRule="exact"/>
        <w:rPr>
          <w:sz w:val="20"/>
          <w:szCs w:val="20"/>
          <w:color w:val="auto"/>
        </w:rPr>
      </w:pPr>
    </w:p>
    <w:p>
      <w:pPr>
        <w:sectPr>
          <w:pgSz w:w="11900" w:h="16838" w:orient="portrait"/>
          <w:cols w:equalWidth="0" w:num="5">
            <w:col w:w="2780" w:space="720"/>
            <w:col w:w="2740" w:space="720"/>
            <w:col w:w="1240" w:space="720"/>
            <w:col w:w="640" w:space="720"/>
            <w:col w:w="960"/>
          </w:cols>
          <w:pgMar w:left="320" w:top="1257" w:right="339" w:bottom="1440" w:gutter="0" w:footer="0" w:header="0"/>
          <w:type w:val="continuous"/>
        </w:sectPr>
      </w:pPr>
    </w:p>
    <w:tbl>
      <w:tblPr>
        <w:tblLayout w:type="fixed"/>
        <w:tblInd w:w="0" w:type="dxa"/>
        <w:tblCellMar>
          <w:top w:w="0" w:type="dxa"/>
          <w:left w:w="0" w:type="dxa"/>
          <w:bottom w:w="0" w:type="dxa"/>
          <w:right w:w="0" w:type="dxa"/>
        </w:tblCellMar>
      </w:tblPr>
      <w:tr>
        <w:trPr>
          <w:trHeight w:val="412"/>
        </w:trPr>
        <w:tc>
          <w:tcPr>
            <w:tcW w:w="960" w:type="dxa"/>
            <w:vAlign w:val="bottom"/>
          </w:tcPr>
          <w:p>
            <w:pPr>
              <w:jc w:val="right"/>
              <w:spacing w:after="0" w:line="410" w:lineRule="exact"/>
              <w:rPr>
                <w:sz w:val="20"/>
                <w:szCs w:val="20"/>
                <w:color w:val="auto"/>
              </w:rPr>
            </w:pPr>
            <w:r>
              <w:rPr>
                <w:rFonts w:ascii="Arial" w:cs="Arial" w:eastAsia="Arial" w:hAnsi="Arial"/>
                <w:sz w:val="47"/>
                <w:szCs w:val="47"/>
                <w:color w:val="003B71"/>
              </w:rPr>
              <w:t>1</w:t>
            </w:r>
          </w:p>
        </w:tc>
        <w:tc>
          <w:tcPr>
            <w:tcW w:w="4940" w:type="dxa"/>
            <w:vAlign w:val="bottom"/>
            <w:vMerge w:val="restart"/>
          </w:tcPr>
          <w:p>
            <w:pPr>
              <w:ind w:left="240"/>
              <w:spacing w:after="0"/>
              <w:rPr>
                <w:sz w:val="20"/>
                <w:szCs w:val="20"/>
                <w:color w:val="auto"/>
              </w:rPr>
            </w:pPr>
            <w:r>
              <w:rPr>
                <w:rFonts w:ascii="Arial" w:cs="Arial" w:eastAsia="Arial" w:hAnsi="Arial"/>
                <w:sz w:val="16"/>
                <w:szCs w:val="16"/>
                <w:color w:val="auto"/>
              </w:rPr>
              <w:t>Election of Directors</w:t>
            </w:r>
          </w:p>
        </w:tc>
        <w:tc>
          <w:tcPr>
            <w:tcW w:w="2380" w:type="dxa"/>
            <w:vAlign w:val="bottom"/>
            <w:vMerge w:val="restart"/>
          </w:tcPr>
          <w:p>
            <w:pPr>
              <w:jc w:val="center"/>
              <w:ind w:left="839"/>
              <w:spacing w:after="0"/>
              <w:rPr>
                <w:sz w:val="20"/>
                <w:szCs w:val="20"/>
                <w:color w:val="auto"/>
              </w:rPr>
            </w:pPr>
            <w:r>
              <w:rPr>
                <w:rFonts w:ascii="Arial" w:cs="Arial" w:eastAsia="Arial" w:hAnsi="Arial"/>
                <w:sz w:val="16"/>
                <w:szCs w:val="16"/>
                <w:b w:val="1"/>
                <w:bCs w:val="1"/>
                <w:color w:val="003B71"/>
                <w:w w:val="99"/>
              </w:rPr>
              <w:t>FOR each</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auto"/>
                <w:w w:val="98"/>
              </w:rPr>
              <w:t>Majority of Votes</w:t>
            </w: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4940" w:type="dxa"/>
            <w:vAlign w:val="bottom"/>
            <w:vMerge w:val="continue"/>
          </w:tcPr>
          <w:p>
            <w:pPr>
              <w:spacing w:after="0"/>
              <w:rPr>
                <w:sz w:val="3"/>
                <w:szCs w:val="3"/>
                <w:color w:val="auto"/>
              </w:rPr>
            </w:pPr>
          </w:p>
        </w:tc>
        <w:tc>
          <w:tcPr>
            <w:tcW w:w="2380" w:type="dxa"/>
            <w:vAlign w:val="bottom"/>
            <w:vMerge w:val="continue"/>
          </w:tcPr>
          <w:p>
            <w:pPr>
              <w:spacing w:after="0"/>
              <w:rPr>
                <w:sz w:val="3"/>
                <w:szCs w:val="3"/>
                <w:color w:val="auto"/>
              </w:rPr>
            </w:pPr>
          </w:p>
        </w:tc>
        <w:tc>
          <w:tcPr>
            <w:tcW w:w="190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96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2380" w:type="dxa"/>
            <w:vAlign w:val="bottom"/>
            <w:vMerge w:val="restart"/>
          </w:tcPr>
          <w:p>
            <w:pPr>
              <w:jc w:val="center"/>
              <w:ind w:left="839"/>
              <w:spacing w:after="0"/>
              <w:rPr>
                <w:sz w:val="20"/>
                <w:szCs w:val="20"/>
                <w:color w:val="auto"/>
              </w:rPr>
            </w:pPr>
            <w:r>
              <w:rPr>
                <w:rFonts w:ascii="Arial" w:cs="Arial" w:eastAsia="Arial" w:hAnsi="Arial"/>
                <w:sz w:val="16"/>
                <w:szCs w:val="16"/>
                <w:b w:val="1"/>
                <w:bCs w:val="1"/>
                <w:color w:val="003B71"/>
              </w:rPr>
              <w:t>nominee</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auto"/>
              </w:rPr>
              <w:t>Cast</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4940" w:type="dxa"/>
            <w:vAlign w:val="bottom"/>
          </w:tcPr>
          <w:p>
            <w:pPr>
              <w:spacing w:after="0"/>
              <w:rPr>
                <w:sz w:val="8"/>
                <w:szCs w:val="8"/>
                <w:color w:val="auto"/>
              </w:rPr>
            </w:pPr>
          </w:p>
        </w:tc>
        <w:tc>
          <w:tcPr>
            <w:tcW w:w="238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960" w:type="dxa"/>
            <w:vAlign w:val="bottom"/>
            <w:tcBorders>
              <w:bottom w:val="single" w:sz="8" w:color="003B71"/>
            </w:tcBorders>
          </w:tcPr>
          <w:p>
            <w:pPr>
              <w:spacing w:after="0"/>
              <w:rPr>
                <w:sz w:val="18"/>
                <w:szCs w:val="18"/>
                <w:color w:val="auto"/>
              </w:rPr>
            </w:pPr>
          </w:p>
        </w:tc>
        <w:tc>
          <w:tcPr>
            <w:tcW w:w="4940" w:type="dxa"/>
            <w:vAlign w:val="bottom"/>
            <w:tcBorders>
              <w:bottom w:val="single" w:sz="8" w:color="003B71"/>
            </w:tcBorders>
          </w:tcPr>
          <w:p>
            <w:pPr>
              <w:spacing w:after="0"/>
              <w:rPr>
                <w:sz w:val="18"/>
                <w:szCs w:val="18"/>
                <w:color w:val="auto"/>
              </w:rPr>
            </w:pPr>
          </w:p>
        </w:tc>
        <w:tc>
          <w:tcPr>
            <w:tcW w:w="2380" w:type="dxa"/>
            <w:vAlign w:val="bottom"/>
            <w:tcBorders>
              <w:bottom w:val="single" w:sz="8" w:color="003B71"/>
            </w:tcBorders>
          </w:tcPr>
          <w:p>
            <w:pPr>
              <w:spacing w:after="0"/>
              <w:rPr>
                <w:sz w:val="18"/>
                <w:szCs w:val="18"/>
                <w:color w:val="auto"/>
              </w:rPr>
            </w:pPr>
          </w:p>
        </w:tc>
        <w:tc>
          <w:tcPr>
            <w:tcW w:w="1900" w:type="dxa"/>
            <w:vAlign w:val="bottom"/>
            <w:tcBorders>
              <w:bottom w:val="single" w:sz="8" w:color="003B71"/>
            </w:tcBorders>
          </w:tcPr>
          <w:p>
            <w:pPr>
              <w:spacing w:after="0"/>
              <w:rPr>
                <w:sz w:val="18"/>
                <w:szCs w:val="18"/>
                <w:color w:val="auto"/>
              </w:rPr>
            </w:pPr>
          </w:p>
        </w:tc>
        <w:tc>
          <w:tcPr>
            <w:tcW w:w="1020" w:type="dxa"/>
            <w:vAlign w:val="bottom"/>
            <w:tcBorders>
              <w:bottom w:val="single" w:sz="8" w:color="003B71"/>
            </w:tcBorders>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960" w:type="dxa"/>
            <w:vAlign w:val="bottom"/>
            <w:vMerge w:val="restart"/>
          </w:tcPr>
          <w:p>
            <w:pPr>
              <w:jc w:val="right"/>
              <w:spacing w:after="0"/>
              <w:rPr>
                <w:sz w:val="20"/>
                <w:szCs w:val="20"/>
                <w:color w:val="auto"/>
              </w:rPr>
            </w:pPr>
            <w:r>
              <w:rPr>
                <w:rFonts w:ascii="Arial" w:cs="Arial" w:eastAsia="Arial" w:hAnsi="Arial"/>
                <w:sz w:val="64"/>
                <w:szCs w:val="64"/>
                <w:color w:val="003B71"/>
              </w:rPr>
              <w:t>2</w:t>
            </w:r>
          </w:p>
        </w:tc>
        <w:tc>
          <w:tcPr>
            <w:tcW w:w="4940" w:type="dxa"/>
            <w:vAlign w:val="bottom"/>
          </w:tcPr>
          <w:p>
            <w:pPr>
              <w:ind w:left="240"/>
              <w:spacing w:after="0"/>
              <w:rPr>
                <w:sz w:val="20"/>
                <w:szCs w:val="20"/>
                <w:color w:val="auto"/>
              </w:rPr>
            </w:pPr>
            <w:r>
              <w:rPr>
                <w:rFonts w:ascii="Arial" w:cs="Arial" w:eastAsia="Arial" w:hAnsi="Arial"/>
                <w:sz w:val="16"/>
                <w:szCs w:val="16"/>
                <w:color w:val="auto"/>
              </w:rPr>
              <w:t>Ratification of Appointment of</w:t>
            </w:r>
          </w:p>
        </w:tc>
        <w:tc>
          <w:tcPr>
            <w:tcW w:w="2380" w:type="dxa"/>
            <w:vAlign w:val="bottom"/>
            <w:vMerge w:val="restart"/>
          </w:tcPr>
          <w:p>
            <w:pPr>
              <w:jc w:val="center"/>
              <w:ind w:left="839"/>
              <w:spacing w:after="0"/>
              <w:rPr>
                <w:sz w:val="20"/>
                <w:szCs w:val="20"/>
                <w:color w:val="auto"/>
              </w:rPr>
            </w:pPr>
            <w:r>
              <w:rPr>
                <w:rFonts w:ascii="Arial" w:cs="Arial" w:eastAsia="Arial" w:hAnsi="Arial"/>
                <w:sz w:val="16"/>
                <w:szCs w:val="16"/>
                <w:b w:val="1"/>
                <w:bCs w:val="1"/>
                <w:color w:val="003B71"/>
              </w:rPr>
              <w:t>FOR</w:t>
            </w:r>
          </w:p>
        </w:tc>
        <w:tc>
          <w:tcPr>
            <w:tcW w:w="1900" w:type="dxa"/>
            <w:vAlign w:val="bottom"/>
          </w:tcPr>
          <w:p>
            <w:pPr>
              <w:jc w:val="center"/>
              <w:spacing w:after="0"/>
              <w:rPr>
                <w:sz w:val="20"/>
                <w:szCs w:val="20"/>
                <w:color w:val="auto"/>
              </w:rPr>
            </w:pPr>
            <w:r>
              <w:rPr>
                <w:rFonts w:ascii="Arial" w:cs="Arial" w:eastAsia="Arial" w:hAnsi="Arial"/>
                <w:sz w:val="16"/>
                <w:szCs w:val="16"/>
                <w:color w:val="auto"/>
                <w:w w:val="98"/>
              </w:rPr>
              <w:t>Majority of Votes</w:t>
            </w: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28"/>
        </w:trPr>
        <w:tc>
          <w:tcPr>
            <w:tcW w:w="960" w:type="dxa"/>
            <w:vAlign w:val="bottom"/>
            <w:vMerge w:val="continue"/>
          </w:tcPr>
          <w:p>
            <w:pPr>
              <w:spacing w:after="0"/>
              <w:rPr>
                <w:sz w:val="11"/>
                <w:szCs w:val="11"/>
                <w:color w:val="auto"/>
              </w:rPr>
            </w:pPr>
          </w:p>
        </w:tc>
        <w:tc>
          <w:tcPr>
            <w:tcW w:w="4940" w:type="dxa"/>
            <w:vAlign w:val="bottom"/>
            <w:vMerge w:val="restart"/>
          </w:tcPr>
          <w:p>
            <w:pPr>
              <w:ind w:left="240"/>
              <w:spacing w:after="0"/>
              <w:rPr>
                <w:sz w:val="20"/>
                <w:szCs w:val="20"/>
                <w:color w:val="auto"/>
              </w:rPr>
            </w:pPr>
            <w:r>
              <w:rPr>
                <w:rFonts w:ascii="Arial" w:cs="Arial" w:eastAsia="Arial" w:hAnsi="Arial"/>
                <w:sz w:val="16"/>
                <w:szCs w:val="16"/>
                <w:color w:val="auto"/>
              </w:rPr>
              <w:t>Independent Registered Public Accounting Firm</w:t>
            </w:r>
          </w:p>
        </w:tc>
        <w:tc>
          <w:tcPr>
            <w:tcW w:w="2380" w:type="dxa"/>
            <w:vAlign w:val="bottom"/>
            <w:vMerge w:val="continue"/>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Arial" w:cs="Arial" w:eastAsia="Arial" w:hAnsi="Arial"/>
                <w:sz w:val="16"/>
                <w:szCs w:val="16"/>
                <w:color w:val="auto"/>
              </w:rPr>
              <w:t>Cast</w:t>
            </w: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960" w:type="dxa"/>
            <w:vAlign w:val="bottom"/>
            <w:tcBorders>
              <w:bottom w:val="single" w:sz="8" w:color="003B71"/>
            </w:tcBorders>
            <w:vMerge w:val="continue"/>
          </w:tcPr>
          <w:p>
            <w:pPr>
              <w:spacing w:after="0"/>
              <w:rPr>
                <w:sz w:val="24"/>
                <w:szCs w:val="24"/>
                <w:color w:val="auto"/>
              </w:rPr>
            </w:pPr>
          </w:p>
        </w:tc>
        <w:tc>
          <w:tcPr>
            <w:tcW w:w="4940" w:type="dxa"/>
            <w:vAlign w:val="bottom"/>
            <w:tcBorders>
              <w:bottom w:val="single" w:sz="8" w:color="003B71"/>
            </w:tcBorders>
            <w:vMerge w:val="continue"/>
          </w:tcPr>
          <w:p>
            <w:pPr>
              <w:spacing w:after="0"/>
              <w:rPr>
                <w:sz w:val="24"/>
                <w:szCs w:val="24"/>
                <w:color w:val="auto"/>
              </w:rPr>
            </w:pPr>
          </w:p>
        </w:tc>
        <w:tc>
          <w:tcPr>
            <w:tcW w:w="2380" w:type="dxa"/>
            <w:vAlign w:val="bottom"/>
            <w:tcBorders>
              <w:bottom w:val="single" w:sz="8" w:color="003B71"/>
            </w:tcBorders>
          </w:tcPr>
          <w:p>
            <w:pPr>
              <w:spacing w:after="0"/>
              <w:rPr>
                <w:sz w:val="24"/>
                <w:szCs w:val="24"/>
                <w:color w:val="auto"/>
              </w:rPr>
            </w:pPr>
          </w:p>
        </w:tc>
        <w:tc>
          <w:tcPr>
            <w:tcW w:w="1900" w:type="dxa"/>
            <w:vAlign w:val="bottom"/>
            <w:tcBorders>
              <w:bottom w:val="single" w:sz="8" w:color="003B71"/>
            </w:tcBorders>
            <w:vMerge w:val="continue"/>
          </w:tcPr>
          <w:p>
            <w:pPr>
              <w:spacing w:after="0"/>
              <w:rPr>
                <w:sz w:val="24"/>
                <w:szCs w:val="24"/>
                <w:color w:val="auto"/>
              </w:rPr>
            </w:pPr>
          </w:p>
        </w:tc>
        <w:tc>
          <w:tcPr>
            <w:tcW w:w="1020" w:type="dxa"/>
            <w:vAlign w:val="bottom"/>
            <w:tcBorders>
              <w:bottom w:val="single" w:sz="8" w:color="003B71"/>
            </w:tcBorders>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960" w:type="dxa"/>
            <w:vAlign w:val="bottom"/>
          </w:tcPr>
          <w:p>
            <w:pPr>
              <w:jc w:val="right"/>
              <w:spacing w:after="0" w:line="395" w:lineRule="exact"/>
              <w:rPr>
                <w:sz w:val="20"/>
                <w:szCs w:val="20"/>
                <w:color w:val="auto"/>
              </w:rPr>
            </w:pPr>
            <w:r>
              <w:rPr>
                <w:rFonts w:ascii="Arial" w:cs="Arial" w:eastAsia="Arial" w:hAnsi="Arial"/>
                <w:sz w:val="45"/>
                <w:szCs w:val="45"/>
                <w:color w:val="003B71"/>
              </w:rPr>
              <w:t>3</w:t>
            </w:r>
          </w:p>
        </w:tc>
        <w:tc>
          <w:tcPr>
            <w:tcW w:w="4940" w:type="dxa"/>
            <w:vAlign w:val="bottom"/>
            <w:vMerge w:val="restart"/>
          </w:tcPr>
          <w:p>
            <w:pPr>
              <w:ind w:left="240"/>
              <w:spacing w:after="0"/>
              <w:rPr>
                <w:sz w:val="20"/>
                <w:szCs w:val="20"/>
                <w:color w:val="auto"/>
              </w:rPr>
            </w:pPr>
            <w:r>
              <w:rPr>
                <w:rFonts w:ascii="Arial" w:cs="Arial" w:eastAsia="Arial" w:hAnsi="Arial"/>
                <w:sz w:val="16"/>
                <w:szCs w:val="16"/>
                <w:color w:val="auto"/>
              </w:rPr>
              <w:t>Advisory Vote on Executive Compensation</w:t>
            </w:r>
          </w:p>
        </w:tc>
        <w:tc>
          <w:tcPr>
            <w:tcW w:w="2380" w:type="dxa"/>
            <w:vAlign w:val="bottom"/>
            <w:vMerge w:val="restart"/>
          </w:tcPr>
          <w:p>
            <w:pPr>
              <w:jc w:val="center"/>
              <w:ind w:left="839"/>
              <w:spacing w:after="0"/>
              <w:rPr>
                <w:sz w:val="20"/>
                <w:szCs w:val="20"/>
                <w:color w:val="auto"/>
              </w:rPr>
            </w:pPr>
            <w:r>
              <w:rPr>
                <w:rFonts w:ascii="Arial" w:cs="Arial" w:eastAsia="Arial" w:hAnsi="Arial"/>
                <w:sz w:val="16"/>
                <w:szCs w:val="16"/>
                <w:b w:val="1"/>
                <w:bCs w:val="1"/>
                <w:color w:val="003B71"/>
              </w:rPr>
              <w:t>FOR</w:t>
            </w:r>
          </w:p>
        </w:tc>
        <w:tc>
          <w:tcPr>
            <w:tcW w:w="1900" w:type="dxa"/>
            <w:vAlign w:val="bottom"/>
            <w:vMerge w:val="restart"/>
          </w:tcPr>
          <w:p>
            <w:pPr>
              <w:jc w:val="center"/>
              <w:spacing w:after="0"/>
              <w:rPr>
                <w:sz w:val="20"/>
                <w:szCs w:val="20"/>
                <w:color w:val="auto"/>
              </w:rPr>
            </w:pPr>
            <w:r>
              <w:rPr>
                <w:rFonts w:ascii="Arial" w:cs="Arial" w:eastAsia="Arial" w:hAnsi="Arial"/>
                <w:sz w:val="16"/>
                <w:szCs w:val="16"/>
                <w:color w:val="auto"/>
                <w:w w:val="98"/>
              </w:rPr>
              <w:t>Majority of Votes</w:t>
            </w:r>
          </w:p>
        </w:tc>
        <w:tc>
          <w:tcPr>
            <w:tcW w:w="1020" w:type="dxa"/>
            <w:vAlign w:val="bottom"/>
            <w:vMerge w:val="restart"/>
          </w:tcPr>
          <w:p>
            <w:pPr>
              <w:jc w:val="center"/>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4940" w:type="dxa"/>
            <w:vAlign w:val="bottom"/>
            <w:vMerge w:val="continue"/>
          </w:tcPr>
          <w:p>
            <w:pPr>
              <w:spacing w:after="0"/>
              <w:rPr>
                <w:sz w:val="3"/>
                <w:szCs w:val="3"/>
                <w:color w:val="auto"/>
              </w:rPr>
            </w:pPr>
          </w:p>
        </w:tc>
        <w:tc>
          <w:tcPr>
            <w:tcW w:w="2380" w:type="dxa"/>
            <w:vAlign w:val="bottom"/>
            <w:vMerge w:val="continue"/>
          </w:tcPr>
          <w:p>
            <w:pPr>
              <w:spacing w:after="0"/>
              <w:rPr>
                <w:sz w:val="3"/>
                <w:szCs w:val="3"/>
                <w:color w:val="auto"/>
              </w:rPr>
            </w:pPr>
          </w:p>
        </w:tc>
        <w:tc>
          <w:tcPr>
            <w:tcW w:w="190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960" w:type="dxa"/>
            <w:vAlign w:val="bottom"/>
          </w:tcPr>
          <w:p>
            <w:pPr>
              <w:spacing w:after="0"/>
              <w:rPr>
                <w:sz w:val="11"/>
                <w:szCs w:val="11"/>
                <w:color w:val="auto"/>
              </w:rPr>
            </w:pPr>
          </w:p>
        </w:tc>
        <w:tc>
          <w:tcPr>
            <w:tcW w:w="4940" w:type="dxa"/>
            <w:vAlign w:val="bottom"/>
            <w:vMerge w:val="continue"/>
          </w:tcPr>
          <w:p>
            <w:pPr>
              <w:spacing w:after="0"/>
              <w:rPr>
                <w:sz w:val="11"/>
                <w:szCs w:val="11"/>
                <w:color w:val="auto"/>
              </w:rPr>
            </w:pPr>
          </w:p>
        </w:tc>
        <w:tc>
          <w:tcPr>
            <w:tcW w:w="2380" w:type="dxa"/>
            <w:vAlign w:val="bottom"/>
            <w:vMerge w:val="continue"/>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Arial" w:cs="Arial" w:eastAsia="Arial" w:hAnsi="Arial"/>
                <w:sz w:val="16"/>
                <w:szCs w:val="16"/>
                <w:color w:val="auto"/>
              </w:rPr>
              <w:t>Cast</w:t>
            </w: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494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960" w:type="dxa"/>
            <w:vAlign w:val="bottom"/>
            <w:tcBorders>
              <w:bottom w:val="single" w:sz="8" w:color="003B71"/>
            </w:tcBorders>
          </w:tcPr>
          <w:p>
            <w:pPr>
              <w:spacing w:after="0"/>
              <w:rPr>
                <w:sz w:val="18"/>
                <w:szCs w:val="18"/>
                <w:color w:val="auto"/>
              </w:rPr>
            </w:pPr>
          </w:p>
        </w:tc>
        <w:tc>
          <w:tcPr>
            <w:tcW w:w="4940" w:type="dxa"/>
            <w:vAlign w:val="bottom"/>
            <w:tcBorders>
              <w:bottom w:val="single" w:sz="8" w:color="003B71"/>
            </w:tcBorders>
          </w:tcPr>
          <w:p>
            <w:pPr>
              <w:spacing w:after="0"/>
              <w:rPr>
                <w:sz w:val="18"/>
                <w:szCs w:val="18"/>
                <w:color w:val="auto"/>
              </w:rPr>
            </w:pPr>
          </w:p>
        </w:tc>
        <w:tc>
          <w:tcPr>
            <w:tcW w:w="2380" w:type="dxa"/>
            <w:vAlign w:val="bottom"/>
            <w:tcBorders>
              <w:bottom w:val="single" w:sz="8" w:color="003B71"/>
            </w:tcBorders>
          </w:tcPr>
          <w:p>
            <w:pPr>
              <w:spacing w:after="0"/>
              <w:rPr>
                <w:sz w:val="18"/>
                <w:szCs w:val="18"/>
                <w:color w:val="auto"/>
              </w:rPr>
            </w:pPr>
          </w:p>
        </w:tc>
        <w:tc>
          <w:tcPr>
            <w:tcW w:w="1900" w:type="dxa"/>
            <w:vAlign w:val="bottom"/>
            <w:tcBorders>
              <w:bottom w:val="single" w:sz="8" w:color="003B71"/>
            </w:tcBorders>
          </w:tcPr>
          <w:p>
            <w:pPr>
              <w:spacing w:after="0"/>
              <w:rPr>
                <w:sz w:val="18"/>
                <w:szCs w:val="18"/>
                <w:color w:val="auto"/>
              </w:rPr>
            </w:pPr>
          </w:p>
        </w:tc>
        <w:tc>
          <w:tcPr>
            <w:tcW w:w="1020" w:type="dxa"/>
            <w:vAlign w:val="bottom"/>
            <w:tcBorders>
              <w:bottom w:val="single" w:sz="8" w:color="003B71"/>
            </w:tcBorders>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960" w:type="dxa"/>
            <w:vAlign w:val="bottom"/>
            <w:tcBorders>
              <w:bottom w:val="single" w:sz="8" w:color="003B71"/>
            </w:tcBorders>
          </w:tcPr>
          <w:p>
            <w:pPr>
              <w:spacing w:after="0"/>
              <w:rPr>
                <w:sz w:val="24"/>
                <w:szCs w:val="24"/>
                <w:color w:val="auto"/>
              </w:rPr>
            </w:pPr>
          </w:p>
        </w:tc>
        <w:tc>
          <w:tcPr>
            <w:tcW w:w="4940" w:type="dxa"/>
            <w:vAlign w:val="bottom"/>
            <w:tcBorders>
              <w:bottom w:val="single" w:sz="8" w:color="003B71"/>
            </w:tcBorders>
          </w:tcPr>
          <w:p>
            <w:pPr>
              <w:spacing w:after="0"/>
              <w:rPr>
                <w:sz w:val="24"/>
                <w:szCs w:val="24"/>
                <w:color w:val="auto"/>
              </w:rPr>
            </w:pPr>
          </w:p>
        </w:tc>
        <w:tc>
          <w:tcPr>
            <w:tcW w:w="2380" w:type="dxa"/>
            <w:vAlign w:val="bottom"/>
            <w:tcBorders>
              <w:bottom w:val="single" w:sz="8" w:color="003B71"/>
            </w:tcBorders>
          </w:tcPr>
          <w:p>
            <w:pPr>
              <w:spacing w:after="0"/>
              <w:rPr>
                <w:sz w:val="24"/>
                <w:szCs w:val="24"/>
                <w:color w:val="auto"/>
              </w:rPr>
            </w:pPr>
          </w:p>
        </w:tc>
        <w:tc>
          <w:tcPr>
            <w:tcW w:w="1900" w:type="dxa"/>
            <w:vAlign w:val="bottom"/>
            <w:tcBorders>
              <w:bottom w:val="single" w:sz="8" w:color="003B71"/>
            </w:tcBorders>
          </w:tcPr>
          <w:p>
            <w:pPr>
              <w:spacing w:after="0"/>
              <w:rPr>
                <w:sz w:val="24"/>
                <w:szCs w:val="24"/>
                <w:color w:val="auto"/>
              </w:rPr>
            </w:pPr>
          </w:p>
        </w:tc>
        <w:tc>
          <w:tcPr>
            <w:tcW w:w="1020" w:type="dxa"/>
            <w:vAlign w:val="bottom"/>
            <w:tcBorders>
              <w:bottom w:val="single" w:sz="8" w:color="003B7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-1876425</wp:posOffset>
            </wp:positionV>
            <wp:extent cx="71075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7555" cy="8255"/>
                    </a:xfrm>
                    <a:prstGeom prst="rect">
                      <a:avLst/>
                    </a:prstGeom>
                    <a:noFill/>
                  </pic:spPr>
                </pic:pic>
              </a:graphicData>
            </a:graphic>
          </wp:anchor>
        </w:drawing>
      </w:r>
    </w:p>
    <w:p>
      <w:pPr>
        <w:spacing w:after="0" w:line="31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Information about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4680" w:type="dxa"/>
            <w:vAlign w:val="bottom"/>
          </w:tcPr>
          <w:p>
            <w:pPr>
              <w:spacing w:after="0"/>
              <w:rPr>
                <w:sz w:val="17"/>
                <w:szCs w:val="17"/>
                <w:color w:val="auto"/>
              </w:rPr>
            </w:pPr>
          </w:p>
        </w:tc>
        <w:tc>
          <w:tcPr>
            <w:tcW w:w="1200" w:type="dxa"/>
            <w:vAlign w:val="bottom"/>
            <w:tcBorders>
              <w:bottom w:val="single" w:sz="8" w:color="003B71"/>
            </w:tcBorders>
          </w:tcPr>
          <w:p>
            <w:pPr>
              <w:spacing w:after="0"/>
              <w:rPr>
                <w:sz w:val="17"/>
                <w:szCs w:val="17"/>
                <w:color w:val="auto"/>
              </w:rPr>
            </w:pPr>
          </w:p>
        </w:tc>
        <w:tc>
          <w:tcPr>
            <w:tcW w:w="4140" w:type="dxa"/>
            <w:vAlign w:val="bottom"/>
            <w:tcBorders>
              <w:bottom w:val="single" w:sz="8" w:color="003B71"/>
            </w:tcBorders>
            <w:gridSpan w:val="3"/>
          </w:tcPr>
          <w:p>
            <w:pPr>
              <w:ind w:left="640"/>
              <w:spacing w:after="0"/>
              <w:rPr>
                <w:sz w:val="20"/>
                <w:szCs w:val="20"/>
                <w:color w:val="auto"/>
              </w:rPr>
            </w:pPr>
            <w:r>
              <w:rPr>
                <w:rFonts w:ascii="Arial" w:cs="Arial" w:eastAsia="Arial" w:hAnsi="Arial"/>
                <w:sz w:val="14"/>
                <w:szCs w:val="14"/>
                <w:b w:val="1"/>
                <w:bCs w:val="1"/>
                <w:color w:val="003B71"/>
              </w:rPr>
              <w:t>Independence, Committees and Meetings</w:t>
            </w:r>
          </w:p>
        </w:tc>
        <w:tc>
          <w:tcPr>
            <w:tcW w:w="1160" w:type="dxa"/>
            <w:vAlign w:val="bottom"/>
            <w:tcBorders>
              <w:bottom w:val="single" w:sz="8" w:color="003B71"/>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rPr>
              <w:t>Nominating</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003B71"/>
              </w:rPr>
              <w:t>Board of</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003B71"/>
              </w:rPr>
              <w:t>Audit</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003B71"/>
              </w:rPr>
              <w:t>Compensation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rPr>
              <w:t>and Corporate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003B71"/>
              </w:rPr>
              <w:t>Finance</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B71"/>
              </w:rPr>
              <w:t>Governance</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80" w:type="dxa"/>
            <w:vAlign w:val="bottom"/>
            <w:tcBorders>
              <w:bottom w:val="single" w:sz="8" w:color="003B71"/>
            </w:tcBorders>
          </w:tcPr>
          <w:p>
            <w:pPr>
              <w:spacing w:after="0"/>
              <w:rPr>
                <w:sz w:val="20"/>
                <w:szCs w:val="20"/>
                <w:color w:val="auto"/>
              </w:rPr>
            </w:pPr>
            <w:r>
              <w:rPr>
                <w:rFonts w:ascii="Arial" w:cs="Arial" w:eastAsia="Arial" w:hAnsi="Arial"/>
                <w:sz w:val="14"/>
                <w:szCs w:val="14"/>
                <w:b w:val="1"/>
                <w:bCs w:val="1"/>
                <w:color w:val="003B71"/>
              </w:rPr>
              <w:t>Director</w:t>
            </w:r>
          </w:p>
        </w:tc>
        <w:tc>
          <w:tcPr>
            <w:tcW w:w="120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Directors</w:t>
            </w:r>
          </w:p>
        </w:tc>
        <w:tc>
          <w:tcPr>
            <w:tcW w:w="122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Committee</w:t>
            </w:r>
          </w:p>
        </w:tc>
        <w:tc>
          <w:tcPr>
            <w:tcW w:w="146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Committee</w:t>
            </w:r>
          </w:p>
        </w:tc>
        <w:tc>
          <w:tcPr>
            <w:tcW w:w="146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Committee</w:t>
            </w:r>
          </w:p>
        </w:tc>
        <w:tc>
          <w:tcPr>
            <w:tcW w:w="1160" w:type="dxa"/>
            <w:vAlign w:val="bottom"/>
            <w:tcBorders>
              <w:bottom w:val="single" w:sz="8" w:color="003B71"/>
            </w:tcBorders>
          </w:tcPr>
          <w:p>
            <w:pPr>
              <w:jc w:val="center"/>
              <w:spacing w:after="0"/>
              <w:rPr>
                <w:sz w:val="20"/>
                <w:szCs w:val="20"/>
                <w:color w:val="auto"/>
              </w:rPr>
            </w:pPr>
            <w:r>
              <w:rPr>
                <w:rFonts w:ascii="Arial" w:cs="Arial" w:eastAsia="Arial" w:hAnsi="Arial"/>
                <w:sz w:val="14"/>
                <w:szCs w:val="14"/>
                <w:b w:val="1"/>
                <w:bCs w:val="1"/>
                <w:color w:val="003B71"/>
              </w:rPr>
              <w:t>Committee</w:t>
            </w:r>
          </w:p>
        </w:tc>
        <w:tc>
          <w:tcPr>
            <w:tcW w:w="0" w:type="dxa"/>
            <w:vAlign w:val="bottom"/>
          </w:tcPr>
          <w:p>
            <w:pPr>
              <w:spacing w:after="0"/>
              <w:rPr>
                <w:sz w:val="1"/>
                <w:szCs w:val="1"/>
                <w:color w:val="auto"/>
              </w:rPr>
            </w:pPr>
          </w:p>
        </w:tc>
      </w:tr>
      <w:tr>
        <w:trPr>
          <w:trHeight w:val="269"/>
        </w:trPr>
        <w:tc>
          <w:tcPr>
            <w:tcW w:w="46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James P. Chambers</w:t>
            </w:r>
          </w:p>
        </w:tc>
        <w:tc>
          <w:tcPr>
            <w:tcW w:w="12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I, VC</w:t>
            </w:r>
          </w:p>
        </w:tc>
        <w:tc>
          <w:tcPr>
            <w:tcW w:w="1220" w:type="dxa"/>
            <w:vAlign w:val="bottom"/>
            <w:shd w:val="clear" w:color="auto" w:fill="DBDBDB"/>
          </w:tcPr>
          <w:p>
            <w:pPr>
              <w:spacing w:after="0"/>
              <w:rPr>
                <w:sz w:val="23"/>
                <w:szCs w:val="23"/>
                <w:color w:val="auto"/>
              </w:rPr>
            </w:pPr>
          </w:p>
        </w:tc>
        <w:tc>
          <w:tcPr>
            <w:tcW w:w="14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C</w:t>
            </w:r>
          </w:p>
        </w:tc>
        <w:tc>
          <w:tcPr>
            <w:tcW w:w="1460" w:type="dxa"/>
            <w:vAlign w:val="bottom"/>
            <w:shd w:val="clear" w:color="auto" w:fill="DBDBDB"/>
          </w:tcPr>
          <w:p>
            <w:pPr>
              <w:spacing w:after="0"/>
              <w:rPr>
                <w:sz w:val="23"/>
                <w:szCs w:val="23"/>
                <w:color w:val="auto"/>
              </w:rPr>
            </w:pP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Arial" w:cs="Arial" w:eastAsia="Arial" w:hAnsi="Arial"/>
                <w:sz w:val="18"/>
                <w:szCs w:val="18"/>
                <w:b w:val="1"/>
                <w:bCs w:val="1"/>
                <w:color w:val="auto"/>
              </w:rPr>
              <w:t>Tarun Lal</w:t>
            </w:r>
          </w:p>
        </w:tc>
        <w:tc>
          <w:tcPr>
            <w:tcW w:w="1200" w:type="dxa"/>
            <w:vAlign w:val="bottom"/>
          </w:tcPr>
          <w:p>
            <w:pPr>
              <w:jc w:val="center"/>
              <w:spacing w:after="0"/>
              <w:rPr>
                <w:sz w:val="20"/>
                <w:szCs w:val="20"/>
                <w:color w:val="auto"/>
              </w:rPr>
            </w:pPr>
            <w:r>
              <w:rPr>
                <w:rFonts w:ascii="Arial" w:cs="Arial" w:eastAsia="Arial" w:hAnsi="Arial"/>
                <w:sz w:val="14"/>
                <w:szCs w:val="14"/>
                <w:color w:val="auto"/>
                <w:w w:val="98"/>
              </w:rPr>
              <w:t>CEO</w:t>
            </w:r>
          </w:p>
        </w:tc>
        <w:tc>
          <w:tcPr>
            <w:tcW w:w="1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Nathaniel J. Lipman</w:t>
            </w:r>
          </w:p>
        </w:tc>
        <w:tc>
          <w:tcPr>
            <w:tcW w:w="12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I</w:t>
            </w:r>
          </w:p>
        </w:tc>
        <w:tc>
          <w:tcPr>
            <w:tcW w:w="122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M</w:t>
            </w:r>
          </w:p>
        </w:tc>
        <w:tc>
          <w:tcPr>
            <w:tcW w:w="14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M</w:t>
            </w:r>
          </w:p>
        </w:tc>
        <w:tc>
          <w:tcPr>
            <w:tcW w:w="1460" w:type="dxa"/>
            <w:vAlign w:val="bottom"/>
            <w:shd w:val="clear" w:color="auto" w:fill="DBDBDB"/>
          </w:tcPr>
          <w:p>
            <w:pPr>
              <w:spacing w:after="0"/>
              <w:rPr>
                <w:sz w:val="24"/>
                <w:szCs w:val="24"/>
                <w:color w:val="auto"/>
              </w:rPr>
            </w:pPr>
          </w:p>
        </w:tc>
        <w:tc>
          <w:tcPr>
            <w:tcW w:w="11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Arial" w:cs="Arial" w:eastAsia="Arial" w:hAnsi="Arial"/>
                <w:sz w:val="18"/>
                <w:szCs w:val="18"/>
                <w:b w:val="1"/>
                <w:bCs w:val="1"/>
                <w:color w:val="auto"/>
              </w:rPr>
              <w:t>Charles H. Protell*</w:t>
            </w:r>
          </w:p>
        </w:tc>
        <w:tc>
          <w:tcPr>
            <w:tcW w:w="1200" w:type="dxa"/>
            <w:vAlign w:val="bottom"/>
          </w:tcPr>
          <w:p>
            <w:pPr>
              <w:jc w:val="center"/>
              <w:spacing w:after="0"/>
              <w:rPr>
                <w:sz w:val="20"/>
                <w:szCs w:val="20"/>
                <w:color w:val="auto"/>
              </w:rPr>
            </w:pPr>
            <w:r>
              <w:rPr>
                <w:rFonts w:ascii="Arial" w:cs="Arial" w:eastAsia="Arial" w:hAnsi="Arial"/>
                <w:sz w:val="14"/>
                <w:szCs w:val="14"/>
                <w:color w:val="auto"/>
              </w:rPr>
              <w:t>I</w:t>
            </w:r>
          </w:p>
        </w:tc>
        <w:tc>
          <w:tcPr>
            <w:tcW w:w="1220" w:type="dxa"/>
            <w:vAlign w:val="bottom"/>
          </w:tcPr>
          <w:p>
            <w:pPr>
              <w:jc w:val="center"/>
              <w:spacing w:after="0"/>
              <w:rPr>
                <w:sz w:val="20"/>
                <w:szCs w:val="20"/>
                <w:color w:val="auto"/>
              </w:rPr>
            </w:pPr>
            <w:r>
              <w:rPr>
                <w:rFonts w:ascii="Arial" w:cs="Arial" w:eastAsia="Arial" w:hAnsi="Arial"/>
                <w:sz w:val="14"/>
                <w:szCs w:val="14"/>
                <w:color w:val="auto"/>
              </w:rPr>
              <w:t>M</w:t>
            </w:r>
          </w:p>
        </w:tc>
        <w:tc>
          <w:tcPr>
            <w:tcW w:w="14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Scott I. Ross</w:t>
            </w:r>
          </w:p>
        </w:tc>
        <w:tc>
          <w:tcPr>
            <w:tcW w:w="12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I</w:t>
            </w:r>
          </w:p>
        </w:tc>
        <w:tc>
          <w:tcPr>
            <w:tcW w:w="1220" w:type="dxa"/>
            <w:vAlign w:val="bottom"/>
            <w:shd w:val="clear" w:color="auto" w:fill="DBDBDB"/>
          </w:tcPr>
          <w:p>
            <w:pPr>
              <w:spacing w:after="0"/>
              <w:rPr>
                <w:sz w:val="24"/>
                <w:szCs w:val="24"/>
                <w:color w:val="auto"/>
              </w:rPr>
            </w:pPr>
          </w:p>
        </w:tc>
        <w:tc>
          <w:tcPr>
            <w:tcW w:w="1460" w:type="dxa"/>
            <w:vAlign w:val="bottom"/>
            <w:shd w:val="clear" w:color="auto" w:fill="DBDBDB"/>
          </w:tcPr>
          <w:p>
            <w:pPr>
              <w:spacing w:after="0"/>
              <w:rPr>
                <w:sz w:val="24"/>
                <w:szCs w:val="24"/>
                <w:color w:val="auto"/>
              </w:rPr>
            </w:pPr>
          </w:p>
        </w:tc>
        <w:tc>
          <w:tcPr>
            <w:tcW w:w="1460" w:type="dxa"/>
            <w:vAlign w:val="bottom"/>
            <w:shd w:val="clear" w:color="auto" w:fill="DBDBDB"/>
          </w:tcPr>
          <w:p>
            <w:pPr>
              <w:jc w:val="center"/>
              <w:spacing w:after="0"/>
              <w:rPr>
                <w:sz w:val="20"/>
                <w:szCs w:val="20"/>
                <w:color w:val="auto"/>
              </w:rPr>
            </w:pPr>
            <w:r>
              <w:rPr>
                <w:rFonts w:ascii="Arial" w:cs="Arial" w:eastAsia="Arial" w:hAnsi="Arial"/>
                <w:sz w:val="14"/>
                <w:szCs w:val="14"/>
                <w:color w:val="auto"/>
                <w:w w:val="98"/>
              </w:rPr>
              <w:t>C</w:t>
            </w: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Arial" w:cs="Arial" w:eastAsia="Arial" w:hAnsi="Arial"/>
                <w:sz w:val="18"/>
                <w:szCs w:val="18"/>
                <w:b w:val="1"/>
                <w:bCs w:val="1"/>
                <w:color w:val="auto"/>
              </w:rPr>
              <w:t>Atish Shah</w:t>
            </w:r>
          </w:p>
        </w:tc>
        <w:tc>
          <w:tcPr>
            <w:tcW w:w="1200" w:type="dxa"/>
            <w:vAlign w:val="bottom"/>
          </w:tcPr>
          <w:p>
            <w:pPr>
              <w:jc w:val="center"/>
              <w:spacing w:after="0"/>
              <w:rPr>
                <w:sz w:val="20"/>
                <w:szCs w:val="20"/>
                <w:color w:val="auto"/>
              </w:rPr>
            </w:pPr>
            <w:r>
              <w:rPr>
                <w:rFonts w:ascii="Arial" w:cs="Arial" w:eastAsia="Arial" w:hAnsi="Arial"/>
                <w:sz w:val="14"/>
                <w:szCs w:val="14"/>
                <w:color w:val="auto"/>
              </w:rPr>
              <w:t>I</w:t>
            </w: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C</w:t>
            </w:r>
          </w:p>
        </w:tc>
        <w:tc>
          <w:tcPr>
            <w:tcW w:w="146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M</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DBDBDB"/>
          </w:tcPr>
          <w:p>
            <w:pPr>
              <w:spacing w:after="0"/>
              <w:rPr>
                <w:sz w:val="20"/>
                <w:szCs w:val="20"/>
                <w:color w:val="auto"/>
              </w:rPr>
            </w:pPr>
            <w:r>
              <w:rPr>
                <w:rFonts w:ascii="Arial" w:cs="Arial" w:eastAsia="Arial" w:hAnsi="Arial"/>
                <w:sz w:val="18"/>
                <w:szCs w:val="18"/>
                <w:b w:val="1"/>
                <w:bCs w:val="1"/>
                <w:color w:val="auto"/>
              </w:rPr>
              <w:t>Kevin M. Sheehan</w:t>
            </w:r>
          </w:p>
        </w:tc>
        <w:tc>
          <w:tcPr>
            <w:tcW w:w="1200" w:type="dxa"/>
            <w:vAlign w:val="bottom"/>
            <w:shd w:val="clear" w:color="auto" w:fill="DBDBDB"/>
          </w:tcPr>
          <w:p>
            <w:pPr>
              <w:jc w:val="center"/>
              <w:ind w:left="27"/>
              <w:spacing w:after="0"/>
              <w:rPr>
                <w:sz w:val="20"/>
                <w:szCs w:val="20"/>
                <w:color w:val="auto"/>
              </w:rPr>
            </w:pPr>
            <w:r>
              <w:rPr>
                <w:rFonts w:ascii="Arial" w:cs="Arial" w:eastAsia="Arial" w:hAnsi="Arial"/>
                <w:sz w:val="14"/>
                <w:szCs w:val="14"/>
                <w:color w:val="auto"/>
                <w:w w:val="98"/>
              </w:rPr>
              <w:t>COB</w:t>
            </w:r>
          </w:p>
        </w:tc>
        <w:tc>
          <w:tcPr>
            <w:tcW w:w="1220" w:type="dxa"/>
            <w:vAlign w:val="bottom"/>
            <w:shd w:val="clear" w:color="auto" w:fill="DBDBDB"/>
          </w:tcPr>
          <w:p>
            <w:pPr>
              <w:spacing w:after="0"/>
              <w:rPr>
                <w:sz w:val="24"/>
                <w:szCs w:val="24"/>
                <w:color w:val="auto"/>
              </w:rPr>
            </w:pPr>
          </w:p>
        </w:tc>
        <w:tc>
          <w:tcPr>
            <w:tcW w:w="1460" w:type="dxa"/>
            <w:vAlign w:val="bottom"/>
            <w:shd w:val="clear" w:color="auto" w:fill="DBDBDB"/>
          </w:tcPr>
          <w:p>
            <w:pPr>
              <w:spacing w:after="0"/>
              <w:rPr>
                <w:sz w:val="24"/>
                <w:szCs w:val="24"/>
                <w:color w:val="auto"/>
              </w:rPr>
            </w:pPr>
          </w:p>
        </w:tc>
        <w:tc>
          <w:tcPr>
            <w:tcW w:w="1460" w:type="dxa"/>
            <w:vAlign w:val="bottom"/>
            <w:shd w:val="clear" w:color="auto" w:fill="DBDBDB"/>
          </w:tcPr>
          <w:p>
            <w:pPr>
              <w:spacing w:after="0"/>
              <w:rPr>
                <w:sz w:val="24"/>
                <w:szCs w:val="24"/>
                <w:color w:val="auto"/>
              </w:rPr>
            </w:pPr>
          </w:p>
        </w:tc>
        <w:tc>
          <w:tcPr>
            <w:tcW w:w="116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61"/>
        </w:trPr>
        <w:tc>
          <w:tcPr>
            <w:tcW w:w="4680" w:type="dxa"/>
            <w:vAlign w:val="bottom"/>
          </w:tcPr>
          <w:p>
            <w:pPr>
              <w:spacing w:after="0"/>
              <w:rPr>
                <w:sz w:val="20"/>
                <w:szCs w:val="20"/>
                <w:color w:val="auto"/>
              </w:rPr>
            </w:pPr>
            <w:r>
              <w:rPr>
                <w:rFonts w:ascii="Arial" w:cs="Arial" w:eastAsia="Arial" w:hAnsi="Arial"/>
                <w:sz w:val="18"/>
                <w:szCs w:val="18"/>
                <w:b w:val="1"/>
                <w:bCs w:val="1"/>
                <w:color w:val="auto"/>
              </w:rPr>
              <w:t>Allen R. Weiss</w:t>
            </w:r>
          </w:p>
        </w:tc>
        <w:tc>
          <w:tcPr>
            <w:tcW w:w="1200" w:type="dxa"/>
            <w:vAlign w:val="bottom"/>
          </w:tcPr>
          <w:p>
            <w:pPr>
              <w:jc w:val="center"/>
              <w:spacing w:after="0"/>
              <w:rPr>
                <w:sz w:val="20"/>
                <w:szCs w:val="20"/>
                <w:color w:val="auto"/>
              </w:rPr>
            </w:pPr>
            <w:r>
              <w:rPr>
                <w:rFonts w:ascii="Arial" w:cs="Arial" w:eastAsia="Arial" w:hAnsi="Arial"/>
                <w:sz w:val="14"/>
                <w:szCs w:val="14"/>
                <w:color w:val="auto"/>
              </w:rPr>
              <w:t>I</w:t>
            </w:r>
          </w:p>
        </w:tc>
        <w:tc>
          <w:tcPr>
            <w:tcW w:w="1220" w:type="dxa"/>
            <w:vAlign w:val="bottom"/>
          </w:tcPr>
          <w:p>
            <w:pPr>
              <w:jc w:val="center"/>
              <w:spacing w:after="0"/>
              <w:rPr>
                <w:sz w:val="20"/>
                <w:szCs w:val="20"/>
                <w:color w:val="auto"/>
              </w:rPr>
            </w:pPr>
            <w:r>
              <w:rPr>
                <w:rFonts w:ascii="Arial" w:cs="Arial" w:eastAsia="Arial" w:hAnsi="Arial"/>
                <w:sz w:val="14"/>
                <w:szCs w:val="14"/>
                <w:color w:val="auto"/>
              </w:rPr>
              <w:t>M</w:t>
            </w:r>
          </w:p>
        </w:tc>
        <w:tc>
          <w:tcPr>
            <w:tcW w:w="1460" w:type="dxa"/>
            <w:vAlign w:val="bottom"/>
          </w:tcPr>
          <w:p>
            <w:pPr>
              <w:jc w:val="center"/>
              <w:spacing w:after="0"/>
              <w:rPr>
                <w:sz w:val="20"/>
                <w:szCs w:val="20"/>
                <w:color w:val="auto"/>
              </w:rPr>
            </w:pPr>
            <w:r>
              <w:rPr>
                <w:rFonts w:ascii="Arial" w:cs="Arial" w:eastAsia="Arial" w:hAnsi="Arial"/>
                <w:sz w:val="14"/>
                <w:szCs w:val="14"/>
                <w:color w:val="auto"/>
              </w:rPr>
              <w:t>M</w:t>
            </w:r>
          </w:p>
        </w:tc>
        <w:tc>
          <w:tcPr>
            <w:tcW w:w="1460" w:type="dxa"/>
            <w:vAlign w:val="bottom"/>
          </w:tcPr>
          <w:p>
            <w:pPr>
              <w:jc w:val="center"/>
              <w:spacing w:after="0"/>
              <w:rPr>
                <w:sz w:val="20"/>
                <w:szCs w:val="20"/>
                <w:color w:val="auto"/>
              </w:rPr>
            </w:pPr>
            <w:r>
              <w:rPr>
                <w:rFonts w:ascii="Arial" w:cs="Arial" w:eastAsia="Arial" w:hAnsi="Arial"/>
                <w:sz w:val="14"/>
                <w:szCs w:val="14"/>
                <w:color w:val="auto"/>
              </w:rPr>
              <w:t>M</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680" w:type="dxa"/>
            <w:vAlign w:val="bottom"/>
            <w:shd w:val="clear" w:color="auto" w:fill="003B71"/>
          </w:tcPr>
          <w:p>
            <w:pPr>
              <w:spacing w:after="0"/>
              <w:rPr>
                <w:sz w:val="20"/>
                <w:szCs w:val="20"/>
                <w:color w:val="auto"/>
              </w:rPr>
            </w:pPr>
            <w:r>
              <w:rPr>
                <w:rFonts w:ascii="Arial" w:cs="Arial" w:eastAsia="Arial" w:hAnsi="Arial"/>
                <w:sz w:val="18"/>
                <w:szCs w:val="18"/>
                <w:b w:val="1"/>
                <w:bCs w:val="1"/>
                <w:color w:val="FFFFFF"/>
              </w:rPr>
              <w:t>Number of Meetings in Fiscal 2025</w:t>
            </w:r>
          </w:p>
        </w:tc>
        <w:tc>
          <w:tcPr>
            <w:tcW w:w="1200" w:type="dxa"/>
            <w:vAlign w:val="bottom"/>
            <w:shd w:val="clear" w:color="auto" w:fill="003B71"/>
          </w:tcPr>
          <w:p>
            <w:pPr>
              <w:jc w:val="center"/>
              <w:spacing w:after="0"/>
              <w:rPr>
                <w:sz w:val="20"/>
                <w:szCs w:val="20"/>
                <w:color w:val="auto"/>
              </w:rPr>
            </w:pPr>
            <w:r>
              <w:rPr>
                <w:rFonts w:ascii="Arial" w:cs="Arial" w:eastAsia="Arial" w:hAnsi="Arial"/>
                <w:sz w:val="18"/>
                <w:szCs w:val="18"/>
                <w:b w:val="1"/>
                <w:bCs w:val="1"/>
                <w:color w:val="FFFFFF"/>
                <w:w w:val="99"/>
              </w:rPr>
              <w:t>6</w:t>
            </w:r>
          </w:p>
        </w:tc>
        <w:tc>
          <w:tcPr>
            <w:tcW w:w="1220" w:type="dxa"/>
            <w:vAlign w:val="bottom"/>
            <w:shd w:val="clear" w:color="auto" w:fill="003B71"/>
          </w:tcPr>
          <w:p>
            <w:pPr>
              <w:jc w:val="center"/>
              <w:spacing w:after="0"/>
              <w:rPr>
                <w:sz w:val="20"/>
                <w:szCs w:val="20"/>
                <w:color w:val="auto"/>
              </w:rPr>
            </w:pPr>
            <w:r>
              <w:rPr>
                <w:rFonts w:ascii="Arial" w:cs="Arial" w:eastAsia="Arial" w:hAnsi="Arial"/>
                <w:sz w:val="18"/>
                <w:szCs w:val="18"/>
                <w:b w:val="1"/>
                <w:bCs w:val="1"/>
                <w:color w:val="FFFFFF"/>
                <w:w w:val="99"/>
              </w:rPr>
              <w:t>7</w:t>
            </w:r>
          </w:p>
        </w:tc>
        <w:tc>
          <w:tcPr>
            <w:tcW w:w="1460" w:type="dxa"/>
            <w:vAlign w:val="bottom"/>
            <w:shd w:val="clear" w:color="auto" w:fill="003B71"/>
          </w:tcPr>
          <w:p>
            <w:pPr>
              <w:jc w:val="center"/>
              <w:spacing w:after="0"/>
              <w:rPr>
                <w:sz w:val="20"/>
                <w:szCs w:val="20"/>
                <w:color w:val="auto"/>
              </w:rPr>
            </w:pPr>
            <w:r>
              <w:rPr>
                <w:rFonts w:ascii="Arial" w:cs="Arial" w:eastAsia="Arial" w:hAnsi="Arial"/>
                <w:sz w:val="18"/>
                <w:szCs w:val="18"/>
                <w:b w:val="1"/>
                <w:bCs w:val="1"/>
                <w:color w:val="FFFFFF"/>
                <w:w w:val="99"/>
              </w:rPr>
              <w:t>6</w:t>
            </w:r>
          </w:p>
        </w:tc>
        <w:tc>
          <w:tcPr>
            <w:tcW w:w="1460" w:type="dxa"/>
            <w:vAlign w:val="bottom"/>
            <w:shd w:val="clear" w:color="auto" w:fill="003B71"/>
          </w:tcPr>
          <w:p>
            <w:pPr>
              <w:jc w:val="center"/>
              <w:spacing w:after="0"/>
              <w:rPr>
                <w:sz w:val="20"/>
                <w:szCs w:val="20"/>
                <w:color w:val="auto"/>
              </w:rPr>
            </w:pPr>
            <w:r>
              <w:rPr>
                <w:rFonts w:ascii="Arial" w:cs="Arial" w:eastAsia="Arial" w:hAnsi="Arial"/>
                <w:sz w:val="18"/>
                <w:szCs w:val="18"/>
                <w:b w:val="1"/>
                <w:bCs w:val="1"/>
                <w:color w:val="FFFFFF"/>
                <w:w w:val="99"/>
              </w:rPr>
              <w:t>5</w:t>
            </w:r>
          </w:p>
        </w:tc>
        <w:tc>
          <w:tcPr>
            <w:tcW w:w="1160" w:type="dxa"/>
            <w:vAlign w:val="bottom"/>
            <w:shd w:val="clear" w:color="auto" w:fill="003B71"/>
          </w:tcPr>
          <w:p>
            <w:pPr>
              <w:jc w:val="center"/>
              <w:spacing w:after="0"/>
              <w:rPr>
                <w:sz w:val="20"/>
                <w:szCs w:val="20"/>
                <w:color w:val="auto"/>
              </w:rPr>
            </w:pPr>
            <w:r>
              <w:rPr>
                <w:rFonts w:ascii="Arial" w:cs="Arial" w:eastAsia="Arial" w:hAnsi="Arial"/>
                <w:sz w:val="18"/>
                <w:szCs w:val="18"/>
                <w:b w:val="1"/>
                <w:bCs w:val="1"/>
                <w:color w:val="FFFFFF"/>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6403975</wp:posOffset>
            </wp:positionH>
            <wp:positionV relativeFrom="paragraph">
              <wp:posOffset>-170180</wp:posOffset>
            </wp:positionV>
            <wp:extent cx="8255" cy="1708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-170180</wp:posOffset>
            </wp:positionV>
            <wp:extent cx="8255" cy="1708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-170180</wp:posOffset>
            </wp:positionV>
            <wp:extent cx="8255" cy="1708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-170180</wp:posOffset>
            </wp:positionV>
            <wp:extent cx="8255" cy="170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-170180</wp:posOffset>
            </wp:positionV>
            <wp:extent cx="8255" cy="170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-511175</wp:posOffset>
            </wp:positionV>
            <wp:extent cx="8255" cy="1708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-511175</wp:posOffset>
            </wp:positionV>
            <wp:extent cx="8255" cy="1708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-511175</wp:posOffset>
            </wp:positionV>
            <wp:extent cx="8255" cy="1708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-511175</wp:posOffset>
            </wp:positionV>
            <wp:extent cx="8255" cy="1708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-511175</wp:posOffset>
            </wp:positionV>
            <wp:extent cx="8255" cy="170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-852805</wp:posOffset>
            </wp:positionV>
            <wp:extent cx="8255" cy="170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-852805</wp:posOffset>
            </wp:positionV>
            <wp:extent cx="8255" cy="170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-852805</wp:posOffset>
            </wp:positionV>
            <wp:extent cx="8255" cy="170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-852805</wp:posOffset>
            </wp:positionV>
            <wp:extent cx="8255" cy="170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-852805</wp:posOffset>
            </wp:positionV>
            <wp:extent cx="8255" cy="170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-1193800</wp:posOffset>
            </wp:positionV>
            <wp:extent cx="8255" cy="170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-1193800</wp:posOffset>
            </wp:positionV>
            <wp:extent cx="8255" cy="170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-1193800</wp:posOffset>
            </wp:positionV>
            <wp:extent cx="8255" cy="170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-1193800</wp:posOffset>
            </wp:positionV>
            <wp:extent cx="8255" cy="1708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-1193800</wp:posOffset>
            </wp:positionV>
            <wp:extent cx="8255" cy="170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70815"/>
                    </a:xfrm>
                    <a:prstGeom prst="rect">
                      <a:avLst/>
                    </a:prstGeom>
                    <a:noFill/>
                  </pic:spPr>
                </pic:pic>
              </a:graphicData>
            </a:graphic>
          </wp:anchor>
        </w:drawing>
        <w:drawing>
          <wp:anchor simplePos="0" relativeHeight="251657728" behindDoc="1" locked="0" layoutInCell="0" allowOverlap="1">
            <wp:simplePos x="0" y="0"/>
            <wp:positionH relativeFrom="column">
              <wp:posOffset>6403975</wp:posOffset>
            </wp:positionH>
            <wp:positionV relativeFrom="paragraph">
              <wp:posOffset>-1543685</wp:posOffset>
            </wp:positionV>
            <wp:extent cx="8255" cy="1790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7907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-1543685</wp:posOffset>
            </wp:positionV>
            <wp:extent cx="8255" cy="1790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79070"/>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-1543685</wp:posOffset>
            </wp:positionV>
            <wp:extent cx="8255" cy="1790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17907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-1543685</wp:posOffset>
            </wp:positionV>
            <wp:extent cx="8255" cy="1790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79070"/>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-1543685</wp:posOffset>
            </wp:positionV>
            <wp:extent cx="8255" cy="1790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79070"/>
                    </a:xfrm>
                    <a:prstGeom prst="rect">
                      <a:avLst/>
                    </a:prstGeom>
                    <a:noFill/>
                  </pic:spPr>
                </pic:pic>
              </a:graphicData>
            </a:graphic>
          </wp:anchor>
        </w:drawing>
      </w:r>
    </w:p>
    <w:p>
      <w:pPr>
        <w:spacing w:after="0" w:line="109" w:lineRule="exact"/>
        <w:rPr>
          <w:sz w:val="20"/>
          <w:szCs w:val="20"/>
          <w:color w:val="auto"/>
        </w:rPr>
      </w:pPr>
    </w:p>
    <w:p>
      <w:pPr>
        <w:ind w:left="760" w:hanging="721"/>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Independent Director</w:t>
      </w:r>
    </w:p>
    <w:p>
      <w:pPr>
        <w:sectPr>
          <w:pgSz w:w="11900" w:h="16838" w:orient="portrait"/>
          <w:cols w:equalWidth="0" w:num="1">
            <w:col w:w="11240"/>
          </w:cols>
          <w:pgMar w:left="320" w:top="1257" w:right="339" w:bottom="1440" w:gutter="0" w:footer="0" w:header="0"/>
          <w:type w:val="continuous"/>
        </w:sectPr>
      </w:pPr>
    </w:p>
    <w:p>
      <w:pPr>
        <w:spacing w:after="0" w:line="48" w:lineRule="exact"/>
        <w:rPr>
          <w:sz w:val="20"/>
          <w:szCs w:val="20"/>
          <w:color w:val="auto"/>
        </w:rPr>
      </w:pPr>
    </w:p>
    <w:p>
      <w:pPr>
        <w:jc w:val="both"/>
        <w:ind w:left="40"/>
        <w:spacing w:after="0" w:line="313" w:lineRule="auto"/>
        <w:rPr>
          <w:sz w:val="20"/>
          <w:szCs w:val="20"/>
          <w:color w:val="auto"/>
        </w:rPr>
      </w:pPr>
      <w:r>
        <w:rPr>
          <w:rFonts w:ascii="Arial" w:cs="Arial" w:eastAsia="Arial" w:hAnsi="Arial"/>
          <w:sz w:val="17"/>
          <w:szCs w:val="17"/>
          <w:color w:val="auto"/>
        </w:rPr>
        <w:t>CEO COB</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Chief Executive Officer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Chair of the Board</w:t>
      </w:r>
    </w:p>
    <w:p>
      <w:pPr>
        <w:spacing w:after="0" w:line="48" w:lineRule="exact"/>
        <w:rPr>
          <w:sz w:val="20"/>
          <w:szCs w:val="20"/>
          <w:color w:val="auto"/>
        </w:rPr>
      </w:pPr>
    </w:p>
    <w:p>
      <w:pPr>
        <w:sectPr>
          <w:pgSz w:w="11900" w:h="16838" w:orient="portrait"/>
          <w:cols w:equalWidth="0" w:num="2">
            <w:col w:w="420" w:space="340"/>
            <w:col w:w="10480"/>
          </w:cols>
          <w:pgMar w:left="320" w:top="1257" w:right="339" w:bottom="1440" w:gutter="0" w:footer="0" w:header="0"/>
          <w:type w:val="continuous"/>
        </w:sectPr>
      </w:pPr>
    </w:p>
    <w:p>
      <w:pPr>
        <w:ind w:left="760" w:hanging="721"/>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Committee Chair</w:t>
      </w:r>
    </w:p>
    <w:p>
      <w:pPr>
        <w:spacing w:after="0" w:line="48"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M– Committee Member</w:t>
      </w:r>
    </w:p>
    <w:p>
      <w:pPr>
        <w:spacing w:after="0" w:line="4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VC</w:t>
      </w:r>
      <w:r>
        <w:rPr>
          <w:sz w:val="20"/>
          <w:szCs w:val="20"/>
          <w:color w:val="auto"/>
        </w:rPr>
        <w:tab/>
      </w:r>
      <w:r>
        <w:rPr>
          <w:rFonts w:ascii="Arial" w:cs="Arial" w:eastAsia="Arial" w:hAnsi="Arial"/>
          <w:sz w:val="18"/>
          <w:szCs w:val="18"/>
          <w:color w:val="auto"/>
        </w:rPr>
        <w:t>– Vice Chair</w:t>
      </w:r>
    </w:p>
    <w:p>
      <w:pPr>
        <w:spacing w:after="0" w:line="308" w:lineRule="exact"/>
        <w:rPr>
          <w:sz w:val="20"/>
          <w:szCs w:val="20"/>
          <w:color w:val="auto"/>
        </w:rPr>
      </w:pPr>
    </w:p>
    <w:p>
      <w:pPr>
        <w:ind w:left="940" w:hanging="335"/>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6"/>
          <w:szCs w:val="16"/>
          <w:color w:val="auto"/>
        </w:rPr>
        <w:t>Appointed to the Board of Directors on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363855</wp:posOffset>
            </wp:positionV>
            <wp:extent cx="71329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4C4C4C"/>
              </w:rPr>
              <w:t>2</w:t>
            </w:r>
          </w:p>
        </w:tc>
      </w:tr>
      <w:tr>
        <w:trPr>
          <w:trHeight w:val="210"/>
        </w:trPr>
        <w:tc>
          <w:tcPr>
            <w:tcW w:w="7100" w:type="dxa"/>
            <w:vAlign w:val="bottom"/>
            <w:tcBorders>
              <w:bottom w:val="single" w:sz="8" w:color="9A9A9A"/>
            </w:tcBorders>
          </w:tcPr>
          <w:p>
            <w:pPr>
              <w:spacing w:after="0"/>
              <w:rPr>
                <w:sz w:val="18"/>
                <w:szCs w:val="18"/>
                <w:color w:val="auto"/>
              </w:rPr>
            </w:pPr>
          </w:p>
        </w:tc>
        <w:tc>
          <w:tcPr>
            <w:tcW w:w="41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25"/>
          <w:szCs w:val="25"/>
          <w:b w:val="1"/>
          <w:bCs w:val="1"/>
          <w:color w:val="4C4C4C"/>
        </w:rPr>
        <w:t>Board Skills and Core Competencies of Current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Our Board is comprised of directors who have a variety of skills and core competencies as noted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128270</wp:posOffset>
            </wp:positionV>
            <wp:extent cx="4948555" cy="2986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48555" cy="298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are committed to maintaining strong corporate governance practices that promote and protect the long-term interests of our shareholders. Our practices are designed to provide effective oversight and management of our Company as well as meet our regulatory and NASDAQ requirements, including the following:</w:t>
      </w:r>
    </w:p>
    <w:p>
      <w:pPr>
        <w:sectPr>
          <w:pgSz w:w="11900" w:h="16838" w:orient="portrait"/>
          <w:cols w:equalWidth="0" w:num="1">
            <w:col w:w="11240"/>
          </w:cols>
          <w:pgMar w:left="320" w:top="1338" w:right="339" w:bottom="1440" w:gutter="0" w:footer="0" w:header="0"/>
        </w:sectPr>
      </w:pPr>
    </w:p>
    <w:p>
      <w:pPr>
        <w:spacing w:after="0" w:line="115" w:lineRule="exact"/>
        <w:rPr>
          <w:sz w:val="20"/>
          <w:szCs w:val="20"/>
          <w:color w:val="auto"/>
        </w:rPr>
      </w:pPr>
    </w:p>
    <w:p>
      <w:pPr>
        <w:ind w:left="420" w:right="100" w:hanging="321"/>
        <w:spacing w:after="0" w:line="267" w:lineRule="auto"/>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Audit, Compensation, and Nominating and Corporate</w:t>
      </w:r>
      <w:r>
        <w:rPr>
          <w:rFonts w:ascii="Wingdings" w:cs="Wingdings" w:eastAsia="Wingdings" w:hAnsi="Wingdings"/>
          <w:sz w:val="18"/>
          <w:szCs w:val="18"/>
          <w:b w:val="1"/>
          <w:bCs w:val="1"/>
          <w:color w:val="auto"/>
        </w:rPr>
        <w:t xml:space="preserve"> </w:t>
      </w:r>
      <w:r>
        <w:rPr>
          <w:rFonts w:ascii="Arial" w:cs="Arial" w:eastAsia="Arial" w:hAnsi="Arial"/>
          <w:sz w:val="18"/>
          <w:szCs w:val="18"/>
          <w:color w:val="auto"/>
        </w:rPr>
        <w:t>Governance Committees comprised of only Independent Directors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Strong Director Attendance Record</w:t>
      </w:r>
    </w:p>
    <w:p>
      <w:pPr>
        <w:spacing w:after="0" w:line="491" w:lineRule="exact"/>
        <w:rPr>
          <w:sz w:val="20"/>
          <w:szCs w:val="20"/>
          <w:color w:val="auto"/>
        </w:rPr>
      </w:pPr>
    </w:p>
    <w:p>
      <w:pPr>
        <w:sectPr>
          <w:pgSz w:w="11900" w:h="16838" w:orient="portrait"/>
          <w:cols w:equalWidth="0" w:num="2">
            <w:col w:w="5000" w:space="720"/>
            <w:col w:w="5520"/>
          </w:cols>
          <w:pgMar w:left="320" w:top="1338" w:right="339" w:bottom="1440" w:gutter="0" w:footer="0" w:header="0"/>
          <w:type w:val="continuous"/>
        </w:sectPr>
      </w:pPr>
    </w:p>
    <w:p>
      <w:pPr>
        <w:spacing w:after="0" w:line="215" w:lineRule="exact"/>
        <w:rPr>
          <w:sz w:val="20"/>
          <w:szCs w:val="20"/>
          <w:color w:val="auto"/>
        </w:rPr>
      </w:pPr>
    </w:p>
    <w:p>
      <w:pPr>
        <w:ind w:left="100"/>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Regular Executive Sessions of Independent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Share Ownership Requirements for Directors and Executive</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Officers</w:t>
      </w:r>
    </w:p>
    <w:p>
      <w:pPr>
        <w:spacing w:after="0" w:line="44" w:lineRule="exact"/>
        <w:rPr>
          <w:sz w:val="20"/>
          <w:szCs w:val="20"/>
          <w:color w:val="auto"/>
        </w:rPr>
      </w:pPr>
    </w:p>
    <w:p>
      <w:pPr>
        <w:sectPr>
          <w:pgSz w:w="11900" w:h="16838" w:orient="portrait"/>
          <w:cols w:equalWidth="0" w:num="2">
            <w:col w:w="5000" w:space="720"/>
            <w:col w:w="5520"/>
          </w:cols>
          <w:pgMar w:left="320" w:top="1338" w:right="339" w:bottom="1440" w:gutter="0" w:footer="0" w:header="0"/>
          <w:type w:val="continuous"/>
        </w:sectPr>
      </w:pPr>
    </w:p>
    <w:p>
      <w:pPr>
        <w:ind w:left="100"/>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Commitment to Board Refreshment</w:t>
      </w:r>
    </w:p>
    <w:p>
      <w:pPr>
        <w:spacing w:after="0" w:line="62" w:lineRule="exact"/>
        <w:rPr>
          <w:sz w:val="20"/>
          <w:szCs w:val="20"/>
          <w:color w:val="auto"/>
        </w:rPr>
      </w:pPr>
    </w:p>
    <w:p>
      <w:pPr>
        <w:ind w:left="100"/>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Annual Director Elections</w:t>
      </w:r>
    </w:p>
    <w:p>
      <w:pPr>
        <w:spacing w:after="0" w:line="62" w:lineRule="exact"/>
        <w:rPr>
          <w:sz w:val="20"/>
          <w:szCs w:val="20"/>
          <w:color w:val="auto"/>
        </w:rPr>
      </w:pPr>
    </w:p>
    <w:p>
      <w:pPr>
        <w:ind w:left="100"/>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Majority Voting in Uncontested Director Elections</w:t>
      </w:r>
    </w:p>
    <w:p>
      <w:pPr>
        <w:spacing w:after="0" w:line="62" w:lineRule="exact"/>
        <w:rPr>
          <w:sz w:val="20"/>
          <w:szCs w:val="20"/>
          <w:color w:val="auto"/>
        </w:rPr>
      </w:pPr>
    </w:p>
    <w:p>
      <w:pPr>
        <w:ind w:left="100"/>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Commitment to Director Education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Director Overboarding Policy</w:t>
      </w:r>
    </w:p>
    <w:p>
      <w:pPr>
        <w:spacing w:after="0" w:line="62"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Mandatory Director Retirement Age</w:t>
      </w:r>
    </w:p>
    <w:p>
      <w:pPr>
        <w:spacing w:after="0" w:line="62"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Annual Board and Committee Evaluations</w:t>
      </w:r>
    </w:p>
    <w:p>
      <w:pPr>
        <w:spacing w:after="0" w:line="62" w:lineRule="exact"/>
        <w:rPr>
          <w:sz w:val="20"/>
          <w:szCs w:val="20"/>
          <w:color w:val="auto"/>
        </w:rPr>
      </w:pPr>
    </w:p>
    <w:p>
      <w:pPr>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Continued Engagement with Our Shareholders</w:t>
      </w:r>
    </w:p>
    <w:p>
      <w:pPr>
        <w:spacing w:after="0" w:line="62" w:lineRule="exact"/>
        <w:rPr>
          <w:sz w:val="20"/>
          <w:szCs w:val="20"/>
          <w:color w:val="auto"/>
        </w:rPr>
      </w:pPr>
    </w:p>
    <w:p>
      <w:pPr>
        <w:sectPr>
          <w:pgSz w:w="11900" w:h="16838" w:orient="portrait"/>
          <w:cols w:equalWidth="0" w:num="2">
            <w:col w:w="5000" w:space="720"/>
            <w:col w:w="5520"/>
          </w:cols>
          <w:pgMar w:left="320" w:top="1338" w:right="339" w:bottom="1440" w:gutter="0" w:footer="0" w:header="0"/>
          <w:type w:val="continuous"/>
        </w:sectPr>
      </w:pPr>
    </w:p>
    <w:p>
      <w:pPr>
        <w:ind w:left="100"/>
        <w:spacing w:after="0"/>
        <w:rPr>
          <w:sz w:val="20"/>
          <w:szCs w:val="20"/>
          <w:color w:val="auto"/>
        </w:rPr>
      </w:pPr>
      <w:r>
        <w:rPr>
          <w:rFonts w:ascii="Wingdings" w:cs="Wingdings" w:eastAsia="Wingdings" w:hAnsi="Wingdings"/>
          <w:sz w:val="18"/>
          <w:szCs w:val="18"/>
          <w:b w:val="1"/>
          <w:bCs w:val="1"/>
          <w:color w:val="auto"/>
        </w:rPr>
        <w:t xml:space="preserve">ü </w:t>
      </w:r>
      <w:r>
        <w:rPr>
          <w:rFonts w:ascii="Arial" w:cs="Arial" w:eastAsia="Arial" w:hAnsi="Arial"/>
          <w:sz w:val="18"/>
          <w:szCs w:val="18"/>
          <w:color w:val="auto"/>
        </w:rPr>
        <w:t>No Shareholder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759460</wp:posOffset>
            </wp:positionV>
            <wp:extent cx="71329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4C4C4C"/>
              </w:rPr>
              <w:t>3</w:t>
            </w:r>
          </w:p>
        </w:tc>
      </w:tr>
      <w:tr>
        <w:trPr>
          <w:trHeight w:val="223"/>
        </w:trPr>
        <w:tc>
          <w:tcPr>
            <w:tcW w:w="710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25"/>
          <w:szCs w:val="25"/>
          <w:b w:val="1"/>
          <w:bCs w:val="1"/>
          <w:color w:val="4C4C4C"/>
        </w:rPr>
        <w:t>Fiscal 2025 Business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29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ind w:left="480" w:hanging="311"/>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of $2.1 billion decreased 1.4% from fiscal 2024.</w:t>
      </w:r>
    </w:p>
    <w:p>
      <w:pPr>
        <w:spacing w:after="0" w:line="115" w:lineRule="exact"/>
        <w:rPr>
          <w:rFonts w:ascii="Arial" w:cs="Arial" w:eastAsia="Arial" w:hAnsi="Arial"/>
          <w:sz w:val="18"/>
          <w:szCs w:val="18"/>
          <w:color w:val="auto"/>
        </w:rPr>
      </w:pPr>
    </w:p>
    <w:p>
      <w:pPr>
        <w:ind w:left="480" w:hanging="311"/>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Comparable store sales decreased 5.0% compared to fiscal 2024.</w:t>
      </w:r>
    </w:p>
    <w:p>
      <w:pPr>
        <w:spacing w:after="0" w:line="115" w:lineRule="exact"/>
        <w:rPr>
          <w:rFonts w:ascii="Arial" w:cs="Arial" w:eastAsia="Arial" w:hAnsi="Arial"/>
          <w:sz w:val="18"/>
          <w:szCs w:val="18"/>
          <w:color w:val="auto"/>
        </w:rPr>
      </w:pPr>
    </w:p>
    <w:p>
      <w:pPr>
        <w:ind w:left="500" w:hanging="331"/>
        <w:spacing w:after="0" w:line="285"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 totaled $48.7 million, or $1.40 per diluted share, compared to net income of $58.3 million, or $1.46 per diluted share in fiscal 2024.</w:t>
      </w:r>
    </w:p>
    <w:p>
      <w:pPr>
        <w:spacing w:after="0" w:line="45" w:lineRule="exact"/>
        <w:rPr>
          <w:rFonts w:ascii="Arial" w:cs="Arial" w:eastAsia="Arial" w:hAnsi="Arial"/>
          <w:sz w:val="18"/>
          <w:szCs w:val="18"/>
          <w:color w:val="auto"/>
        </w:rPr>
      </w:pPr>
    </w:p>
    <w:p>
      <w:pPr>
        <w:ind w:left="480" w:hanging="311"/>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of $436.6 million, compared to Adjusted EBITDA* of $506.2 million in fiscal 2024.</w:t>
      </w:r>
    </w:p>
    <w:p>
      <w:pPr>
        <w:spacing w:after="0" w:line="115" w:lineRule="exact"/>
        <w:rPr>
          <w:rFonts w:ascii="Arial" w:cs="Arial" w:eastAsia="Arial" w:hAnsi="Arial"/>
          <w:sz w:val="18"/>
          <w:szCs w:val="18"/>
          <w:color w:val="auto"/>
        </w:rPr>
      </w:pPr>
    </w:p>
    <w:p>
      <w:pPr>
        <w:jc w:val="both"/>
        <w:ind w:left="500" w:hanging="331"/>
        <w:spacing w:after="0" w:line="258" w:lineRule="auto"/>
        <w:tabs>
          <w:tab w:leader="none" w:pos="4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opened a total of 11 new venues (eight Dave &amp; Buster's and three Main Events) and relocated one additional Dave &amp; Buster’s branded store in fiscal 2025. Additionally, in December 2024, we opened our first franchise location in Bengaluru, Karnataka, India, followed by our second in Mumbai, Maharashtra, India, in August 2025, our third in Manila, the Philippines, in October 2025 and our fourth in Santo Domingo, Dominican Republic, in February 2026. We currently have plans to open additional franchise locations in Mexico City, Mexico; Perth, Australia; and New Delhi, India in fiscal 2026.</w:t>
      </w:r>
    </w:p>
    <w:p>
      <w:pPr>
        <w:spacing w:after="0" w:line="74"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 xml:space="preserve">* Adjusted EBITDA is a non-GAAP financial measure. See </w:t>
      </w:r>
      <w:r>
        <w:rPr>
          <w:rFonts w:ascii="Arial" w:cs="Arial" w:eastAsia="Arial" w:hAnsi="Arial"/>
          <w:sz w:val="16"/>
          <w:szCs w:val="16"/>
          <w:u w:val="single" w:color="auto"/>
          <w:color w:val="0000FF"/>
        </w:rPr>
        <w:t>Appendix A</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Fiscal 2025 Executive Compensation Highlights and Key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329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49" w:lineRule="exact"/>
        <w:rPr>
          <w:sz w:val="20"/>
          <w:szCs w:val="20"/>
          <w:color w:val="auto"/>
        </w:rPr>
      </w:pPr>
    </w:p>
    <w:p>
      <w:pPr>
        <w:ind w:left="500" w:right="20" w:hanging="331"/>
        <w:spacing w:after="0" w:line="285"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continued to receive strong support from shareholders for our executive compensation practices, with more than 98% of the votes cast voting to approve the compensation paid to our named executive officers at the 2025 annual meeting of shareholders.</w:t>
      </w:r>
    </w:p>
    <w:p>
      <w:pPr>
        <w:spacing w:after="0" w:line="45" w:lineRule="exact"/>
        <w:rPr>
          <w:rFonts w:ascii="Arial" w:cs="Arial" w:eastAsia="Arial" w:hAnsi="Arial"/>
          <w:sz w:val="18"/>
          <w:szCs w:val="18"/>
          <w:color w:val="auto"/>
        </w:rPr>
      </w:pPr>
    </w:p>
    <w:p>
      <w:pPr>
        <w:ind w:left="500" w:right="20" w:hanging="331"/>
        <w:spacing w:after="0" w:line="285" w:lineRule="auto"/>
        <w:tabs>
          <w:tab w:leader="none" w:pos="4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designing our fiscal 2025 executive compensation, we maintained our focus on our three core values for compensation: pay for performance, market-competitive pay and sustained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510540</wp:posOffset>
            </wp:positionV>
            <wp:extent cx="71329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4C4C4C"/>
              </w:rPr>
              <w:t>4</w:t>
            </w:r>
          </w:p>
        </w:tc>
      </w:tr>
      <w:tr>
        <w:trPr>
          <w:trHeight w:val="223"/>
        </w:trPr>
        <w:tc>
          <w:tcPr>
            <w:tcW w:w="710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39"/>
          <w:szCs w:val="39"/>
          <w:color w:val="003B71"/>
        </w:rPr>
        <w:t>PROPOSAL NO. 1</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ELECTION OF DIRECTORS</w:t>
      </w:r>
    </w:p>
    <w:p>
      <w:pPr>
        <w:jc w:val="both"/>
        <w:spacing w:after="0" w:line="236" w:lineRule="auto"/>
        <w:rPr>
          <w:sz w:val="20"/>
          <w:szCs w:val="20"/>
          <w:color w:val="auto"/>
        </w:rPr>
      </w:pPr>
      <w:r>
        <w:rPr>
          <w:rFonts w:ascii="Arial" w:cs="Arial" w:eastAsia="Arial" w:hAnsi="Arial"/>
          <w:sz w:val="18"/>
          <w:szCs w:val="18"/>
          <w:color w:val="auto"/>
        </w:rPr>
        <w:t>On December 8, 2025, Hamish A. Dodds notified the Company of his resignation from the Company’s Board of Directors, effective immediately. Following this notice, the Board of Directors voted to decrease the number of directors on the Board of Directors from eight (8) to seven (7). On March 31, 2026, the Board of Directors voted to increase the size of the board from seven (7) to eight (8), and on April 27, 2026, the Board of Directors appointed Charles H. Protell to the Board and nominated Mr. Protell for election by the shareholders at the Annual Meeting to continue his service as a director. On April 30, 2026, Atish Shah notified the Company of his decision to not stand for reelection to the Board of Directors at the Annual Meeting. Mr. Shah will continue to serve as a director until the Annual Meeting. As a result of Mr. Shah’s notice, the Board of Directors voted to decrease the number of directors on the Board of Directors from eight (8) to seven (7), effective as of the final vote of the shareholders at the Annual Meeting.</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Your proxy will be used to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of the nominees named below unless you abstain from or vote against the nominees when you send in your proxy. Following the appointment of Mr. Protell and assuming all seven (7) of the director nominees are elected at the Annual Meeting, the Company’s Board of Directors will be comprised of seven (7) members. All seven (7) nominees for election to the Board of Directors are currently directors of the Company. If elected at the Annual Meeting, each of the nominees will serve until our 2027 annual meeting of shareholders and until a successor is duly elected and qualified, or until either an earlier death, resignation or removal. If any of the nominees is unable or unwilling to be a candidate for election by the time of the Annual Meeting (a contingency which the Board does not expect to occur), the shareholders may vote for a substitute nominee chosen by the present Board to fill a vacancy. In the alternative, the shareholders may vote for just the remaining nominees leaving a vacancy that may be filled later by the Board. Alternatively, the Board may reduce its size.</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are furnishing below certain biographical information about each of the seven (7) nominees for director. Also included is a description of the experience, qualifications, attributes and skills of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24700" cy="30118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4700" cy="3011805"/>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James P. Chambers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2020</w:t>
            </w:r>
          </w:p>
        </w:tc>
        <w:tc>
          <w:tcPr>
            <w:tcW w:w="3560" w:type="dxa"/>
            <w:vAlign w:val="bottom"/>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40</w:t>
            </w:r>
          </w:p>
        </w:tc>
      </w:tr>
      <w:tr>
        <w:trPr>
          <w:trHeight w:val="238"/>
        </w:trPr>
        <w:tc>
          <w:tcPr>
            <w:tcW w:w="5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Compensation (Chair), Finance (Chair)</w:t>
            </w:r>
          </w:p>
        </w:tc>
        <w:tc>
          <w:tcPr>
            <w:tcW w:w="3560" w:type="dxa"/>
            <w:vAlign w:val="bottom"/>
          </w:tcPr>
          <w:p>
            <w:pPr>
              <w:ind w:left="2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IRECTOR</w:t>
            </w:r>
            <w:r>
              <w:rPr>
                <w:rFonts w:ascii="Arial" w:cs="Arial" w:eastAsia="Arial" w:hAnsi="Arial"/>
                <w:sz w:val="18"/>
                <w:szCs w:val="18"/>
                <w:color w:val="auto"/>
                <w:w w:val="99"/>
              </w:rPr>
              <w:t xml:space="preserve"> S</w:t>
            </w:r>
            <w:r>
              <w:rPr>
                <w:rFonts w:ascii="Arial" w:cs="Arial" w:eastAsia="Arial" w:hAnsi="Arial"/>
                <w:sz w:val="14"/>
                <w:szCs w:val="14"/>
                <w:color w:val="auto"/>
                <w:w w:val="99"/>
              </w:rPr>
              <w:t>TATUS:</w:t>
            </w:r>
            <w:r>
              <w:rPr>
                <w:rFonts w:ascii="Arial" w:cs="Arial" w:eastAsia="Arial" w:hAnsi="Arial"/>
                <w:sz w:val="18"/>
                <w:szCs w:val="18"/>
                <w:color w:val="auto"/>
                <w:w w:val="99"/>
              </w:rPr>
              <w:t xml:space="preserve"> </w:t>
            </w:r>
            <w:r>
              <w:rPr>
                <w:rFonts w:ascii="Arial" w:cs="Arial" w:eastAsia="Arial" w:hAnsi="Arial"/>
                <w:sz w:val="16"/>
                <w:szCs w:val="16"/>
                <w:color w:val="auto"/>
                <w:w w:val="99"/>
              </w:rPr>
              <w:t>I</w:t>
            </w:r>
            <w:r>
              <w:rPr>
                <w:rFonts w:ascii="Arial" w:cs="Arial" w:eastAsia="Arial" w:hAnsi="Arial"/>
                <w:sz w:val="14"/>
                <w:szCs w:val="14"/>
                <w:color w:val="auto"/>
                <w:w w:val="99"/>
              </w:rPr>
              <w:t>NDEPENDENT —</w:t>
            </w:r>
            <w:r>
              <w:rPr>
                <w:rFonts w:ascii="Arial" w:cs="Arial" w:eastAsia="Arial" w:hAnsi="Arial"/>
                <w:sz w:val="18"/>
                <w:szCs w:val="18"/>
                <w:color w:val="auto"/>
                <w:w w:val="99"/>
              </w:rPr>
              <w:t xml:space="preserve"> V</w:t>
            </w:r>
            <w:r>
              <w:rPr>
                <w:rFonts w:ascii="Arial" w:cs="Arial" w:eastAsia="Arial" w:hAnsi="Arial"/>
                <w:sz w:val="13"/>
                <w:szCs w:val="13"/>
                <w:color w:val="auto"/>
                <w:w w:val="99"/>
              </w:rPr>
              <w:t>ICE</w:t>
            </w:r>
            <w:r>
              <w:rPr>
                <w:rFonts w:ascii="Arial" w:cs="Arial" w:eastAsia="Arial" w:hAnsi="Arial"/>
                <w:sz w:val="18"/>
                <w:szCs w:val="18"/>
                <w:color w:val="auto"/>
                <w:w w:val="99"/>
              </w:rPr>
              <w:t xml:space="preserve"> C</w:t>
            </w:r>
            <w:r>
              <w:rPr>
                <w:rFonts w:ascii="Arial" w:cs="Arial" w:eastAsia="Arial" w:hAnsi="Arial"/>
                <w:sz w:val="13"/>
                <w:szCs w:val="13"/>
                <w:color w:val="auto"/>
                <w:w w:val="99"/>
              </w:rPr>
              <w:t>HAIR</w:t>
            </w:r>
          </w:p>
        </w:tc>
      </w:tr>
      <w:tr>
        <w:trPr>
          <w:trHeight w:val="23"/>
        </w:trPr>
        <w:tc>
          <w:tcPr>
            <w:tcW w:w="5120" w:type="dxa"/>
            <w:vAlign w:val="bottom"/>
            <w:tcBorders>
              <w:right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Co-Founder and Partner of </w:t>
      </w:r>
      <w:r>
        <w:rPr>
          <w:rFonts w:ascii="Arial" w:cs="Arial" w:eastAsia="Arial" w:hAnsi="Arial"/>
          <w:sz w:val="14"/>
          <w:szCs w:val="14"/>
          <w:i w:val="1"/>
          <w:iCs w:val="1"/>
          <w:color w:val="auto"/>
        </w:rPr>
        <w:t>Hill Path Capital, LP</w:t>
      </w:r>
      <w:r>
        <w:rPr>
          <w:rFonts w:ascii="Arial" w:cs="Arial" w:eastAsia="Arial" w:hAnsi="Arial"/>
          <w:sz w:val="14"/>
          <w:szCs w:val="14"/>
          <w:color w:val="auto"/>
        </w:rPr>
        <w:t>, a private investment firm investing in the equity and debt of public and private companies since 2016.</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Leadership, Strategy, Investments, Leisure &amp; Hospitality, Entertainment, Finance and Governance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Apollo Global Management, Inc</w:t>
      </w:r>
      <w:r>
        <w:rPr>
          <w:rFonts w:ascii="Arial" w:cs="Arial" w:eastAsia="Arial" w:hAnsi="Arial"/>
          <w:sz w:val="14"/>
          <w:szCs w:val="14"/>
          <w:color w:val="auto"/>
        </w:rPr>
        <w:t>., a global alternative investment management firm:</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color w:val="003B71"/>
        </w:rPr>
        <w:t xml:space="preserve">•  </w:t>
      </w:r>
      <w:r>
        <w:rPr>
          <w:rFonts w:ascii="Arial" w:cs="Arial" w:eastAsia="Arial" w:hAnsi="Arial"/>
          <w:sz w:val="14"/>
          <w:szCs w:val="14"/>
          <w:color w:val="000000"/>
        </w:rPr>
        <w:t>Principal (2009-2016)</w:t>
      </w:r>
    </w:p>
    <w:p>
      <w:pPr>
        <w:jc w:val="center"/>
        <w:spacing w:after="0"/>
        <w:rPr>
          <w:sz w:val="20"/>
          <w:szCs w:val="20"/>
          <w:color w:val="auto"/>
        </w:rPr>
      </w:pPr>
      <w:r>
        <w:rPr>
          <w:rFonts w:ascii="Arial" w:cs="Arial" w:eastAsia="Arial" w:hAnsi="Arial"/>
          <w:sz w:val="14"/>
          <w:szCs w:val="14"/>
          <w:b w:val="1"/>
          <w:bCs w:val="1"/>
          <w:color w:val="auto"/>
        </w:rPr>
        <w:t>Leadership, Strategy, Leisure &amp; Hospitality, Entertainment, Finance and Governance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Goldman Sachs &amp; Co., Inc.</w:t>
      </w:r>
      <w:r>
        <w:rPr>
          <w:rFonts w:ascii="Arial" w:cs="Arial" w:eastAsia="Arial" w:hAnsi="Arial"/>
          <w:sz w:val="14"/>
          <w:szCs w:val="14"/>
          <w:color w:val="auto"/>
        </w:rPr>
        <w:t>, a multinational investment bank and financial services company:</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003B71"/>
        </w:rPr>
        <w:t xml:space="preserve">•  </w:t>
      </w:r>
      <w:r>
        <w:rPr>
          <w:rFonts w:ascii="Arial" w:cs="Arial" w:eastAsia="Arial" w:hAnsi="Arial"/>
          <w:sz w:val="14"/>
          <w:szCs w:val="14"/>
          <w:color w:val="000000"/>
        </w:rPr>
        <w:t>Analyst, Consumer Retail Group, Investment Banking Division (2009-2011)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Leadership, Strategy, Retail, Investment, Finance, Food &amp; Beverage</w:t>
      </w:r>
    </w:p>
    <w:p>
      <w:pPr>
        <w:sectPr>
          <w:pgSz w:w="11900" w:h="16838" w:orient="portrait"/>
          <w:cols w:equalWidth="0" w:num="1">
            <w:col w:w="11240"/>
          </w:cols>
          <w:pgMar w:left="320" w:top="1142" w:right="339" w:bottom="1440" w:gutter="0" w:footer="0" w:header="0"/>
        </w:sectPr>
      </w:pP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100" w:type="dxa"/>
            <w:vAlign w:val="bottom"/>
            <w:gridSpan w:val="3"/>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URRENT</w:t>
            </w:r>
            <w:r>
              <w:rPr>
                <w:rFonts w:ascii="Arial" w:cs="Arial" w:eastAsia="Arial" w:hAnsi="Arial"/>
                <w:sz w:val="18"/>
                <w:szCs w:val="18"/>
                <w:color w:val="auto"/>
              </w:rPr>
              <w:t xml:space="preserve"> 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5100" w:type="dxa"/>
            <w:vAlign w:val="bottom"/>
            <w:gridSpan w:val="3"/>
            <w:vMerge w:val="restart"/>
          </w:tcPr>
          <w:p>
            <w:pPr>
              <w:spacing w:after="0"/>
              <w:rPr>
                <w:sz w:val="20"/>
                <w:szCs w:val="20"/>
                <w:color w:val="auto"/>
              </w:rPr>
            </w:pPr>
            <w:r>
              <w:rPr>
                <w:rFonts w:ascii="Arial" w:cs="Arial" w:eastAsia="Arial" w:hAnsi="Arial"/>
                <w:sz w:val="14"/>
                <w:szCs w:val="14"/>
                <w:color w:val="auto"/>
              </w:rPr>
              <w:t>– Dave &amp; Buster’s Entertainment, Inc. (Dec. 2020-present)</w:t>
            </w:r>
          </w:p>
        </w:tc>
        <w:tc>
          <w:tcPr>
            <w:tcW w:w="20" w:type="dxa"/>
            <w:vAlign w:val="bottom"/>
          </w:tcPr>
          <w:p>
            <w:pPr>
              <w:spacing w:after="0"/>
              <w:rPr>
                <w:sz w:val="4"/>
                <w:szCs w:val="4"/>
                <w:color w:val="auto"/>
              </w:rPr>
            </w:pPr>
          </w:p>
        </w:tc>
        <w:tc>
          <w:tcPr>
            <w:tcW w:w="2740" w:type="dxa"/>
            <w:vAlign w:val="bottom"/>
            <w:vMerge w:val="restart"/>
          </w:tcPr>
          <w:p>
            <w:pPr>
              <w:ind w:left="20"/>
              <w:spacing w:after="0"/>
              <w:rPr>
                <w:sz w:val="20"/>
                <w:szCs w:val="20"/>
                <w:color w:val="auto"/>
              </w:rPr>
            </w:pPr>
            <w:r>
              <w:rPr>
                <w:rFonts w:ascii="Arial" w:cs="Arial" w:eastAsia="Arial" w:hAnsi="Arial"/>
                <w:sz w:val="14"/>
                <w:szCs w:val="14"/>
                <w:color w:val="auto"/>
              </w:rPr>
              <w:t>– United Parks &amp; Resorts, Inc. (Jun. 2019-</w:t>
            </w:r>
          </w:p>
        </w:tc>
        <w:tc>
          <w:tcPr>
            <w:tcW w:w="0" w:type="dxa"/>
            <w:vAlign w:val="bottom"/>
          </w:tcPr>
          <w:p>
            <w:pPr>
              <w:spacing w:after="0"/>
              <w:rPr>
                <w:sz w:val="1"/>
                <w:szCs w:val="1"/>
                <w:color w:val="auto"/>
              </w:rPr>
            </w:pPr>
          </w:p>
        </w:tc>
      </w:tr>
      <w:tr>
        <w:trPr>
          <w:trHeight w:val="192"/>
        </w:trPr>
        <w:tc>
          <w:tcPr>
            <w:tcW w:w="5100" w:type="dxa"/>
            <w:vAlign w:val="bottom"/>
            <w:gridSpan w:val="3"/>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2740" w:type="dxa"/>
            <w:vAlign w:val="bottom"/>
          </w:tcPr>
          <w:p>
            <w:pPr>
              <w:ind w:left="180"/>
              <w:spacing w:after="0"/>
              <w:rPr>
                <w:sz w:val="20"/>
                <w:szCs w:val="20"/>
                <w:color w:val="auto"/>
              </w:rPr>
            </w:pPr>
            <w:r>
              <w:rPr>
                <w:rFonts w:ascii="Arial" w:cs="Arial" w:eastAsia="Arial" w:hAnsi="Arial"/>
                <w:sz w:val="14"/>
                <w:szCs w:val="14"/>
                <w:color w:val="auto"/>
              </w:rPr>
              <w:t>present)</w:t>
            </w:r>
          </w:p>
        </w:tc>
        <w:tc>
          <w:tcPr>
            <w:tcW w:w="0" w:type="dxa"/>
            <w:vAlign w:val="bottom"/>
          </w:tcPr>
          <w:p>
            <w:pPr>
              <w:spacing w:after="0"/>
              <w:rPr>
                <w:sz w:val="1"/>
                <w:szCs w:val="1"/>
                <w:color w:val="auto"/>
              </w:rPr>
            </w:pPr>
          </w:p>
        </w:tc>
      </w:tr>
      <w:tr>
        <w:trPr>
          <w:trHeight w:val="202"/>
        </w:trPr>
        <w:tc>
          <w:tcPr>
            <w:tcW w:w="2000" w:type="dxa"/>
            <w:vAlign w:val="bottom"/>
            <w:tcBorders>
              <w:bottom w:val="single" w:sz="8" w:color="auto"/>
            </w:tcBorders>
          </w:tcPr>
          <w:p>
            <w:pPr>
              <w:spacing w:after="0" w:line="201" w:lineRule="exact"/>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RIOR</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31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60" w:hanging="161"/>
        <w:spacing w:after="0" w:line="303" w:lineRule="auto"/>
        <w:rPr>
          <w:sz w:val="20"/>
          <w:szCs w:val="20"/>
          <w:color w:val="auto"/>
        </w:rPr>
      </w:pPr>
      <w:r>
        <w:rPr>
          <w:rFonts w:ascii="Arial" w:cs="Arial" w:eastAsia="Arial" w:hAnsi="Arial"/>
          <w:sz w:val="14"/>
          <w:szCs w:val="14"/>
          <w:color w:val="auto"/>
        </w:rPr>
        <w:t>– The ONE Group Hospitality, Inc. (Apr. 2024-present)</w:t>
      </w:r>
    </w:p>
    <w:p>
      <w:pPr>
        <w:spacing w:after="0" w:line="247" w:lineRule="exact"/>
        <w:rPr>
          <w:sz w:val="20"/>
          <w:szCs w:val="20"/>
          <w:color w:val="auto"/>
        </w:rPr>
      </w:pPr>
    </w:p>
    <w:p>
      <w:pPr>
        <w:sectPr>
          <w:pgSz w:w="11900" w:h="16838" w:orient="portrait"/>
          <w:cols w:equalWidth="0" w:num="2">
            <w:col w:w="7900" w:space="500"/>
            <w:col w:w="2840"/>
          </w:cols>
          <w:pgMar w:left="320" w:top="1142"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44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CEC Entertainment, Inc.</w:t>
            </w:r>
          </w:p>
        </w:tc>
        <w:tc>
          <w:tcPr>
            <w:tcW w:w="2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Great Wolf Resorts, Inc.</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 Principal Maritime Tankers Corp.</w:t>
            </w:r>
          </w:p>
        </w:tc>
        <w:tc>
          <w:tcPr>
            <w:tcW w:w="3020" w:type="dxa"/>
            <w:vAlign w:val="bottom"/>
            <w:gridSpan w:val="2"/>
          </w:tcPr>
          <w:p>
            <w:pPr>
              <w:ind w:left="20"/>
              <w:spacing w:after="0"/>
              <w:rPr>
                <w:sz w:val="20"/>
                <w:szCs w:val="20"/>
                <w:color w:val="auto"/>
              </w:rPr>
            </w:pPr>
            <w:r>
              <w:rPr>
                <w:rFonts w:ascii="Arial" w:cs="Arial" w:eastAsia="Arial" w:hAnsi="Arial"/>
                <w:sz w:val="14"/>
                <w:szCs w:val="14"/>
                <w:color w:val="auto"/>
              </w:rPr>
              <w:t>– Principal Chemical Carriers, LLC</w:t>
            </w:r>
          </w:p>
        </w:tc>
      </w:tr>
      <w:tr>
        <w:trPr>
          <w:trHeight w:val="211"/>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(n/k/a CEC Entertainment, LLC)</w:t>
            </w:r>
          </w:p>
        </w:tc>
        <w:tc>
          <w:tcPr>
            <w:tcW w:w="2560" w:type="dxa"/>
            <w:vAlign w:val="bottom"/>
            <w:tcBorders>
              <w:right w:val="single" w:sz="8" w:color="auto"/>
            </w:tcBorders>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0" w:type="dxa"/>
            <w:vAlign w:val="bottom"/>
          </w:tcPr>
          <w:p>
            <w:pPr>
              <w:spacing w:after="0"/>
              <w:rPr>
                <w:sz w:val="17"/>
                <w:szCs w:val="17"/>
                <w:color w:val="auto"/>
              </w:rPr>
            </w:pPr>
          </w:p>
        </w:tc>
        <w:tc>
          <w:tcPr>
            <w:tcW w:w="2560" w:type="dxa"/>
            <w:vAlign w:val="bottom"/>
            <w:gridSpan w:val="3"/>
          </w:tcPr>
          <w:p>
            <w:pPr>
              <w:spacing w:after="0" w:line="201" w:lineRule="exact"/>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w:t>
            </w:r>
          </w:p>
        </w:tc>
        <w:tc>
          <w:tcPr>
            <w:tcW w:w="256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60" w:type="dxa"/>
            <w:vAlign w:val="bottom"/>
            <w:gridSpan w:val="4"/>
          </w:tcPr>
          <w:p>
            <w:pPr>
              <w:ind w:left="40"/>
              <w:spacing w:after="0"/>
              <w:rPr>
                <w:sz w:val="20"/>
                <w:szCs w:val="20"/>
                <w:color w:val="auto"/>
              </w:rPr>
            </w:pPr>
            <w:r>
              <w:rPr>
                <w:rFonts w:ascii="Arial" w:cs="Arial" w:eastAsia="Arial" w:hAnsi="Arial"/>
                <w:sz w:val="14"/>
                <w:szCs w:val="14"/>
                <w:color w:val="auto"/>
              </w:rPr>
              <w:t>B.A. Political Science and Certificate in Markets and Management, Duke University</w:t>
            </w:r>
          </w:p>
        </w:tc>
        <w:tc>
          <w:tcPr>
            <w:tcW w:w="30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
        </w:trPr>
        <w:tc>
          <w:tcPr>
            <w:tcW w:w="40" w:type="dxa"/>
            <w:vAlign w:val="bottom"/>
            <w:tcBorders>
              <w:bottom w:val="single" w:sz="8" w:color="00497F"/>
            </w:tcBorders>
          </w:tcPr>
          <w:p>
            <w:pPr>
              <w:spacing w:after="0" w:line="20" w:lineRule="exact"/>
              <w:rPr>
                <w:sz w:val="1"/>
                <w:szCs w:val="1"/>
                <w:color w:val="auto"/>
              </w:rPr>
            </w:pPr>
          </w:p>
        </w:tc>
        <w:tc>
          <w:tcPr>
            <w:tcW w:w="900" w:type="dxa"/>
            <w:vAlign w:val="bottom"/>
            <w:tcBorders>
              <w:bottom w:val="single" w:sz="8" w:color="00497F"/>
            </w:tcBorders>
            <w:gridSpan w:val="2"/>
          </w:tcPr>
          <w:p>
            <w:pPr>
              <w:spacing w:after="0" w:line="20" w:lineRule="exact"/>
              <w:rPr>
                <w:sz w:val="1"/>
                <w:szCs w:val="1"/>
                <w:color w:val="auto"/>
              </w:rPr>
            </w:pPr>
          </w:p>
        </w:tc>
        <w:tc>
          <w:tcPr>
            <w:tcW w:w="1660" w:type="dxa"/>
            <w:vAlign w:val="bottom"/>
            <w:tcBorders>
              <w:bottom w:val="single" w:sz="8" w:color="00497F"/>
            </w:tcBorders>
          </w:tcPr>
          <w:p>
            <w:pPr>
              <w:spacing w:after="0" w:line="20" w:lineRule="exact"/>
              <w:rPr>
                <w:sz w:val="1"/>
                <w:szCs w:val="1"/>
                <w:color w:val="auto"/>
              </w:rPr>
            </w:pPr>
          </w:p>
        </w:tc>
        <w:tc>
          <w:tcPr>
            <w:tcW w:w="2560" w:type="dxa"/>
            <w:vAlign w:val="bottom"/>
            <w:tcBorders>
              <w:bottom w:val="single" w:sz="8" w:color="00497F"/>
            </w:tcBorders>
          </w:tcPr>
          <w:p>
            <w:pPr>
              <w:spacing w:after="0" w:line="20" w:lineRule="exact"/>
              <w:rPr>
                <w:sz w:val="1"/>
                <w:szCs w:val="1"/>
                <w:color w:val="auto"/>
              </w:rPr>
            </w:pPr>
          </w:p>
        </w:tc>
        <w:tc>
          <w:tcPr>
            <w:tcW w:w="3060" w:type="dxa"/>
            <w:vAlign w:val="bottom"/>
            <w:tcBorders>
              <w:bottom w:val="single" w:sz="8" w:color="00497F"/>
            </w:tcBorders>
          </w:tcPr>
          <w:p>
            <w:pPr>
              <w:spacing w:after="0" w:line="20" w:lineRule="exact"/>
              <w:rPr>
                <w:sz w:val="1"/>
                <w:szCs w:val="1"/>
                <w:color w:val="auto"/>
              </w:rPr>
            </w:pPr>
          </w:p>
        </w:tc>
        <w:tc>
          <w:tcPr>
            <w:tcW w:w="3000" w:type="dxa"/>
            <w:vAlign w:val="bottom"/>
            <w:tcBorders>
              <w:bottom w:val="single" w:sz="8" w:color="00497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7"/>
        </w:trPr>
        <w:tc>
          <w:tcPr>
            <w:tcW w:w="5160" w:type="dxa"/>
            <w:vAlign w:val="bottom"/>
            <w:tcBorders>
              <w:bottom w:val="single" w:sz="8" w:color="003B71"/>
            </w:tcBorders>
            <w:gridSpan w:val="5"/>
          </w:tcPr>
          <w:p>
            <w:pPr>
              <w:spacing w:after="0"/>
              <w:rPr>
                <w:sz w:val="24"/>
                <w:szCs w:val="24"/>
                <w:color w:val="auto"/>
              </w:rPr>
            </w:pPr>
          </w:p>
        </w:tc>
        <w:tc>
          <w:tcPr>
            <w:tcW w:w="3060" w:type="dxa"/>
            <w:vAlign w:val="bottom"/>
            <w:tcBorders>
              <w:bottom w:val="single" w:sz="8" w:color="003B71"/>
            </w:tcBorders>
          </w:tcPr>
          <w:p>
            <w:pPr>
              <w:spacing w:after="0"/>
              <w:rPr>
                <w:sz w:val="24"/>
                <w:szCs w:val="24"/>
                <w:color w:val="auto"/>
              </w:rPr>
            </w:pPr>
          </w:p>
        </w:tc>
        <w:tc>
          <w:tcPr>
            <w:tcW w:w="3000" w:type="dxa"/>
            <w:vAlign w:val="bottom"/>
            <w:tcBorders>
              <w:bottom w:val="single" w:sz="8" w:color="003B71"/>
            </w:tcBorders>
          </w:tcPr>
          <w:p>
            <w:pPr>
              <w:spacing w:after="0"/>
              <w:rPr>
                <w:sz w:val="24"/>
                <w:szCs w:val="24"/>
                <w:color w:val="auto"/>
              </w:rPr>
            </w:pPr>
          </w:p>
        </w:tc>
        <w:tc>
          <w:tcPr>
            <w:tcW w:w="20" w:type="dxa"/>
            <w:vAlign w:val="bottom"/>
            <w:tcBorders>
              <w:bottom w:val="single" w:sz="8" w:color="003B71"/>
            </w:tcBorders>
          </w:tcPr>
          <w:p>
            <w:pPr>
              <w:spacing w:after="0"/>
              <w:rPr>
                <w:sz w:val="24"/>
                <w:szCs w:val="24"/>
                <w:color w:val="auto"/>
              </w:rPr>
            </w:pPr>
          </w:p>
        </w:tc>
      </w:tr>
      <w:tr>
        <w:trPr>
          <w:trHeight w:val="248"/>
        </w:trPr>
        <w:tc>
          <w:tcPr>
            <w:tcW w:w="5160" w:type="dxa"/>
            <w:vAlign w:val="bottom"/>
            <w:gridSpan w:val="5"/>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3060" w:type="dxa"/>
            <w:vAlign w:val="bottom"/>
          </w:tcPr>
          <w:p>
            <w:pPr>
              <w:spacing w:after="0"/>
              <w:rPr>
                <w:sz w:val="21"/>
                <w:szCs w:val="21"/>
                <w:color w:val="auto"/>
              </w:rPr>
            </w:pPr>
          </w:p>
        </w:tc>
        <w:tc>
          <w:tcPr>
            <w:tcW w:w="3000" w:type="dxa"/>
            <w:vAlign w:val="bottom"/>
          </w:tcPr>
          <w:p>
            <w:pPr>
              <w:jc w:val="right"/>
              <w:spacing w:after="0"/>
              <w:rPr>
                <w:sz w:val="20"/>
                <w:szCs w:val="20"/>
                <w:color w:val="auto"/>
              </w:rPr>
            </w:pPr>
            <w:r>
              <w:rPr>
                <w:rFonts w:ascii="Arial" w:cs="Arial" w:eastAsia="Arial" w:hAnsi="Arial"/>
                <w:sz w:val="18"/>
                <w:szCs w:val="18"/>
                <w:b w:val="1"/>
                <w:bCs w:val="1"/>
                <w:color w:val="4C4C4C"/>
              </w:rPr>
              <w:t>5</w:t>
            </w:r>
          </w:p>
        </w:tc>
        <w:tc>
          <w:tcPr>
            <w:tcW w:w="20" w:type="dxa"/>
            <w:vAlign w:val="bottom"/>
          </w:tcPr>
          <w:p>
            <w:pPr>
              <w:spacing w:after="0"/>
              <w:rPr>
                <w:sz w:val="21"/>
                <w:szCs w:val="21"/>
                <w:color w:val="auto"/>
              </w:rPr>
            </w:pPr>
          </w:p>
        </w:tc>
      </w:tr>
      <w:tr>
        <w:trPr>
          <w:trHeight w:val="210"/>
        </w:trPr>
        <w:tc>
          <w:tcPr>
            <w:tcW w:w="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2560" w:type="dxa"/>
            <w:vAlign w:val="bottom"/>
            <w:tcBorders>
              <w:bottom w:val="single" w:sz="8" w:color="9A9A9A"/>
            </w:tcBorders>
          </w:tcPr>
          <w:p>
            <w:pPr>
              <w:spacing w:after="0"/>
              <w:rPr>
                <w:sz w:val="18"/>
                <w:szCs w:val="18"/>
                <w:color w:val="auto"/>
              </w:rPr>
            </w:pPr>
          </w:p>
        </w:tc>
        <w:tc>
          <w:tcPr>
            <w:tcW w:w="3060" w:type="dxa"/>
            <w:vAlign w:val="bottom"/>
            <w:tcBorders>
              <w:bottom w:val="single" w:sz="8" w:color="9A9A9A"/>
            </w:tcBorders>
          </w:tcPr>
          <w:p>
            <w:pPr>
              <w:spacing w:after="0"/>
              <w:rPr>
                <w:sz w:val="18"/>
                <w:szCs w:val="18"/>
                <w:color w:val="auto"/>
              </w:rPr>
            </w:pPr>
          </w:p>
        </w:tc>
        <w:tc>
          <w:tcPr>
            <w:tcW w:w="30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207645</wp:posOffset>
            </wp:positionH>
            <wp:positionV relativeFrom="page">
              <wp:posOffset>754380</wp:posOffset>
            </wp:positionV>
            <wp:extent cx="7124700" cy="33870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4700" cy="3387090"/>
                    </a:xfrm>
                    <a:prstGeom prst="rect">
                      <a:avLst/>
                    </a:prstGeom>
                    <a:noFill/>
                  </pic:spPr>
                </pic:pic>
              </a:graphicData>
            </a:graphic>
          </wp:anchor>
        </w:drawing>
        <w:t>Tarun Lal</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2025</w:t>
            </w:r>
          </w:p>
        </w:tc>
        <w:tc>
          <w:tcPr>
            <w:tcW w:w="504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57</w:t>
            </w:r>
          </w:p>
        </w:tc>
      </w:tr>
      <w:tr>
        <w:trPr>
          <w:trHeight w:val="238"/>
        </w:trPr>
        <w:tc>
          <w:tcPr>
            <w:tcW w:w="5600" w:type="dxa"/>
            <w:vAlign w:val="bottom"/>
            <w:tcBorders>
              <w:right w:val="single" w:sz="8" w:color="auto"/>
            </w:tcBorders>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N</w:t>
            </w:r>
            <w:r>
              <w:rPr>
                <w:rFonts w:ascii="Arial" w:cs="Arial" w:eastAsia="Arial" w:hAnsi="Arial"/>
                <w:sz w:val="14"/>
                <w:szCs w:val="14"/>
                <w:color w:val="auto"/>
              </w:rPr>
              <w:t>OT</w:t>
            </w:r>
            <w:r>
              <w:rPr>
                <w:rFonts w:ascii="Arial" w:cs="Arial" w:eastAsia="Arial" w:hAnsi="Arial"/>
                <w:sz w:val="18"/>
                <w:szCs w:val="18"/>
                <w:color w:val="auto"/>
              </w:rPr>
              <w:t xml:space="preserve"> I</w:t>
            </w:r>
            <w:r>
              <w:rPr>
                <w:rFonts w:ascii="Arial" w:cs="Arial" w:eastAsia="Arial" w:hAnsi="Arial"/>
                <w:sz w:val="14"/>
                <w:szCs w:val="14"/>
                <w:color w:val="auto"/>
              </w:rPr>
              <w:t>NDEPENDENT —</w:t>
            </w:r>
            <w:r>
              <w:rPr>
                <w:rFonts w:ascii="Arial" w:cs="Arial" w:eastAsia="Arial" w:hAnsi="Arial"/>
                <w:sz w:val="18"/>
                <w:szCs w:val="18"/>
                <w:color w:val="auto"/>
              </w:rPr>
              <w:t xml:space="preserve"> C</w:t>
            </w:r>
            <w:r>
              <w:rPr>
                <w:rFonts w:ascii="Arial" w:cs="Arial" w:eastAsia="Arial" w:hAnsi="Arial"/>
                <w:sz w:val="13"/>
                <w:szCs w:val="13"/>
                <w:color w:val="auto"/>
              </w:rPr>
              <w:t>HIEF</w:t>
            </w:r>
            <w:r>
              <w:rPr>
                <w:rFonts w:ascii="Arial" w:cs="Arial" w:eastAsia="Arial" w:hAnsi="Arial"/>
                <w:sz w:val="18"/>
                <w:szCs w:val="18"/>
                <w:color w:val="auto"/>
              </w:rPr>
              <w:t xml:space="preserve"> E</w:t>
            </w:r>
            <w:r>
              <w:rPr>
                <w:rFonts w:ascii="Arial" w:cs="Arial" w:eastAsia="Arial" w:hAnsi="Arial"/>
                <w:sz w:val="13"/>
                <w:szCs w:val="13"/>
                <w:color w:val="auto"/>
              </w:rPr>
              <w:t>XECUTIVE</w:t>
            </w:r>
            <w:r>
              <w:rPr>
                <w:rFonts w:ascii="Arial" w:cs="Arial" w:eastAsia="Arial" w:hAnsi="Arial"/>
                <w:sz w:val="18"/>
                <w:szCs w:val="18"/>
                <w:color w:val="auto"/>
              </w:rPr>
              <w:t xml:space="preserve"> O</w:t>
            </w:r>
            <w:r>
              <w:rPr>
                <w:rFonts w:ascii="Arial" w:cs="Arial" w:eastAsia="Arial" w:hAnsi="Arial"/>
                <w:sz w:val="13"/>
                <w:szCs w:val="13"/>
                <w:color w:val="auto"/>
              </w:rPr>
              <w:t>FFICER</w:t>
            </w:r>
          </w:p>
        </w:tc>
      </w:tr>
      <w:tr>
        <w:trPr>
          <w:trHeight w:val="23"/>
        </w:trPr>
        <w:tc>
          <w:tcPr>
            <w:tcW w:w="5600" w:type="dxa"/>
            <w:vAlign w:val="bottom"/>
            <w:tcBorders>
              <w:right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r>
        <w:rPr>
          <w:rFonts w:ascii="Arial" w:cs="Arial" w:eastAsia="Arial" w:hAnsi="Arial"/>
          <w:sz w:val="18"/>
          <w:szCs w:val="18"/>
          <w:u w:val="single" w:color="auto"/>
          <w:color w:val="auto"/>
        </w:rPr>
        <w:t>:</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Chief Executive Officer of Dave &amp; Buster’s Entertainment, Inc., July 2025-present</w:t>
      </w:r>
    </w:p>
    <w:p>
      <w:pPr>
        <w:spacing w:after="0" w:line="28"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Leadership, Strategy, Board Governance, Operations, Finance, International, Franchise, Entertainment, Food &amp; Beverage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Yum! Brands:</w:t>
      </w:r>
    </w:p>
    <w:p>
      <w:pPr>
        <w:spacing w:after="0" w:line="27" w:lineRule="exact"/>
        <w:rPr>
          <w:sz w:val="20"/>
          <w:szCs w:val="20"/>
          <w:color w:val="auto"/>
        </w:rPr>
      </w:pPr>
    </w:p>
    <w:p>
      <w:pPr>
        <w:ind w:left="360" w:hanging="160"/>
        <w:spacing w:after="0"/>
        <w:tabs>
          <w:tab w:leader="none" w:pos="360" w:val="left"/>
        </w:tabs>
        <w:numPr>
          <w:ilvl w:val="1"/>
          <w:numId w:val="17"/>
        </w:numPr>
        <w:rPr>
          <w:rFonts w:ascii="Arial" w:cs="Arial" w:eastAsia="Arial" w:hAnsi="Arial"/>
          <w:sz w:val="14"/>
          <w:szCs w:val="14"/>
          <w:color w:val="003B71"/>
        </w:rPr>
      </w:pPr>
      <w:r>
        <w:rPr>
          <w:rFonts w:ascii="Arial" w:cs="Arial" w:eastAsia="Arial" w:hAnsi="Arial"/>
          <w:sz w:val="14"/>
          <w:szCs w:val="14"/>
          <w:color w:val="auto"/>
        </w:rPr>
        <w:t>President - KFC U.S. (July 2022-April 2025)</w:t>
      </w:r>
    </w:p>
    <w:p>
      <w:pPr>
        <w:spacing w:after="0" w:line="13" w:lineRule="exact"/>
        <w:rPr>
          <w:rFonts w:ascii="Arial" w:cs="Arial" w:eastAsia="Arial" w:hAnsi="Arial"/>
          <w:sz w:val="14"/>
          <w:szCs w:val="14"/>
          <w:color w:val="003B71"/>
        </w:rPr>
      </w:pPr>
    </w:p>
    <w:p>
      <w:pPr>
        <w:ind w:left="360" w:hanging="160"/>
        <w:spacing w:after="0"/>
        <w:tabs>
          <w:tab w:leader="none" w:pos="3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Managing Director, KFC Middle East, Turkey, Africa, India and Pakistan and CIS (Oct. 2021-Jan. 2023)</w:t>
      </w:r>
    </w:p>
    <w:p>
      <w:pPr>
        <w:ind w:left="360" w:hanging="160"/>
        <w:spacing w:after="0"/>
        <w:tabs>
          <w:tab w:leader="none" w:pos="3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Managing Director, KFC Middle East, Turkey, Africa and Pakistan (Jan. 2020-Jun. 2022)</w:t>
      </w:r>
    </w:p>
    <w:p>
      <w:pPr>
        <w:spacing w:after="0" w:line="13" w:lineRule="exact"/>
        <w:rPr>
          <w:rFonts w:ascii="Arial" w:cs="Arial" w:eastAsia="Arial" w:hAnsi="Arial"/>
          <w:sz w:val="14"/>
          <w:szCs w:val="14"/>
          <w:color w:val="auto"/>
        </w:rPr>
      </w:pPr>
    </w:p>
    <w:p>
      <w:pPr>
        <w:ind w:left="360" w:hanging="160"/>
        <w:spacing w:after="0"/>
        <w:tabs>
          <w:tab w:leader="none" w:pos="3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General Manager, KFC Africa (Jul. 2018-Dec. 2019)</w:t>
      </w:r>
    </w:p>
    <w:p>
      <w:pPr>
        <w:spacing w:after="0" w:line="13" w:lineRule="exact"/>
        <w:rPr>
          <w:rFonts w:ascii="Arial" w:cs="Arial" w:eastAsia="Arial" w:hAnsi="Arial"/>
          <w:sz w:val="14"/>
          <w:szCs w:val="14"/>
          <w:color w:val="auto"/>
        </w:rPr>
      </w:pPr>
    </w:p>
    <w:p>
      <w:pPr>
        <w:ind w:left="360" w:hanging="160"/>
        <w:spacing w:after="0"/>
        <w:tabs>
          <w:tab w:leader="none" w:pos="360" w:val="left"/>
        </w:tabs>
        <w:numPr>
          <w:ilvl w:val="1"/>
          <w:numId w:val="17"/>
        </w:numPr>
        <w:rPr>
          <w:rFonts w:ascii="Arial" w:cs="Arial" w:eastAsia="Arial" w:hAnsi="Arial"/>
          <w:sz w:val="14"/>
          <w:szCs w:val="14"/>
          <w:color w:val="003B71"/>
        </w:rPr>
      </w:pPr>
      <w:r>
        <w:rPr>
          <w:rFonts w:ascii="Arial" w:cs="Arial" w:eastAsia="Arial" w:hAnsi="Arial"/>
          <w:sz w:val="14"/>
          <w:szCs w:val="14"/>
          <w:color w:val="auto"/>
        </w:rPr>
        <w:t>Global Chief Operating Officer (Jan. 2014-Jul. 2018)</w:t>
      </w:r>
    </w:p>
    <w:p>
      <w:pPr>
        <w:spacing w:after="0" w:line="13" w:lineRule="exact"/>
        <w:rPr>
          <w:rFonts w:ascii="Arial" w:cs="Arial" w:eastAsia="Arial" w:hAnsi="Arial"/>
          <w:sz w:val="14"/>
          <w:szCs w:val="14"/>
          <w:color w:val="003B71"/>
        </w:rPr>
      </w:pPr>
    </w:p>
    <w:p>
      <w:pPr>
        <w:ind w:left="1960" w:hanging="153"/>
        <w:spacing w:after="0"/>
        <w:tabs>
          <w:tab w:leader="none" w:pos="1960" w:val="left"/>
        </w:tabs>
        <w:numPr>
          <w:ilvl w:val="2"/>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Leadership, Finance, Operations, Strategy, Board Governance, International, Distribution, Food &amp; Beverage</w:t>
      </w:r>
    </w:p>
    <w:p>
      <w:pPr>
        <w:spacing w:after="0" w:line="13" w:lineRule="exact"/>
        <w:rPr>
          <w:rFonts w:ascii="Arial" w:cs="Arial" w:eastAsia="Arial" w:hAnsi="Arial"/>
          <w:sz w:val="14"/>
          <w:szCs w:val="14"/>
          <w:b w:val="1"/>
          <w:bCs w:val="1"/>
          <w:color w:val="auto"/>
        </w:rPr>
      </w:pPr>
    </w:p>
    <w:p>
      <w:pPr>
        <w:ind w:left="40"/>
        <w:spacing w:after="0"/>
        <w:rPr>
          <w:rFonts w:ascii="Arial" w:cs="Arial" w:eastAsia="Arial" w:hAnsi="Arial"/>
          <w:sz w:val="14"/>
          <w:szCs w:val="14"/>
          <w:b w:val="1"/>
          <w:bCs w:val="1"/>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 Yum! Restaurants International</w:t>
      </w:r>
      <w:r>
        <w:rPr>
          <w:rFonts w:ascii="Arial" w:cs="Arial" w:eastAsia="Arial" w:hAnsi="Arial"/>
          <w:sz w:val="14"/>
          <w:szCs w:val="14"/>
          <w:color w:val="auto"/>
        </w:rPr>
        <w:t>:</w:t>
      </w:r>
    </w:p>
    <w:p>
      <w:pPr>
        <w:ind w:left="440" w:hanging="240"/>
        <w:spacing w:after="0"/>
        <w:tabs>
          <w:tab w:leader="none" w:pos="440" w:val="left"/>
        </w:tabs>
        <w:numPr>
          <w:ilvl w:val="1"/>
          <w:numId w:val="17"/>
        </w:numPr>
        <w:rPr>
          <w:rFonts w:ascii="Arial" w:cs="Arial" w:eastAsia="Arial" w:hAnsi="Arial"/>
          <w:sz w:val="14"/>
          <w:szCs w:val="14"/>
          <w:color w:val="003B71"/>
        </w:rPr>
      </w:pPr>
      <w:r>
        <w:rPr>
          <w:rFonts w:ascii="Arial" w:cs="Arial" w:eastAsia="Arial" w:hAnsi="Arial"/>
          <w:sz w:val="14"/>
          <w:szCs w:val="14"/>
          <w:color w:val="auto"/>
        </w:rPr>
        <w:t>Various management positions including Chief Operating Officer, General Manager (Sri Lanka &amp; Bangladesh) and General Manager, KFC, India (Mar. 2006-Dec. 2013)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Leadership, Strategy, Financial, Food &amp; Beverage, Operations, Global</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5460" w:type="dxa"/>
            <w:vAlign w:val="bottom"/>
            <w:gridSpan w:val="3"/>
            <w:vMerge w:val="restart"/>
          </w:tcPr>
          <w:p>
            <w:pPr>
              <w:ind w:left="40"/>
              <w:spacing w:after="0"/>
              <w:rPr>
                <w:sz w:val="20"/>
                <w:szCs w:val="20"/>
                <w:color w:val="auto"/>
              </w:rPr>
            </w:pPr>
            <w:r>
              <w:rPr>
                <w:rFonts w:ascii="Arial" w:cs="Arial" w:eastAsia="Arial" w:hAnsi="Arial"/>
                <w:sz w:val="14"/>
                <w:szCs w:val="14"/>
                <w:color w:val="auto"/>
              </w:rPr>
              <w:t> Dave &amp; Buster’s Entertainment, Inc. (July 2025-present)</w:t>
            </w:r>
          </w:p>
        </w:tc>
        <w:tc>
          <w:tcPr>
            <w:tcW w:w="20" w:type="dxa"/>
            <w:vAlign w:val="bottom"/>
          </w:tcPr>
          <w:p>
            <w:pPr>
              <w:spacing w:after="0"/>
              <w:rPr>
                <w:sz w:val="4"/>
                <w:szCs w:val="4"/>
                <w:color w:val="auto"/>
              </w:rPr>
            </w:pPr>
          </w:p>
        </w:tc>
        <w:tc>
          <w:tcPr>
            <w:tcW w:w="5580" w:type="dxa"/>
            <w:vAlign w:val="bottom"/>
            <w:vMerge w:val="restart"/>
          </w:tcPr>
          <w:p>
            <w:pPr>
              <w:spacing w:after="0"/>
              <w:rPr>
                <w:sz w:val="20"/>
                <w:szCs w:val="20"/>
                <w:color w:val="auto"/>
              </w:rPr>
            </w:pPr>
            <w:r>
              <w:rPr>
                <w:rFonts w:ascii="Arial" w:cs="Arial" w:eastAsia="Arial" w:hAnsi="Arial"/>
                <w:sz w:val="14"/>
                <w:szCs w:val="14"/>
                <w:color w:val="auto"/>
              </w:rPr>
              <w:t>– IWG plc (May 2022-present)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46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DUCATION:</w:t>
            </w:r>
          </w:p>
        </w:tc>
        <w:tc>
          <w:tcPr>
            <w:tcW w:w="4680" w:type="dxa"/>
            <w:vAlign w:val="bottom"/>
            <w:gridSpan w:val="2"/>
            <w:vMerge w:val="restart"/>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5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5"/>
        </w:trPr>
        <w:tc>
          <w:tcPr>
            <w:tcW w:w="40" w:type="dxa"/>
            <w:vAlign w:val="bottom"/>
          </w:tcPr>
          <w:p>
            <w:pPr>
              <w:spacing w:after="0"/>
              <w:rPr>
                <w:sz w:val="24"/>
                <w:szCs w:val="24"/>
                <w:color w:val="auto"/>
              </w:rPr>
            </w:pPr>
          </w:p>
        </w:tc>
        <w:tc>
          <w:tcPr>
            <w:tcW w:w="900" w:type="dxa"/>
            <w:vAlign w:val="bottom"/>
            <w:tcBorders>
              <w:bottom w:val="single" w:sz="8" w:color="auto"/>
            </w:tcBorders>
            <w:gridSpan w:val="2"/>
            <w:vMerge w:val="continue"/>
          </w:tcPr>
          <w:p>
            <w:pPr>
              <w:spacing w:after="0"/>
              <w:rPr>
                <w:sz w:val="24"/>
                <w:szCs w:val="24"/>
                <w:color w:val="auto"/>
              </w:rPr>
            </w:pPr>
          </w:p>
        </w:tc>
        <w:tc>
          <w:tcPr>
            <w:tcW w:w="4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5460" w:type="dxa"/>
            <w:vAlign w:val="bottom"/>
            <w:gridSpan w:val="3"/>
            <w:vMerge w:val="restart"/>
          </w:tcPr>
          <w:p>
            <w:pPr>
              <w:ind w:left="40"/>
              <w:spacing w:after="0"/>
              <w:rPr>
                <w:sz w:val="20"/>
                <w:szCs w:val="20"/>
                <w:color w:val="auto"/>
              </w:rPr>
            </w:pPr>
            <w:r>
              <w:rPr>
                <w:rFonts w:ascii="Arial" w:cs="Arial" w:eastAsia="Arial" w:hAnsi="Arial"/>
                <w:sz w:val="14"/>
                <w:szCs w:val="14"/>
                <w:color w:val="auto"/>
              </w:rPr>
              <w:t>BCOM (Hons), Commerce, Accountancy - Shri Ram College of Commerce</w:t>
            </w:r>
          </w:p>
        </w:tc>
        <w:tc>
          <w:tcPr>
            <w:tcW w:w="20" w:type="dxa"/>
            <w:vAlign w:val="bottom"/>
          </w:tcPr>
          <w:p>
            <w:pPr>
              <w:spacing w:after="0"/>
              <w:rPr>
                <w:sz w:val="4"/>
                <w:szCs w:val="4"/>
                <w:color w:val="auto"/>
              </w:rPr>
            </w:pPr>
          </w:p>
        </w:tc>
        <w:tc>
          <w:tcPr>
            <w:tcW w:w="5580" w:type="dxa"/>
            <w:vAlign w:val="bottom"/>
            <w:vMerge w:val="restart"/>
          </w:tcPr>
          <w:p>
            <w:pPr>
              <w:ind w:left="160"/>
              <w:spacing w:after="0"/>
              <w:rPr>
                <w:sz w:val="20"/>
                <w:szCs w:val="20"/>
                <w:color w:val="auto"/>
              </w:rPr>
            </w:pPr>
            <w:r>
              <w:rPr>
                <w:rFonts w:ascii="Arial" w:cs="Arial" w:eastAsia="Arial" w:hAnsi="Arial"/>
                <w:sz w:val="14"/>
                <w:szCs w:val="14"/>
                <w:color w:val="auto"/>
              </w:rPr>
              <w:t>EDP, General Management, The Wharton School</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46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00497F"/>
            </w:tcBorders>
          </w:tcPr>
          <w:p>
            <w:pPr>
              <w:spacing w:after="0" w:line="20" w:lineRule="exact"/>
              <w:rPr>
                <w:sz w:val="1"/>
                <w:szCs w:val="1"/>
                <w:color w:val="auto"/>
              </w:rPr>
            </w:pPr>
          </w:p>
        </w:tc>
        <w:tc>
          <w:tcPr>
            <w:tcW w:w="120" w:type="dxa"/>
            <w:vAlign w:val="bottom"/>
            <w:tcBorders>
              <w:bottom w:val="single" w:sz="8" w:color="00497F"/>
            </w:tcBorders>
          </w:tcPr>
          <w:p>
            <w:pPr>
              <w:spacing w:after="0" w:line="20" w:lineRule="exact"/>
              <w:rPr>
                <w:sz w:val="1"/>
                <w:szCs w:val="1"/>
                <w:color w:val="auto"/>
              </w:rPr>
            </w:pPr>
          </w:p>
        </w:tc>
        <w:tc>
          <w:tcPr>
            <w:tcW w:w="780" w:type="dxa"/>
            <w:vAlign w:val="bottom"/>
            <w:tcBorders>
              <w:bottom w:val="single" w:sz="8" w:color="00497F"/>
            </w:tcBorders>
          </w:tcPr>
          <w:p>
            <w:pPr>
              <w:spacing w:after="0" w:line="20" w:lineRule="exact"/>
              <w:rPr>
                <w:sz w:val="1"/>
                <w:szCs w:val="1"/>
                <w:color w:val="auto"/>
              </w:rPr>
            </w:pPr>
          </w:p>
        </w:tc>
        <w:tc>
          <w:tcPr>
            <w:tcW w:w="1160" w:type="dxa"/>
            <w:vAlign w:val="bottom"/>
            <w:tcBorders>
              <w:bottom w:val="single" w:sz="8" w:color="00497F"/>
            </w:tcBorders>
          </w:tcPr>
          <w:p>
            <w:pPr>
              <w:spacing w:after="0" w:line="20" w:lineRule="exact"/>
              <w:rPr>
                <w:sz w:val="1"/>
                <w:szCs w:val="1"/>
                <w:color w:val="auto"/>
              </w:rPr>
            </w:pPr>
          </w:p>
        </w:tc>
        <w:tc>
          <w:tcPr>
            <w:tcW w:w="3520" w:type="dxa"/>
            <w:vAlign w:val="bottom"/>
            <w:tcBorders>
              <w:bottom w:val="single" w:sz="8" w:color="00497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580" w:type="dxa"/>
            <w:vAlign w:val="bottom"/>
            <w:tcBorders>
              <w:bottom w:val="single" w:sz="8" w:color="00497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622935</wp:posOffset>
            </wp:positionV>
            <wp:extent cx="71329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4C4C4C"/>
              </w:rPr>
              <w:t>6</w:t>
            </w:r>
          </w:p>
        </w:tc>
      </w:tr>
      <w:tr>
        <w:trPr>
          <w:trHeight w:val="223"/>
        </w:trPr>
        <w:tc>
          <w:tcPr>
            <w:tcW w:w="710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2" w:name="page13"/>
    <w:bookmarkEnd w:id="12"/>
    <w:p>
      <w:pPr>
        <w:ind w:left="4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207645</wp:posOffset>
            </wp:positionH>
            <wp:positionV relativeFrom="page">
              <wp:posOffset>754380</wp:posOffset>
            </wp:positionV>
            <wp:extent cx="7141210" cy="55714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5571490"/>
                    </a:xfrm>
                    <a:prstGeom prst="rect">
                      <a:avLst/>
                    </a:prstGeom>
                    <a:noFill/>
                  </pic:spPr>
                </pic:pic>
              </a:graphicData>
            </a:graphic>
          </wp:anchor>
        </w:drawing>
        <w:t>Nathaniel J. Lipman</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7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2025</w:t>
            </w:r>
          </w:p>
        </w:tc>
        <w:tc>
          <w:tcPr>
            <w:tcW w:w="2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61</w:t>
            </w:r>
          </w:p>
        </w:tc>
      </w:tr>
      <w:tr>
        <w:trPr>
          <w:trHeight w:val="238"/>
        </w:trPr>
        <w:tc>
          <w:tcPr>
            <w:tcW w:w="7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 Audit, Compensation</w:t>
            </w:r>
          </w:p>
        </w:tc>
        <w:tc>
          <w:tcPr>
            <w:tcW w:w="2520" w:type="dxa"/>
            <w:vAlign w:val="bottom"/>
          </w:tcPr>
          <w:p>
            <w:pP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IRECTOR</w:t>
            </w:r>
            <w:r>
              <w:rPr>
                <w:rFonts w:ascii="Arial" w:cs="Arial" w:eastAsia="Arial" w:hAnsi="Arial"/>
                <w:sz w:val="18"/>
                <w:szCs w:val="18"/>
                <w:color w:val="auto"/>
                <w:w w:val="99"/>
              </w:rPr>
              <w:t xml:space="preserve"> S</w:t>
            </w:r>
            <w:r>
              <w:rPr>
                <w:rFonts w:ascii="Arial" w:cs="Arial" w:eastAsia="Arial" w:hAnsi="Arial"/>
                <w:sz w:val="14"/>
                <w:szCs w:val="14"/>
                <w:color w:val="auto"/>
                <w:w w:val="99"/>
              </w:rPr>
              <w:t>TATUS</w:t>
            </w:r>
            <w:r>
              <w:rPr>
                <w:rFonts w:ascii="Arial" w:cs="Arial" w:eastAsia="Arial" w:hAnsi="Arial"/>
                <w:sz w:val="18"/>
                <w:szCs w:val="18"/>
                <w:color w:val="auto"/>
                <w:w w:val="99"/>
              </w:rPr>
              <w:t>: I</w:t>
            </w:r>
            <w:r>
              <w:rPr>
                <w:rFonts w:ascii="Arial" w:cs="Arial" w:eastAsia="Arial" w:hAnsi="Arial"/>
                <w:sz w:val="14"/>
                <w:szCs w:val="14"/>
                <w:color w:val="auto"/>
                <w:w w:val="99"/>
              </w:rPr>
              <w:t>NDEPENDENT</w:t>
            </w:r>
          </w:p>
        </w:tc>
      </w:tr>
      <w:tr>
        <w:trPr>
          <w:trHeight w:val="23"/>
        </w:trPr>
        <w:tc>
          <w:tcPr>
            <w:tcW w:w="7480" w:type="dxa"/>
            <w:vAlign w:val="bottom"/>
            <w:tcBorders>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Wolcott Holdings, LLC</w:t>
      </w:r>
      <w:r>
        <w:rPr>
          <w:rFonts w:ascii="Arial" w:cs="Arial" w:eastAsia="Arial" w:hAnsi="Arial"/>
          <w:sz w:val="14"/>
          <w:szCs w:val="14"/>
          <w:color w:val="auto"/>
        </w:rPr>
        <w:t>, a family investment office (Feb. 2022-present)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xml:space="preserve">–   Tenerity, Inc. </w:t>
      </w:r>
      <w:r>
        <w:rPr>
          <w:rFonts w:ascii="Arial" w:cs="Arial" w:eastAsia="Arial" w:hAnsi="Arial"/>
          <w:sz w:val="14"/>
          <w:szCs w:val="14"/>
          <w:color w:val="auto"/>
        </w:rPr>
        <w:t>(f/k/a Affinion Group Holdings, Inc. and CX Loyalty, Inc.), a global provider of customer loyalty platforms and solutions</w:t>
      </w:r>
    </w:p>
    <w:p>
      <w:pPr>
        <w:spacing w:after="0" w:line="13" w:lineRule="exact"/>
        <w:rPr>
          <w:sz w:val="20"/>
          <w:szCs w:val="20"/>
          <w:color w:val="auto"/>
        </w:rPr>
      </w:pPr>
    </w:p>
    <w:p>
      <w:pPr>
        <w:ind w:left="840" w:hanging="318"/>
        <w:spacing w:after="0"/>
        <w:tabs>
          <w:tab w:leader="none" w:pos="8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Senior Advisor (Nov. 2015-Jan. 2024)</w:t>
      </w:r>
    </w:p>
    <w:p>
      <w:pPr>
        <w:ind w:left="840" w:hanging="318"/>
        <w:spacing w:after="0"/>
        <w:tabs>
          <w:tab w:leader="none" w:pos="8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Executive Chairman (Jul. 2012-Nov. 2015)</w:t>
      </w:r>
    </w:p>
    <w:p>
      <w:pPr>
        <w:spacing w:after="0" w:line="13" w:lineRule="exact"/>
        <w:rPr>
          <w:rFonts w:ascii="Arial" w:cs="Arial" w:eastAsia="Arial" w:hAnsi="Arial"/>
          <w:sz w:val="14"/>
          <w:szCs w:val="14"/>
          <w:color w:val="auto"/>
        </w:rPr>
      </w:pPr>
    </w:p>
    <w:p>
      <w:pPr>
        <w:ind w:left="840" w:hanging="318"/>
        <w:spacing w:after="0"/>
        <w:tabs>
          <w:tab w:leader="none" w:pos="8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President and Chief Executive Officer (Oct. 2005-Jul. 2012)</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Cendant Corporation</w:t>
      </w:r>
      <w:r>
        <w:rPr>
          <w:rFonts w:ascii="Arial" w:cs="Arial" w:eastAsia="Arial" w:hAnsi="Arial"/>
          <w:sz w:val="14"/>
          <w:szCs w:val="14"/>
          <w:color w:val="auto"/>
        </w:rPr>
        <w:t>, a provider of customer loyalty platforms and solutions</w:t>
      </w:r>
    </w:p>
    <w:p>
      <w:pPr>
        <w:spacing w:after="0" w:line="27" w:lineRule="exact"/>
        <w:rPr>
          <w:sz w:val="20"/>
          <w:szCs w:val="20"/>
          <w:color w:val="auto"/>
        </w:rPr>
      </w:pPr>
    </w:p>
    <w:p>
      <w:pPr>
        <w:ind w:left="840" w:hanging="318"/>
        <w:spacing w:after="0"/>
        <w:tabs>
          <w:tab w:leader="none" w:pos="8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President and Chief Executive Officer, Marketing Services Group (Apr. 2004-Oct. 2005)</w:t>
      </w:r>
    </w:p>
    <w:p>
      <w:pPr>
        <w:ind w:left="840" w:hanging="318"/>
        <w:spacing w:after="0"/>
        <w:tabs>
          <w:tab w:leader="none" w:pos="8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President and Chief Executive Officer, Trilegiant (Cendant’s domestic membership business) (Feb. 2002-Apr. 2004)</w:t>
      </w:r>
    </w:p>
    <w:p>
      <w:pPr>
        <w:spacing w:after="0" w:line="13" w:lineRule="exact"/>
        <w:rPr>
          <w:rFonts w:ascii="Arial" w:cs="Arial" w:eastAsia="Arial" w:hAnsi="Arial"/>
          <w:sz w:val="14"/>
          <w:szCs w:val="14"/>
          <w:color w:val="auto"/>
        </w:rPr>
      </w:pPr>
    </w:p>
    <w:p>
      <w:pPr>
        <w:ind w:left="840" w:hanging="318"/>
        <w:spacing w:after="0"/>
        <w:tabs>
          <w:tab w:leader="none" w:pos="8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Senior Vice President, Corporate Development and Strategic Planning (Jun. 1999-Feb. 2002)</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Upside Travel Group, Inc.</w:t>
      </w:r>
      <w:r>
        <w:rPr>
          <w:rFonts w:ascii="Arial" w:cs="Arial" w:eastAsia="Arial" w:hAnsi="Arial"/>
          <w:sz w:val="14"/>
          <w:szCs w:val="14"/>
          <w:color w:val="auto"/>
        </w:rPr>
        <w:t>, a travel technology company</w:t>
      </w:r>
    </w:p>
    <w:p>
      <w:pPr>
        <w:spacing w:after="0" w:line="27" w:lineRule="exact"/>
        <w:rPr>
          <w:sz w:val="20"/>
          <w:szCs w:val="20"/>
          <w:color w:val="auto"/>
        </w:rPr>
      </w:pPr>
    </w:p>
    <w:p>
      <w:pPr>
        <w:ind w:left="840" w:hanging="318"/>
        <w:spacing w:after="0"/>
        <w:tabs>
          <w:tab w:leader="none" w:pos="840" w:val="left"/>
        </w:tabs>
        <w:numPr>
          <w:ilvl w:val="1"/>
          <w:numId w:val="20"/>
        </w:numPr>
        <w:rPr>
          <w:rFonts w:ascii="Arial" w:cs="Arial" w:eastAsia="Arial" w:hAnsi="Arial"/>
          <w:sz w:val="14"/>
          <w:szCs w:val="14"/>
          <w:color w:val="auto"/>
        </w:rPr>
      </w:pPr>
      <w:r>
        <w:rPr>
          <w:rFonts w:ascii="Arial" w:cs="Arial" w:eastAsia="Arial" w:hAnsi="Arial"/>
          <w:sz w:val="14"/>
          <w:szCs w:val="14"/>
          <w:color w:val="auto"/>
        </w:rPr>
        <w:t>Senior Advisor to the Chairman (Feb. 2016-May 2017)</w:t>
      </w:r>
    </w:p>
    <w:p>
      <w:pPr>
        <w:jc w:val="center"/>
        <w:spacing w:after="0"/>
        <w:rPr>
          <w:sz w:val="20"/>
          <w:szCs w:val="20"/>
          <w:color w:val="auto"/>
        </w:rPr>
      </w:pPr>
      <w:r>
        <w:rPr>
          <w:rFonts w:ascii="Arial" w:cs="Arial" w:eastAsia="Arial" w:hAnsi="Arial"/>
          <w:sz w:val="14"/>
          <w:szCs w:val="14"/>
          <w:b w:val="1"/>
          <w:bCs w:val="1"/>
          <w:color w:val="auto"/>
        </w:rPr>
        <w:t>Leadership, Strategy</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Planet Hollywood</w:t>
      </w:r>
      <w:r>
        <w:rPr>
          <w:rFonts w:ascii="Arial" w:cs="Arial" w:eastAsia="Arial" w:hAnsi="Arial"/>
          <w:sz w:val="14"/>
          <w:szCs w:val="14"/>
          <w:color w:val="auto"/>
        </w:rPr>
        <w:t>,</w:t>
      </w:r>
      <w:r>
        <w:rPr>
          <w:rFonts w:ascii="Arial" w:cs="Arial" w:eastAsia="Arial" w:hAnsi="Arial"/>
          <w:sz w:val="14"/>
          <w:szCs w:val="14"/>
          <w:i w:val="1"/>
          <w:iCs w:val="1"/>
          <w:color w:val="auto"/>
        </w:rPr>
        <w:t xml:space="preserve"> Inc.</w:t>
      </w:r>
      <w:r>
        <w:rPr>
          <w:rFonts w:ascii="Arial" w:cs="Arial" w:eastAsia="Arial" w:hAnsi="Arial"/>
          <w:sz w:val="14"/>
          <w:szCs w:val="14"/>
          <w:color w:val="auto"/>
        </w:rPr>
        <w:t>, an international restaurant and entertainment brand</w:t>
      </w:r>
    </w:p>
    <w:p>
      <w:pPr>
        <w:spacing w:after="0" w:line="13" w:lineRule="exact"/>
        <w:rPr>
          <w:sz w:val="20"/>
          <w:szCs w:val="20"/>
          <w:color w:val="auto"/>
        </w:rPr>
      </w:pPr>
    </w:p>
    <w:p>
      <w:pPr>
        <w:ind w:left="840" w:hanging="318"/>
        <w:spacing w:after="0"/>
        <w:tabs>
          <w:tab w:leader="none" w:pos="840" w:val="left"/>
        </w:tabs>
        <w:numPr>
          <w:ilvl w:val="1"/>
          <w:numId w:val="21"/>
        </w:numPr>
        <w:rPr>
          <w:rFonts w:ascii="Arial" w:cs="Arial" w:eastAsia="Arial" w:hAnsi="Arial"/>
          <w:sz w:val="14"/>
          <w:szCs w:val="14"/>
          <w:color w:val="auto"/>
        </w:rPr>
      </w:pPr>
      <w:r>
        <w:rPr>
          <w:rFonts w:ascii="Arial" w:cs="Arial" w:eastAsia="Arial" w:hAnsi="Arial"/>
          <w:sz w:val="14"/>
          <w:szCs w:val="14"/>
          <w:color w:val="auto"/>
        </w:rPr>
        <w:t>Executive Vice President, Strategic Development (Aug. 1996-May 1999)</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House of Blues Entertainment, Inc.</w:t>
      </w:r>
      <w:r>
        <w:rPr>
          <w:rFonts w:ascii="Arial" w:cs="Arial" w:eastAsia="Arial" w:hAnsi="Arial"/>
          <w:sz w:val="14"/>
          <w:szCs w:val="14"/>
          <w:color w:val="auto"/>
        </w:rPr>
        <w:t>, an international music entertainment brand</w:t>
      </w:r>
    </w:p>
    <w:p>
      <w:pPr>
        <w:spacing w:after="0" w:line="14" w:lineRule="exact"/>
        <w:rPr>
          <w:sz w:val="20"/>
          <w:szCs w:val="20"/>
          <w:color w:val="auto"/>
        </w:rPr>
      </w:pPr>
    </w:p>
    <w:p>
      <w:pPr>
        <w:ind w:left="840" w:hanging="318"/>
        <w:spacing w:after="0"/>
        <w:tabs>
          <w:tab w:leader="none" w:pos="840" w:val="left"/>
        </w:tabs>
        <w:numPr>
          <w:ilvl w:val="1"/>
          <w:numId w:val="22"/>
        </w:numPr>
        <w:rPr>
          <w:rFonts w:ascii="Arial" w:cs="Arial" w:eastAsia="Arial" w:hAnsi="Arial"/>
          <w:sz w:val="14"/>
          <w:szCs w:val="14"/>
          <w:color w:val="auto"/>
        </w:rPr>
      </w:pPr>
      <w:r>
        <w:rPr>
          <w:rFonts w:ascii="Arial" w:cs="Arial" w:eastAsia="Arial" w:hAnsi="Arial"/>
          <w:sz w:val="14"/>
          <w:szCs w:val="14"/>
          <w:color w:val="auto"/>
        </w:rPr>
        <w:t>General Counsel (Apr. 1995-Jul. 1996)</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The Walt Disney Company</w:t>
      </w:r>
      <w:r>
        <w:rPr>
          <w:rFonts w:ascii="Arial" w:cs="Arial" w:eastAsia="Arial" w:hAnsi="Arial"/>
          <w:sz w:val="14"/>
          <w:szCs w:val="14"/>
          <w:color w:val="auto"/>
        </w:rPr>
        <w:t>, a global entertainment company</w:t>
      </w:r>
    </w:p>
    <w:p>
      <w:pPr>
        <w:spacing w:after="0" w:line="27" w:lineRule="exact"/>
        <w:rPr>
          <w:sz w:val="20"/>
          <w:szCs w:val="20"/>
          <w:color w:val="auto"/>
        </w:rPr>
      </w:pPr>
    </w:p>
    <w:p>
      <w:pPr>
        <w:ind w:left="840" w:hanging="318"/>
        <w:spacing w:after="0"/>
        <w:tabs>
          <w:tab w:leader="none" w:pos="840" w:val="left"/>
        </w:tabs>
        <w:numPr>
          <w:ilvl w:val="1"/>
          <w:numId w:val="23"/>
        </w:numPr>
        <w:rPr>
          <w:rFonts w:ascii="Arial" w:cs="Arial" w:eastAsia="Arial" w:hAnsi="Arial"/>
          <w:sz w:val="14"/>
          <w:szCs w:val="14"/>
          <w:color w:val="auto"/>
        </w:rPr>
      </w:pPr>
      <w:r>
        <w:rPr>
          <w:rFonts w:ascii="Arial" w:cs="Arial" w:eastAsia="Arial" w:hAnsi="Arial"/>
          <w:sz w:val="14"/>
          <w:szCs w:val="14"/>
          <w:color w:val="auto"/>
        </w:rPr>
        <w:t>Senior Corporate Counsel (May 1993-Apr. 1995)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Leisure &amp; Hospitality, Mergers &amp; Acquisitions</w:t>
      </w:r>
    </w:p>
    <w:p>
      <w:pPr>
        <w:ind w:left="40"/>
        <w:spacing w:after="0"/>
        <w:rPr>
          <w:sz w:val="20"/>
          <w:szCs w:val="20"/>
          <w:color w:val="auto"/>
        </w:rPr>
      </w:pPr>
      <w:r>
        <w:rPr>
          <w:rFonts w:ascii="Arial" w:cs="Arial" w:eastAsia="Arial" w:hAnsi="Arial"/>
          <w:sz w:val="14"/>
          <w:szCs w:val="14"/>
          <w:color w:val="auto"/>
        </w:rPr>
        <w:t>–   Skadden, Arps, Slate, Meagher and Flom, LLP, an international law firm</w:t>
      </w:r>
    </w:p>
    <w:p>
      <w:pPr>
        <w:spacing w:after="0" w:line="13" w:lineRule="exact"/>
        <w:rPr>
          <w:sz w:val="20"/>
          <w:szCs w:val="20"/>
          <w:color w:val="auto"/>
        </w:rPr>
      </w:pPr>
    </w:p>
    <w:p>
      <w:pPr>
        <w:ind w:left="840" w:hanging="318"/>
        <w:spacing w:after="0"/>
        <w:tabs>
          <w:tab w:leader="none" w:pos="840" w:val="left"/>
        </w:tabs>
        <w:numPr>
          <w:ilvl w:val="1"/>
          <w:numId w:val="24"/>
        </w:numPr>
        <w:rPr>
          <w:rFonts w:ascii="Arial" w:cs="Arial" w:eastAsia="Arial" w:hAnsi="Arial"/>
          <w:sz w:val="14"/>
          <w:szCs w:val="14"/>
          <w:color w:val="auto"/>
        </w:rPr>
      </w:pPr>
      <w:r>
        <w:rPr>
          <w:rFonts w:ascii="Arial" w:cs="Arial" w:eastAsia="Arial" w:hAnsi="Arial"/>
          <w:sz w:val="14"/>
          <w:szCs w:val="14"/>
          <w:color w:val="auto"/>
        </w:rPr>
        <w:t>Associate (Oct. 1989-May 1993)</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Pr>
          <w:p>
            <w:pPr>
              <w:ind w:left="940"/>
              <w:spacing w:after="0"/>
              <w:rPr>
                <w:sz w:val="20"/>
                <w:szCs w:val="20"/>
                <w:color w:val="auto"/>
              </w:rPr>
            </w:pPr>
            <w:r>
              <w:rPr>
                <w:rFonts w:ascii="Arial" w:cs="Arial" w:eastAsia="Arial" w:hAnsi="Arial"/>
                <w:sz w:val="14"/>
                <w:szCs w:val="14"/>
                <w:b w:val="1"/>
                <w:bCs w:val="1"/>
                <w:color w:val="auto"/>
              </w:rPr>
              <w:t>Mergers &amp; Acquisitions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2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UBLIC</w:t>
            </w:r>
            <w:r>
              <w:rPr>
                <w:rFonts w:ascii="Arial" w:cs="Arial" w:eastAsia="Arial" w:hAnsi="Arial"/>
                <w:sz w:val="18"/>
                <w:szCs w:val="18"/>
                <w:color w:val="auto"/>
                <w:w w:val="99"/>
              </w:rPr>
              <w:t xml:space="preserve"> C</w:t>
            </w:r>
            <w:r>
              <w:rPr>
                <w:rFonts w:ascii="Arial" w:cs="Arial" w:eastAsia="Arial" w:hAnsi="Arial"/>
                <w:sz w:val="14"/>
                <w:szCs w:val="14"/>
                <w:color w:val="auto"/>
                <w:w w:val="99"/>
              </w:rPr>
              <w:t>OMPANY</w:t>
            </w:r>
            <w:r>
              <w:rPr>
                <w:rFonts w:ascii="Arial" w:cs="Arial" w:eastAsia="Arial" w:hAnsi="Arial"/>
                <w:sz w:val="18"/>
                <w:szCs w:val="18"/>
                <w:color w:val="auto"/>
                <w:w w:val="99"/>
              </w:rPr>
              <w:t xml:space="preserve"> B</w:t>
            </w:r>
            <w:r>
              <w:rPr>
                <w:rFonts w:ascii="Arial" w:cs="Arial" w:eastAsia="Arial" w:hAnsi="Arial"/>
                <w:sz w:val="14"/>
                <w:szCs w:val="14"/>
                <w:color w:val="auto"/>
                <w:w w:val="99"/>
              </w:rPr>
              <w:t>OARDS:</w:t>
            </w:r>
          </w:p>
        </w:tc>
        <w:tc>
          <w:tcPr>
            <w:tcW w:w="16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3580" w:type="dxa"/>
            <w:vAlign w:val="bottom"/>
            <w:gridSpan w:val="4"/>
            <w:vMerge w:val="restart"/>
          </w:tcPr>
          <w:p>
            <w:pPr>
              <w:ind w:left="40"/>
              <w:spacing w:after="0"/>
              <w:rPr>
                <w:sz w:val="20"/>
                <w:szCs w:val="20"/>
                <w:color w:val="auto"/>
              </w:rPr>
            </w:pPr>
            <w:r>
              <w:rPr>
                <w:rFonts w:ascii="Arial" w:cs="Arial" w:eastAsia="Arial" w:hAnsi="Arial"/>
                <w:sz w:val="14"/>
                <w:szCs w:val="14"/>
                <w:color w:val="auto"/>
              </w:rPr>
              <w:t>Dave &amp; Buster’s Entertainment, Inc. (Jun. 2025-</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0" w:type="dxa"/>
            <w:vAlign w:val="bottom"/>
            <w:vMerge w:val="restart"/>
          </w:tcPr>
          <w:p>
            <w:pPr>
              <w:ind w:left="40"/>
              <w:spacing w:after="0"/>
              <w:rPr>
                <w:sz w:val="20"/>
                <w:szCs w:val="20"/>
                <w:color w:val="auto"/>
              </w:rPr>
            </w:pPr>
            <w:r>
              <w:rPr>
                <w:rFonts w:ascii="Arial" w:cs="Arial" w:eastAsia="Arial" w:hAnsi="Arial"/>
                <w:sz w:val="14"/>
                <w:szCs w:val="14"/>
                <w:color w:val="auto"/>
              </w:rPr>
              <w:t>United Parks &amp; Resorts, Inc. (Jan. 2024-present)</w:t>
            </w:r>
          </w:p>
        </w:tc>
        <w:tc>
          <w:tcPr>
            <w:tcW w:w="20" w:type="dxa"/>
            <w:vAlign w:val="bottom"/>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3620" w:type="dxa"/>
            <w:vAlign w:val="bottom"/>
            <w:vMerge w:val="restart"/>
          </w:tcPr>
          <w:p>
            <w:pPr>
              <w:ind w:left="20"/>
              <w:spacing w:after="0"/>
              <w:rPr>
                <w:sz w:val="20"/>
                <w:szCs w:val="20"/>
                <w:color w:val="auto"/>
              </w:rPr>
            </w:pPr>
            <w:r>
              <w:rPr>
                <w:rFonts w:ascii="Arial" w:cs="Arial" w:eastAsia="Arial" w:hAnsi="Arial"/>
                <w:sz w:val="14"/>
                <w:szCs w:val="14"/>
                <w:color w:val="auto"/>
              </w:rPr>
              <w:t>Apollo Strategic Growth Capital II, Inc. (2021-2023)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580" w:type="dxa"/>
            <w:vAlign w:val="bottom"/>
            <w:gridSpan w:val="4"/>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4"/>
          </w:tcPr>
          <w:p>
            <w:pPr>
              <w:ind w:left="40"/>
              <w:spacing w:after="0"/>
              <w:rPr>
                <w:sz w:val="20"/>
                <w:szCs w:val="20"/>
                <w:color w:val="auto"/>
              </w:rPr>
            </w:pPr>
            <w:r>
              <w:rPr>
                <w:rFonts w:ascii="Arial" w:cs="Arial" w:eastAsia="Arial" w:hAnsi="Arial"/>
                <w:sz w:val="14"/>
                <w:szCs w:val="14"/>
                <w:color w:val="auto"/>
              </w:rPr>
              <w:t>present)</w:t>
            </w:r>
          </w:p>
        </w:tc>
        <w:tc>
          <w:tcPr>
            <w:tcW w:w="20" w:type="dxa"/>
            <w:vAlign w:val="bottom"/>
            <w:tcBorders>
              <w:bottom w:val="single" w:sz="8" w:color="auto"/>
            </w:tcBorders>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2120" w:type="dxa"/>
            <w:vAlign w:val="bottom"/>
            <w:tcBorders>
              <w:bottom w:val="single" w:sz="8" w:color="auto"/>
            </w:tcBorders>
            <w:gridSpan w:val="4"/>
          </w:tcPr>
          <w:p>
            <w:pPr>
              <w:spacing w:after="0" w:line="201" w:lineRule="exact"/>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RIVATE</w:t>
            </w:r>
            <w:r>
              <w:rPr>
                <w:rFonts w:ascii="Arial" w:cs="Arial" w:eastAsia="Arial" w:hAnsi="Arial"/>
                <w:sz w:val="18"/>
                <w:szCs w:val="18"/>
                <w:color w:val="auto"/>
                <w:w w:val="99"/>
              </w:rPr>
              <w:t xml:space="preserve"> C</w:t>
            </w:r>
            <w:r>
              <w:rPr>
                <w:rFonts w:ascii="Arial" w:cs="Arial" w:eastAsia="Arial" w:hAnsi="Arial"/>
                <w:sz w:val="14"/>
                <w:szCs w:val="14"/>
                <w:color w:val="auto"/>
                <w:w w:val="99"/>
              </w:rPr>
              <w:t>OMPANY</w:t>
            </w:r>
            <w:r>
              <w:rPr>
                <w:rFonts w:ascii="Arial" w:cs="Arial" w:eastAsia="Arial" w:hAnsi="Arial"/>
                <w:sz w:val="18"/>
                <w:szCs w:val="18"/>
                <w:color w:val="auto"/>
                <w:w w:val="99"/>
              </w:rPr>
              <w:t xml:space="preserve"> B</w:t>
            </w:r>
            <w:r>
              <w:rPr>
                <w:rFonts w:ascii="Arial" w:cs="Arial" w:eastAsia="Arial" w:hAnsi="Arial"/>
                <w:sz w:val="14"/>
                <w:szCs w:val="14"/>
                <w:color w:val="auto"/>
                <w:w w:val="99"/>
              </w:rPr>
              <w:t>OARDS:</w:t>
            </w: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3580" w:type="dxa"/>
            <w:vAlign w:val="bottom"/>
            <w:gridSpan w:val="4"/>
            <w:vMerge w:val="restart"/>
          </w:tcPr>
          <w:p>
            <w:pPr>
              <w:ind w:left="40"/>
              <w:spacing w:after="0"/>
              <w:rPr>
                <w:sz w:val="20"/>
                <w:szCs w:val="20"/>
                <w:color w:val="auto"/>
              </w:rPr>
            </w:pPr>
            <w:r>
              <w:rPr>
                <w:rFonts w:ascii="Arial" w:cs="Arial" w:eastAsia="Arial" w:hAnsi="Arial"/>
                <w:sz w:val="14"/>
                <w:szCs w:val="14"/>
                <w:color w:val="auto"/>
              </w:rPr>
              <w:t>Attain Finance Holdings Corp. (2024-present)</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0" w:type="dxa"/>
            <w:vAlign w:val="bottom"/>
            <w:vMerge w:val="restart"/>
          </w:tcPr>
          <w:p>
            <w:pPr>
              <w:ind w:left="40"/>
              <w:spacing w:after="0"/>
              <w:rPr>
                <w:sz w:val="20"/>
                <w:szCs w:val="20"/>
                <w:color w:val="auto"/>
              </w:rPr>
            </w:pPr>
            <w:r>
              <w:rPr>
                <w:rFonts w:ascii="Arial" w:cs="Arial" w:eastAsia="Arial" w:hAnsi="Arial"/>
                <w:sz w:val="14"/>
                <w:szCs w:val="14"/>
                <w:color w:val="auto"/>
              </w:rPr>
              <w:t>Trusted Media Brands, Inc. (2013-present)</w:t>
            </w:r>
          </w:p>
        </w:tc>
        <w:tc>
          <w:tcPr>
            <w:tcW w:w="20" w:type="dxa"/>
            <w:vAlign w:val="bottom"/>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3620" w:type="dxa"/>
            <w:vAlign w:val="bottom"/>
            <w:vMerge w:val="restart"/>
          </w:tcPr>
          <w:p>
            <w:pPr>
              <w:ind w:left="40"/>
              <w:spacing w:after="0"/>
              <w:rPr>
                <w:sz w:val="20"/>
                <w:szCs w:val="20"/>
                <w:color w:val="auto"/>
              </w:rPr>
            </w:pPr>
            <w:r>
              <w:rPr>
                <w:rFonts w:ascii="Arial" w:cs="Arial" w:eastAsia="Arial" w:hAnsi="Arial"/>
                <w:sz w:val="14"/>
                <w:szCs w:val="14"/>
                <w:color w:val="auto"/>
              </w:rPr>
              <w:t>Apollo Aligned Alternatives, Inc. (Jun. 2022-present)</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3580" w:type="dxa"/>
            <w:vAlign w:val="bottom"/>
            <w:gridSpan w:val="4"/>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40" w:type="dxa"/>
            <w:vAlign w:val="bottom"/>
            <w:vMerge w:val="continue"/>
          </w:tcPr>
          <w:p>
            <w:pPr>
              <w:spacing w:after="0"/>
              <w:rPr>
                <w:sz w:val="18"/>
                <w:szCs w:val="18"/>
                <w:color w:val="auto"/>
              </w:rPr>
            </w:pPr>
          </w:p>
        </w:tc>
        <w:tc>
          <w:tcPr>
            <w:tcW w:w="360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vMerge w:val="continue"/>
          </w:tcPr>
          <w:p>
            <w:pPr>
              <w:spacing w:after="0"/>
              <w:rPr>
                <w:sz w:val="18"/>
                <w:szCs w:val="18"/>
                <w:color w:val="auto"/>
              </w:rPr>
            </w:pPr>
          </w:p>
        </w:tc>
        <w:tc>
          <w:tcPr>
            <w:tcW w:w="3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580" w:type="dxa"/>
            <w:vAlign w:val="bottom"/>
            <w:gridSpan w:val="4"/>
          </w:tcPr>
          <w:p>
            <w:pPr>
              <w:ind w:left="40"/>
              <w:spacing w:after="0"/>
              <w:rPr>
                <w:sz w:val="20"/>
                <w:szCs w:val="20"/>
                <w:color w:val="auto"/>
              </w:rPr>
            </w:pPr>
            <w:r>
              <w:rPr>
                <w:rFonts w:ascii="Arial" w:cs="Arial" w:eastAsia="Arial" w:hAnsi="Arial"/>
                <w:sz w:val="14"/>
                <w:szCs w:val="14"/>
                <w:color w:val="auto"/>
              </w:rPr>
              <w:t>PLBY Group, Inc. (Observer) (2022-2023)</w:t>
            </w:r>
          </w:p>
        </w:tc>
        <w:tc>
          <w:tcPr>
            <w:tcW w:w="20" w:type="dxa"/>
            <w:vAlign w:val="bottom"/>
            <w:shd w:val="clear" w:color="auto" w:fill="000000"/>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3600" w:type="dxa"/>
            <w:vAlign w:val="bottom"/>
          </w:tcPr>
          <w:p>
            <w:pPr>
              <w:ind w:left="40"/>
              <w:spacing w:after="0"/>
              <w:rPr>
                <w:sz w:val="20"/>
                <w:szCs w:val="20"/>
                <w:color w:val="auto"/>
              </w:rPr>
            </w:pPr>
            <w:r>
              <w:rPr>
                <w:rFonts w:ascii="Arial" w:cs="Arial" w:eastAsia="Arial" w:hAnsi="Arial"/>
                <w:sz w:val="14"/>
                <w:szCs w:val="14"/>
                <w:color w:val="auto"/>
              </w:rPr>
              <w:t>FTD.com</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620" w:type="dxa"/>
            <w:vAlign w:val="bottom"/>
          </w:tcPr>
          <w:p>
            <w:pPr>
              <w:ind w:left="40"/>
              <w:spacing w:after="0"/>
              <w:rPr>
                <w:sz w:val="20"/>
                <w:szCs w:val="20"/>
                <w:color w:val="auto"/>
              </w:rPr>
            </w:pPr>
            <w:r>
              <w:rPr>
                <w:rFonts w:ascii="Arial" w:cs="Arial" w:eastAsia="Arial" w:hAnsi="Arial"/>
                <w:sz w:val="14"/>
                <w:szCs w:val="14"/>
                <w:color w:val="auto"/>
              </w:rPr>
              <w:t>Diamond Resorts International, Inc. (2017-2021)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tcPr>
          <w:p>
            <w:pPr>
              <w:spacing w:after="0"/>
              <w:rPr>
                <w:sz w:val="15"/>
                <w:szCs w:val="15"/>
                <w:color w:val="auto"/>
              </w:rPr>
            </w:pPr>
          </w:p>
        </w:tc>
        <w:tc>
          <w:tcPr>
            <w:tcW w:w="3600" w:type="dxa"/>
            <w:vAlign w:val="bottom"/>
          </w:tcPr>
          <w:p>
            <w:pPr>
              <w:ind w:left="40"/>
              <w:spacing w:after="0"/>
              <w:rPr>
                <w:sz w:val="20"/>
                <w:szCs w:val="20"/>
                <w:color w:val="auto"/>
              </w:rPr>
            </w:pPr>
            <w:r>
              <w:rPr>
                <w:rFonts w:ascii="Arial" w:cs="Arial" w:eastAsia="Arial" w:hAnsi="Arial"/>
                <w:sz w:val="14"/>
                <w:szCs w:val="14"/>
                <w:color w:val="auto"/>
              </w:rPr>
              <w:t>•  Chair of the Board (2021)</w:t>
            </w:r>
          </w:p>
        </w:tc>
        <w:tc>
          <w:tcPr>
            <w:tcW w:w="20" w:type="dxa"/>
            <w:vAlign w:val="bottom"/>
            <w:shd w:val="clear" w:color="auto" w:fill="000000"/>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ind w:left="40"/>
              <w:spacing w:after="0"/>
              <w:rPr>
                <w:sz w:val="20"/>
                <w:szCs w:val="20"/>
                <w:color w:val="auto"/>
              </w:rPr>
            </w:pPr>
            <w:r>
              <w:rPr>
                <w:rFonts w:ascii="Arial" w:cs="Arial" w:eastAsia="Arial" w:hAnsi="Arial"/>
                <w:sz w:val="14"/>
                <w:szCs w:val="14"/>
                <w:color w:val="auto"/>
              </w:rPr>
              <w:t>•  Senior Advisor (Sep. 2019-Sep. 2021)</w:t>
            </w: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580" w:type="dxa"/>
            <w:vAlign w:val="bottom"/>
            <w:gridSpan w:val="4"/>
          </w:tcPr>
          <w:p>
            <w:pPr>
              <w:ind w:left="40"/>
              <w:spacing w:after="0"/>
              <w:rPr>
                <w:sz w:val="20"/>
                <w:szCs w:val="20"/>
                <w:color w:val="auto"/>
              </w:rPr>
            </w:pPr>
            <w:r>
              <w:rPr>
                <w:rFonts w:ascii="Arial" w:cs="Arial" w:eastAsia="Arial" w:hAnsi="Arial"/>
                <w:sz w:val="14"/>
                <w:szCs w:val="14"/>
                <w:color w:val="auto"/>
              </w:rPr>
              <w:t>Redbox Automated Holdings, LLC, (2016-2021)</w:t>
            </w:r>
          </w:p>
        </w:tc>
        <w:tc>
          <w:tcPr>
            <w:tcW w:w="20" w:type="dxa"/>
            <w:vAlign w:val="bottom"/>
            <w:shd w:val="clear" w:color="auto" w:fill="000000"/>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3600" w:type="dxa"/>
            <w:vAlign w:val="bottom"/>
          </w:tcPr>
          <w:p>
            <w:pPr>
              <w:ind w:left="40"/>
              <w:spacing w:after="0"/>
              <w:rPr>
                <w:sz w:val="20"/>
                <w:szCs w:val="20"/>
                <w:color w:val="auto"/>
              </w:rPr>
            </w:pPr>
            <w:r>
              <w:rPr>
                <w:rFonts w:ascii="Arial" w:cs="Arial" w:eastAsia="Arial" w:hAnsi="Arial"/>
                <w:sz w:val="14"/>
                <w:szCs w:val="14"/>
                <w:color w:val="auto"/>
              </w:rPr>
              <w:t>Exela Technologies, Inc. (2017-2019)</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620" w:type="dxa"/>
            <w:vAlign w:val="bottom"/>
          </w:tcPr>
          <w:p>
            <w:pPr>
              <w:ind w:left="40"/>
              <w:spacing w:after="0"/>
              <w:rPr>
                <w:sz w:val="20"/>
                <w:szCs w:val="20"/>
                <w:color w:val="auto"/>
              </w:rPr>
            </w:pPr>
            <w:r>
              <w:rPr>
                <w:rFonts w:ascii="Arial" w:cs="Arial" w:eastAsia="Arial" w:hAnsi="Arial"/>
                <w:sz w:val="14"/>
                <w:szCs w:val="14"/>
                <w:color w:val="auto"/>
              </w:rPr>
              <w:t>Walker Innovation, Inc., (2013-2019)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580" w:type="dxa"/>
            <w:vAlign w:val="bottom"/>
            <w:gridSpan w:val="4"/>
          </w:tcPr>
          <w:p>
            <w:pPr>
              <w:ind w:left="40"/>
              <w:spacing w:after="0"/>
              <w:rPr>
                <w:sz w:val="20"/>
                <w:szCs w:val="20"/>
                <w:color w:val="auto"/>
              </w:rPr>
            </w:pPr>
            <w:r>
              <w:rPr>
                <w:rFonts w:ascii="Arial" w:cs="Arial" w:eastAsia="Arial" w:hAnsi="Arial"/>
                <w:sz w:val="14"/>
                <w:szCs w:val="14"/>
                <w:color w:val="auto"/>
              </w:rPr>
              <w:t>RDA Holding, Inc. (2013-2018)</w:t>
            </w:r>
          </w:p>
        </w:tc>
        <w:tc>
          <w:tcPr>
            <w:tcW w:w="20" w:type="dxa"/>
            <w:vAlign w:val="bottom"/>
            <w:tcBorders>
              <w:bottom w:val="single" w:sz="8" w:color="auto"/>
            </w:tcBorders>
            <w:shd w:val="clear" w:color="auto" w:fill="000000"/>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3600" w:type="dxa"/>
            <w:vAlign w:val="bottom"/>
          </w:tcPr>
          <w:p>
            <w:pPr>
              <w:ind w:left="40"/>
              <w:spacing w:after="0"/>
              <w:rPr>
                <w:sz w:val="20"/>
                <w:szCs w:val="20"/>
                <w:color w:val="auto"/>
              </w:rPr>
            </w:pPr>
            <w:r>
              <w:rPr>
                <w:rFonts w:ascii="Arial" w:cs="Arial" w:eastAsia="Arial" w:hAnsi="Arial"/>
                <w:sz w:val="14"/>
                <w:szCs w:val="14"/>
                <w:color w:val="auto"/>
              </w:rPr>
              <w:t>Netmarket Group, Inc., (2000-2003)</w:t>
            </w: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620" w:type="dxa"/>
            <w:vAlign w:val="bottom"/>
          </w:tcPr>
          <w:p>
            <w:pPr>
              <w:ind w:left="40"/>
              <w:spacing w:after="0"/>
              <w:rPr>
                <w:sz w:val="20"/>
                <w:szCs w:val="20"/>
                <w:color w:val="auto"/>
              </w:rPr>
            </w:pPr>
            <w:r>
              <w:rPr>
                <w:rFonts w:ascii="Arial" w:cs="Arial" w:eastAsia="Arial" w:hAnsi="Arial"/>
                <w:sz w:val="14"/>
                <w:szCs w:val="14"/>
                <w:color w:val="auto"/>
              </w:rPr>
              <w:t>Upside Travel Group, LLC (2015-2017)</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700" w:type="dxa"/>
            <w:vAlign w:val="bottom"/>
            <w:gridSpan w:val="5"/>
          </w:tcPr>
          <w:p>
            <w:pPr>
              <w:spacing w:after="0" w:line="201" w:lineRule="exact"/>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40" w:type="dxa"/>
            <w:vAlign w:val="bottom"/>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3580" w:type="dxa"/>
            <w:vAlign w:val="bottom"/>
            <w:gridSpan w:val="4"/>
            <w:vMerge w:val="restart"/>
          </w:tcPr>
          <w:p>
            <w:pPr>
              <w:ind w:left="40"/>
              <w:spacing w:after="0"/>
              <w:rPr>
                <w:sz w:val="20"/>
                <w:szCs w:val="20"/>
                <w:color w:val="auto"/>
              </w:rPr>
            </w:pPr>
            <w:r>
              <w:rPr>
                <w:rFonts w:ascii="Arial" w:cs="Arial" w:eastAsia="Arial" w:hAnsi="Arial"/>
                <w:sz w:val="14"/>
                <w:szCs w:val="14"/>
                <w:color w:val="auto"/>
              </w:rPr>
              <w:t> B.A., Political Economy, University of California,</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0" w:type="dxa"/>
            <w:vAlign w:val="bottom"/>
            <w:vMerge w:val="restart"/>
          </w:tcPr>
          <w:p>
            <w:pPr>
              <w:ind w:left="40"/>
              <w:spacing w:after="0"/>
              <w:rPr>
                <w:sz w:val="20"/>
                <w:szCs w:val="20"/>
                <w:color w:val="auto"/>
              </w:rPr>
            </w:pPr>
            <w:r>
              <w:rPr>
                <w:rFonts w:ascii="Arial" w:cs="Arial" w:eastAsia="Arial" w:hAnsi="Arial"/>
                <w:sz w:val="14"/>
                <w:szCs w:val="14"/>
                <w:color w:val="auto"/>
              </w:rPr>
              <w:t>J.D., University of California, Los Angeles</w:t>
            </w: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3580" w:type="dxa"/>
            <w:vAlign w:val="bottom"/>
            <w:gridSpan w:val="4"/>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4"/>
          </w:tcPr>
          <w:p>
            <w:pPr>
              <w:ind w:left="40"/>
              <w:spacing w:after="0"/>
              <w:rPr>
                <w:sz w:val="20"/>
                <w:szCs w:val="20"/>
                <w:color w:val="auto"/>
              </w:rPr>
            </w:pPr>
            <w:r>
              <w:rPr>
                <w:rFonts w:ascii="Arial" w:cs="Arial" w:eastAsia="Arial" w:hAnsi="Arial"/>
                <w:sz w:val="14"/>
                <w:szCs w:val="14"/>
                <w:color w:val="auto"/>
              </w:rPr>
              <w:t>Berkeley</w:t>
            </w: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00497F"/>
            </w:tcBorders>
          </w:tcPr>
          <w:p>
            <w:pPr>
              <w:spacing w:after="0" w:line="20" w:lineRule="exact"/>
              <w:rPr>
                <w:sz w:val="1"/>
                <w:szCs w:val="1"/>
                <w:color w:val="auto"/>
              </w:rPr>
            </w:pPr>
          </w:p>
        </w:tc>
        <w:tc>
          <w:tcPr>
            <w:tcW w:w="120" w:type="dxa"/>
            <w:vAlign w:val="bottom"/>
            <w:tcBorders>
              <w:bottom w:val="single" w:sz="8" w:color="00497F"/>
            </w:tcBorders>
          </w:tcPr>
          <w:p>
            <w:pPr>
              <w:spacing w:after="0" w:line="20" w:lineRule="exact"/>
              <w:rPr>
                <w:sz w:val="1"/>
                <w:szCs w:val="1"/>
                <w:color w:val="auto"/>
              </w:rPr>
            </w:pPr>
          </w:p>
        </w:tc>
        <w:tc>
          <w:tcPr>
            <w:tcW w:w="780" w:type="dxa"/>
            <w:vAlign w:val="bottom"/>
            <w:tcBorders>
              <w:bottom w:val="single" w:sz="8" w:color="00497F"/>
            </w:tcBorders>
          </w:tcPr>
          <w:p>
            <w:pPr>
              <w:spacing w:after="0" w:line="20" w:lineRule="exact"/>
              <w:rPr>
                <w:sz w:val="1"/>
                <w:szCs w:val="1"/>
                <w:color w:val="auto"/>
              </w:rPr>
            </w:pPr>
          </w:p>
        </w:tc>
        <w:tc>
          <w:tcPr>
            <w:tcW w:w="1140" w:type="dxa"/>
            <w:vAlign w:val="bottom"/>
            <w:tcBorders>
              <w:bottom w:val="single" w:sz="8" w:color="00497F"/>
            </w:tcBorders>
          </w:tcPr>
          <w:p>
            <w:pPr>
              <w:spacing w:after="0" w:line="20" w:lineRule="exact"/>
              <w:rPr>
                <w:sz w:val="1"/>
                <w:szCs w:val="1"/>
                <w:color w:val="auto"/>
              </w:rPr>
            </w:pPr>
          </w:p>
        </w:tc>
        <w:tc>
          <w:tcPr>
            <w:tcW w:w="80" w:type="dxa"/>
            <w:vAlign w:val="bottom"/>
            <w:tcBorders>
              <w:bottom w:val="single" w:sz="8" w:color="00497F"/>
            </w:tcBorders>
          </w:tcPr>
          <w:p>
            <w:pPr>
              <w:spacing w:after="0" w:line="20" w:lineRule="exact"/>
              <w:rPr>
                <w:sz w:val="1"/>
                <w:szCs w:val="1"/>
                <w:color w:val="auto"/>
              </w:rPr>
            </w:pPr>
          </w:p>
        </w:tc>
        <w:tc>
          <w:tcPr>
            <w:tcW w:w="1580" w:type="dxa"/>
            <w:vAlign w:val="bottom"/>
            <w:tcBorders>
              <w:bottom w:val="single" w:sz="8" w:color="00497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00497F"/>
            </w:tcBorders>
          </w:tcPr>
          <w:p>
            <w:pPr>
              <w:spacing w:after="0" w:line="20" w:lineRule="exact"/>
              <w:rPr>
                <w:sz w:val="1"/>
                <w:szCs w:val="1"/>
                <w:color w:val="auto"/>
              </w:rPr>
            </w:pPr>
          </w:p>
        </w:tc>
        <w:tc>
          <w:tcPr>
            <w:tcW w:w="3600" w:type="dxa"/>
            <w:vAlign w:val="bottom"/>
            <w:tcBorders>
              <w:bottom w:val="single" w:sz="8" w:color="00497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Borders>
              <w:bottom w:val="single" w:sz="8" w:color="00497F"/>
            </w:tcBorders>
          </w:tcPr>
          <w:p>
            <w:pPr>
              <w:spacing w:after="0" w:line="20" w:lineRule="exact"/>
              <w:rPr>
                <w:sz w:val="1"/>
                <w:szCs w:val="1"/>
                <w:color w:val="auto"/>
              </w:rPr>
            </w:pPr>
          </w:p>
        </w:tc>
        <w:tc>
          <w:tcPr>
            <w:tcW w:w="3620" w:type="dxa"/>
            <w:vAlign w:val="bottom"/>
            <w:tcBorders>
              <w:bottom w:val="single" w:sz="8" w:color="00497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1492885</wp:posOffset>
            </wp:positionV>
            <wp:extent cx="7132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4C4C4C"/>
              </w:rPr>
              <w:t>7</w:t>
            </w:r>
          </w:p>
        </w:tc>
      </w:tr>
      <w:tr>
        <w:trPr>
          <w:trHeight w:val="223"/>
        </w:trPr>
        <w:tc>
          <w:tcPr>
            <w:tcW w:w="710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3" w:right="319" w:bottom="1440" w:gutter="0" w:footer="0" w:header="0"/>
        </w:sectPr>
      </w:pPr>
    </w:p>
    <w:bookmarkStart w:id="13" w:name="page14"/>
    <w:bookmarkEnd w:id="13"/>
    <w:p>
      <w:pPr>
        <w:ind w:left="4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207645</wp:posOffset>
            </wp:positionH>
            <wp:positionV relativeFrom="page">
              <wp:posOffset>754380</wp:posOffset>
            </wp:positionV>
            <wp:extent cx="7141210" cy="1245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1245870"/>
                    </a:xfrm>
                    <a:prstGeom prst="rect">
                      <a:avLst/>
                    </a:prstGeom>
                    <a:noFill/>
                  </pic:spPr>
                </pic:pic>
              </a:graphicData>
            </a:graphic>
          </wp:anchor>
        </w:drawing>
        <w:t>Charles H. Protell</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2026</w:t>
            </w:r>
          </w:p>
        </w:tc>
        <w:tc>
          <w:tcPr>
            <w:tcW w:w="2500" w:type="dxa"/>
            <w:vAlign w:val="bottom"/>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51</w:t>
            </w:r>
          </w:p>
        </w:tc>
      </w:tr>
      <w:tr>
        <w:trPr>
          <w:trHeight w:val="238"/>
        </w:trPr>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COMMITTEE:   Audit</w:t>
            </w:r>
          </w:p>
        </w:tc>
        <w:tc>
          <w:tcPr>
            <w:tcW w:w="2500" w:type="dxa"/>
            <w:vAlign w:val="bottom"/>
          </w:tcPr>
          <w:p>
            <w:pPr>
              <w:ind w:left="2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IRECTOR</w:t>
            </w:r>
            <w:r>
              <w:rPr>
                <w:rFonts w:ascii="Arial" w:cs="Arial" w:eastAsia="Arial" w:hAnsi="Arial"/>
                <w:sz w:val="18"/>
                <w:szCs w:val="18"/>
                <w:color w:val="auto"/>
                <w:w w:val="99"/>
              </w:rPr>
              <w:t xml:space="preserve"> S</w:t>
            </w:r>
            <w:r>
              <w:rPr>
                <w:rFonts w:ascii="Arial" w:cs="Arial" w:eastAsia="Arial" w:hAnsi="Arial"/>
                <w:sz w:val="14"/>
                <w:szCs w:val="14"/>
                <w:color w:val="auto"/>
                <w:w w:val="99"/>
              </w:rPr>
              <w:t>TATUS: INDEPENDENT</w:t>
            </w:r>
          </w:p>
        </w:tc>
      </w:tr>
      <w:tr>
        <w:trPr>
          <w:trHeight w:val="23"/>
        </w:trPr>
        <w:tc>
          <w:tcPr>
            <w:tcW w:w="5600" w:type="dxa"/>
            <w:vAlign w:val="bottom"/>
            <w:tcBorders>
              <w:right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w:t>
      </w:r>
    </w:p>
    <w:p>
      <w:pPr>
        <w:spacing w:after="0" w:line="71" w:lineRule="exact"/>
        <w:rPr>
          <w:sz w:val="20"/>
          <w:szCs w:val="20"/>
          <w:color w:val="auto"/>
        </w:rPr>
      </w:pPr>
    </w:p>
    <w:p>
      <w:pPr>
        <w:ind w:left="200" w:right="20" w:hanging="161"/>
        <w:spacing w:after="0" w:line="270" w:lineRule="auto"/>
        <w:rPr>
          <w:sz w:val="20"/>
          <w:szCs w:val="20"/>
          <w:color w:val="auto"/>
        </w:rPr>
      </w:pPr>
      <w:r>
        <w:rPr>
          <w:rFonts w:ascii="Arial" w:cs="Arial" w:eastAsia="Arial" w:hAnsi="Arial"/>
          <w:sz w:val="14"/>
          <w:szCs w:val="14"/>
          <w:color w:val="auto"/>
        </w:rPr>
        <w:t xml:space="preserve">– President and Chief Financial Officer of </w:t>
      </w:r>
      <w:r>
        <w:rPr>
          <w:rFonts w:ascii="Arial" w:cs="Arial" w:eastAsia="Arial" w:hAnsi="Arial"/>
          <w:sz w:val="14"/>
          <w:szCs w:val="14"/>
          <w:i w:val="1"/>
          <w:iCs w:val="1"/>
          <w:color w:val="auto"/>
        </w:rPr>
        <w:t>Golden Entertainment</w:t>
      </w:r>
      <w:r>
        <w:rPr>
          <w:rFonts w:ascii="Arial" w:cs="Arial" w:eastAsia="Arial" w:hAnsi="Arial"/>
          <w:sz w:val="14"/>
          <w:szCs w:val="14"/>
          <w:color w:val="auto"/>
        </w:rPr>
        <w:t>, a gaming company that operates casinos and taverns (joined the company in Nov. 2016, promoted to President in 2019).</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Leadership, Strategy, Investments, Gaming, Leisure &amp; Hospitality, Entertainment, Food &amp; Beverage, Finance, Governance, Accounting, Mergers &amp; Acquisitions</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8255" cy="19881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98818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34290</wp:posOffset>
            </wp:positionV>
            <wp:extent cx="8255" cy="1672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167259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 Macquarie Capital</w:t>
      </w:r>
      <w:r>
        <w:rPr>
          <w:rFonts w:ascii="Arial" w:cs="Arial" w:eastAsia="Arial" w:hAnsi="Arial"/>
          <w:sz w:val="14"/>
          <w:szCs w:val="14"/>
          <w:color w:val="auto"/>
        </w:rPr>
        <w:t>, a global adviser and private equity investment firm</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Managing Director, Investment Banking (May 2011-Nov. 2016)</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REGAL Capital Advisors</w:t>
      </w:r>
      <w:r>
        <w:rPr>
          <w:rFonts w:ascii="Arial" w:cs="Arial" w:eastAsia="Arial" w:hAnsi="Arial"/>
          <w:sz w:val="14"/>
          <w:szCs w:val="14"/>
          <w:color w:val="auto"/>
        </w:rPr>
        <w:t>, a financial advisory and investment service firm</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Co-founder &amp; Managing Director (Jan. 2009-May 2011)</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Credit Suisse, a financial services and investment firm</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Director (May 2007-Dec. 2008)</w:t>
      </w:r>
    </w:p>
    <w:p>
      <w:pPr>
        <w:jc w:val="center"/>
        <w:ind w:right="-179"/>
        <w:spacing w:after="0"/>
        <w:rPr>
          <w:sz w:val="20"/>
          <w:szCs w:val="20"/>
          <w:color w:val="auto"/>
        </w:rPr>
      </w:pPr>
      <w:r>
        <w:rPr>
          <w:rFonts w:ascii="Arial" w:cs="Arial" w:eastAsia="Arial" w:hAnsi="Arial"/>
          <w:sz w:val="14"/>
          <w:szCs w:val="14"/>
          <w:b w:val="1"/>
          <w:bCs w:val="1"/>
          <w:color w:val="auto"/>
        </w:rPr>
        <w:t>Leadership, Investments, Finance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Deutsche Bank, a multinational investment bank and financial services firm</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Vice President (May 2004-Apr. 2007)</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Investments, Finance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CIBC World Markets, an investment banking company</w:t>
      </w:r>
    </w:p>
    <w:p>
      <w:pPr>
        <w:ind w:left="200"/>
        <w:spacing w:after="0"/>
        <w:rPr>
          <w:sz w:val="20"/>
          <w:szCs w:val="20"/>
          <w:color w:val="auto"/>
        </w:rPr>
      </w:pPr>
      <w:r>
        <w:rPr>
          <w:rFonts w:ascii="Arial" w:cs="Arial" w:eastAsia="Arial" w:hAnsi="Arial"/>
          <w:sz w:val="14"/>
          <w:szCs w:val="14"/>
          <w:color w:val="auto"/>
        </w:rPr>
        <w:t>•  Associate (Mar. 2000-Apr. 2004)</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Investments, Finance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34290</wp:posOffset>
            </wp:positionV>
            <wp:extent cx="8255" cy="1447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14478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Dave &amp; Buster’s Entertainment, Inc. (Apr. 2026-present)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31750</wp:posOffset>
            </wp:positionV>
            <wp:extent cx="8255" cy="4864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4864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8255" cy="4864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48641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O</w:t>
      </w:r>
      <w:r>
        <w:rPr>
          <w:rFonts w:ascii="Arial" w:cs="Arial" w:eastAsia="Arial" w:hAnsi="Arial"/>
          <w:sz w:val="14"/>
          <w:szCs w:val="14"/>
          <w:u w:val="single" w:color="auto"/>
          <w:color w:val="auto"/>
        </w:rPr>
        <w:t>THER</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GoHunt (sold Dec. 2025)</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DUCATION</w:t>
      </w:r>
      <w:r>
        <w:rPr>
          <w:rFonts w:ascii="Arial" w:cs="Arial" w:eastAsia="Arial" w:hAnsi="Arial"/>
          <w:sz w:val="18"/>
          <w:szCs w:val="18"/>
          <w:u w:val="single" w:color="auto"/>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7141210" cy="1536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15367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B.S. Commerce, University of Virginia, May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7141210" cy="3225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322516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Scott I. Ross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2025</w:t>
            </w:r>
          </w:p>
        </w:tc>
        <w:tc>
          <w:tcPr>
            <w:tcW w:w="2520" w:type="dxa"/>
            <w:vAlign w:val="bottom"/>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xml:space="preserve"> 46</w:t>
            </w:r>
          </w:p>
        </w:tc>
      </w:tr>
      <w:tr>
        <w:trPr>
          <w:trHeight w:val="261"/>
        </w:trPr>
        <w:tc>
          <w:tcPr>
            <w:tcW w:w="5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Nominating &amp; Corporate Governance (Chair), Finance</w:t>
            </w:r>
          </w:p>
        </w:tc>
        <w:tc>
          <w:tcPr>
            <w:tcW w:w="2520" w:type="dxa"/>
            <w:vAlign w:val="bottom"/>
          </w:tcPr>
          <w:p>
            <w:pPr>
              <w:ind w:left="2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IRECTOR</w:t>
            </w:r>
            <w:r>
              <w:rPr>
                <w:rFonts w:ascii="Arial" w:cs="Arial" w:eastAsia="Arial" w:hAnsi="Arial"/>
                <w:sz w:val="18"/>
                <w:szCs w:val="18"/>
                <w:color w:val="auto"/>
                <w:w w:val="99"/>
              </w:rPr>
              <w:t xml:space="preserve"> S</w:t>
            </w:r>
            <w:r>
              <w:rPr>
                <w:rFonts w:ascii="Arial" w:cs="Arial" w:eastAsia="Arial" w:hAnsi="Arial"/>
                <w:sz w:val="14"/>
                <w:szCs w:val="14"/>
                <w:color w:val="auto"/>
                <w:w w:val="99"/>
              </w:rPr>
              <w:t>TATUS:</w:t>
            </w:r>
            <w:r>
              <w:rPr>
                <w:rFonts w:ascii="Arial" w:cs="Arial" w:eastAsia="Arial" w:hAnsi="Arial"/>
                <w:sz w:val="18"/>
                <w:szCs w:val="18"/>
                <w:color w:val="auto"/>
                <w:w w:val="99"/>
              </w:rPr>
              <w:t xml:space="preserve"> </w:t>
            </w:r>
            <w:r>
              <w:rPr>
                <w:rFonts w:ascii="Arial" w:cs="Arial" w:eastAsia="Arial" w:hAnsi="Arial"/>
                <w:sz w:val="16"/>
                <w:szCs w:val="16"/>
                <w:color w:val="auto"/>
                <w:w w:val="99"/>
              </w:rPr>
              <w:t>I</w:t>
            </w:r>
            <w:r>
              <w:rPr>
                <w:rFonts w:ascii="Arial" w:cs="Arial" w:eastAsia="Arial" w:hAnsi="Arial"/>
                <w:sz w:val="14"/>
                <w:szCs w:val="14"/>
                <w:color w:val="auto"/>
                <w:w w:val="99"/>
              </w:rPr>
              <w:t>NDEPENDENT</w:t>
            </w: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URRENT</w:t>
            </w:r>
            <w:r>
              <w:rPr>
                <w:rFonts w:ascii="Arial" w:cs="Arial" w:eastAsia="Arial" w:hAnsi="Arial"/>
                <w:sz w:val="18"/>
                <w:szCs w:val="18"/>
                <w:color w:val="auto"/>
              </w:rPr>
              <w:t xml:space="preserve"> P</w:t>
            </w:r>
            <w:r>
              <w:rPr>
                <w:rFonts w:ascii="Arial" w:cs="Arial" w:eastAsia="Arial" w:hAnsi="Arial"/>
                <w:sz w:val="14"/>
                <w:szCs w:val="14"/>
                <w:color w:val="auto"/>
              </w:rPr>
              <w:t>OSITION:</w:t>
            </w:r>
          </w:p>
        </w:tc>
        <w:tc>
          <w:tcPr>
            <w:tcW w:w="2520" w:type="dxa"/>
            <w:vAlign w:val="bottom"/>
          </w:tcPr>
          <w:p>
            <w:pPr>
              <w:spacing w:after="0"/>
              <w:rPr>
                <w:sz w:val="17"/>
                <w:szCs w:val="17"/>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Founder and Managing Partner of </w:t>
      </w:r>
      <w:r>
        <w:rPr>
          <w:rFonts w:ascii="Arial" w:cs="Arial" w:eastAsia="Arial" w:hAnsi="Arial"/>
          <w:sz w:val="14"/>
          <w:szCs w:val="14"/>
          <w:i w:val="1"/>
          <w:iCs w:val="1"/>
          <w:color w:val="auto"/>
        </w:rPr>
        <w:t>Hill Path Capital, LP</w:t>
      </w:r>
      <w:r>
        <w:rPr>
          <w:rFonts w:ascii="Arial" w:cs="Arial" w:eastAsia="Arial" w:hAnsi="Arial"/>
          <w:sz w:val="14"/>
          <w:szCs w:val="14"/>
          <w:color w:val="auto"/>
        </w:rPr>
        <w:t>, a private investment firm investing in the equity and debt of public and private companies since 2014.</w:t>
      </w:r>
    </w:p>
    <w:p>
      <w:pPr>
        <w:spacing w:after="0" w:line="14"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Leadership, Strategy, Investments, Leisure &amp; Hospitality, Entertainment, Finance and Governance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Apollo Global Management, Inc</w:t>
      </w:r>
      <w:r>
        <w:rPr>
          <w:rFonts w:ascii="Arial" w:cs="Arial" w:eastAsia="Arial" w:hAnsi="Arial"/>
          <w:sz w:val="14"/>
          <w:szCs w:val="14"/>
          <w:color w:val="auto"/>
        </w:rPr>
        <w:t>. a global alternative investment management firm:</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4"/>
          <w:szCs w:val="14"/>
          <w:color w:val="003B71"/>
        </w:rPr>
        <w:t xml:space="preserve">•  </w:t>
      </w:r>
      <w:r>
        <w:rPr>
          <w:rFonts w:ascii="Arial" w:cs="Arial" w:eastAsia="Arial" w:hAnsi="Arial"/>
          <w:sz w:val="14"/>
          <w:szCs w:val="14"/>
          <w:color w:val="000000"/>
        </w:rPr>
        <w:t>Principal (2004-2008/2009-2014)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Leadership, Strategy, Leisure &amp; Hospitality, Entertainment, Finance and Governance</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Goldman Sachs &amp; Co., Inc.</w:t>
      </w:r>
      <w:r>
        <w:rPr>
          <w:rFonts w:ascii="Arial" w:cs="Arial" w:eastAsia="Arial" w:hAnsi="Arial"/>
          <w:sz w:val="14"/>
          <w:szCs w:val="14"/>
          <w:color w:val="auto"/>
        </w:rPr>
        <w:t>, a multinational investment bank and financial services company:</w:t>
      </w:r>
    </w:p>
    <w:p>
      <w:pPr>
        <w:spacing w:after="0" w:line="13" w:lineRule="exact"/>
        <w:rPr>
          <w:sz w:val="20"/>
          <w:szCs w:val="20"/>
          <w:color w:val="auto"/>
        </w:rPr>
      </w:pPr>
    </w:p>
    <w:p>
      <w:pPr>
        <w:ind w:left="360" w:hanging="160"/>
        <w:spacing w:after="0"/>
        <w:tabs>
          <w:tab w:leader="none" w:pos="360" w:val="left"/>
        </w:tabs>
        <w:numPr>
          <w:ilvl w:val="1"/>
          <w:numId w:val="33"/>
        </w:numPr>
        <w:rPr>
          <w:rFonts w:ascii="Arial" w:cs="Arial" w:eastAsia="Arial" w:hAnsi="Arial"/>
          <w:sz w:val="14"/>
          <w:szCs w:val="14"/>
          <w:color w:val="003B71"/>
        </w:rPr>
      </w:pPr>
      <w:r>
        <w:rPr>
          <w:rFonts w:ascii="Arial" w:cs="Arial" w:eastAsia="Arial" w:hAnsi="Arial"/>
          <w:sz w:val="14"/>
          <w:szCs w:val="14"/>
          <w:color w:val="auto"/>
        </w:rPr>
        <w:t>Analyst, Principal Finance Group, Fixed Income, Currencies, and Commodities Division (Jun. 2002-Dec. 2004)</w:t>
      </w:r>
    </w:p>
    <w:p>
      <w:pPr>
        <w:spacing w:after="0" w:line="13" w:lineRule="exact"/>
        <w:rPr>
          <w:rFonts w:ascii="Arial" w:cs="Arial" w:eastAsia="Arial" w:hAnsi="Arial"/>
          <w:sz w:val="14"/>
          <w:szCs w:val="14"/>
          <w:color w:val="003B71"/>
        </w:rPr>
      </w:pPr>
    </w:p>
    <w:p>
      <w:pPr>
        <w:ind w:left="4200"/>
        <w:spacing w:after="0"/>
        <w:rPr>
          <w:rFonts w:ascii="Arial" w:cs="Arial" w:eastAsia="Arial" w:hAnsi="Arial"/>
          <w:sz w:val="14"/>
          <w:szCs w:val="14"/>
          <w:color w:val="003B71"/>
        </w:rPr>
      </w:pPr>
      <w:r>
        <w:rPr>
          <w:rFonts w:ascii="Arial" w:cs="Arial" w:eastAsia="Arial" w:hAnsi="Arial"/>
          <w:sz w:val="14"/>
          <w:szCs w:val="14"/>
          <w:b w:val="1"/>
          <w:bCs w:val="1"/>
          <w:color w:val="auto"/>
        </w:rPr>
        <w:t>Leadership, Strategy, Investment, Finance</w:t>
      </w:r>
    </w:p>
    <w:p>
      <w:pPr>
        <w:ind w:left="40"/>
        <w:spacing w:after="0"/>
        <w:rPr>
          <w:rFonts w:ascii="Arial" w:cs="Arial" w:eastAsia="Arial" w:hAnsi="Arial"/>
          <w:sz w:val="14"/>
          <w:szCs w:val="14"/>
          <w:color w:val="003B71"/>
        </w:rPr>
      </w:pP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Shumway Capital Partners</w:t>
      </w:r>
      <w:r>
        <w:rPr>
          <w:rFonts w:ascii="Arial" w:cs="Arial" w:eastAsia="Arial" w:hAnsi="Arial"/>
          <w:sz w:val="14"/>
          <w:szCs w:val="14"/>
          <w:color w:val="auto"/>
        </w:rPr>
        <w:t>, an investment company:</w:t>
      </w:r>
    </w:p>
    <w:p>
      <w:pPr>
        <w:spacing w:after="0" w:line="13" w:lineRule="exact"/>
        <w:rPr>
          <w:rFonts w:ascii="Arial" w:cs="Arial" w:eastAsia="Arial" w:hAnsi="Arial"/>
          <w:sz w:val="14"/>
          <w:szCs w:val="14"/>
          <w:color w:val="003B71"/>
        </w:rPr>
      </w:pPr>
    </w:p>
    <w:p>
      <w:pPr>
        <w:ind w:left="360" w:hanging="160"/>
        <w:spacing w:after="0"/>
        <w:tabs>
          <w:tab w:leader="none" w:pos="360" w:val="left"/>
        </w:tabs>
        <w:numPr>
          <w:ilvl w:val="1"/>
          <w:numId w:val="33"/>
        </w:numPr>
        <w:rPr>
          <w:rFonts w:ascii="Arial" w:cs="Arial" w:eastAsia="Arial" w:hAnsi="Arial"/>
          <w:sz w:val="14"/>
          <w:szCs w:val="14"/>
          <w:color w:val="003B71"/>
        </w:rPr>
      </w:pPr>
      <w:r>
        <w:rPr>
          <w:rFonts w:ascii="Arial" w:cs="Arial" w:eastAsia="Arial" w:hAnsi="Arial"/>
          <w:sz w:val="14"/>
          <w:szCs w:val="14"/>
          <w:color w:val="auto"/>
        </w:rPr>
        <w:t>Analyst (Aug. 2008-Sep. 2009)</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4"/>
          </w:tcPr>
          <w:p>
            <w:pPr>
              <w:ind w:left="1400"/>
              <w:spacing w:after="0"/>
              <w:rPr>
                <w:sz w:val="20"/>
                <w:szCs w:val="20"/>
                <w:color w:val="auto"/>
              </w:rPr>
            </w:pPr>
            <w:r>
              <w:rPr>
                <w:rFonts w:ascii="Arial" w:cs="Arial" w:eastAsia="Arial" w:hAnsi="Arial"/>
                <w:sz w:val="14"/>
                <w:szCs w:val="14"/>
                <w:b w:val="1"/>
                <w:bCs w:val="1"/>
                <w:color w:val="auto"/>
              </w:rPr>
              <w:t>Leadership, Strategy, Investment, Finance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auto"/>
            </w:tcBorders>
            <w:gridSpan w:val="2"/>
          </w:tcPr>
          <w:p>
            <w:pPr>
              <w:spacing w:after="0" w:line="203" w:lineRule="exact"/>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UBLIC</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6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5140" w:type="dxa"/>
            <w:vAlign w:val="bottom"/>
            <w:gridSpan w:val="6"/>
            <w:vMerge w:val="restart"/>
          </w:tcPr>
          <w:p>
            <w:pPr>
              <w:spacing w:after="0"/>
              <w:rPr>
                <w:sz w:val="20"/>
                <w:szCs w:val="20"/>
                <w:color w:val="auto"/>
              </w:rPr>
            </w:pPr>
            <w:r>
              <w:rPr>
                <w:rFonts w:ascii="Arial" w:cs="Arial" w:eastAsia="Arial" w:hAnsi="Arial"/>
                <w:sz w:val="14"/>
                <w:szCs w:val="14"/>
                <w:color w:val="auto"/>
              </w:rPr>
              <w:t>– Current: Dave &amp; Buster’s Entertainment, Inc. (Jan. 2025 -present)</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640" w:type="dxa"/>
            <w:vAlign w:val="bottom"/>
            <w:vMerge w:val="restart"/>
          </w:tcPr>
          <w:p>
            <w:pPr>
              <w:ind w:left="40"/>
              <w:spacing w:after="0"/>
              <w:rPr>
                <w:sz w:val="20"/>
                <w:szCs w:val="20"/>
                <w:color w:val="auto"/>
              </w:rPr>
            </w:pPr>
            <w:r>
              <w:rPr>
                <w:rFonts w:ascii="Arial" w:cs="Arial" w:eastAsia="Arial" w:hAnsi="Arial"/>
                <w:sz w:val="14"/>
                <w:szCs w:val="14"/>
                <w:color w:val="auto"/>
              </w:rPr>
              <w:t>United Parks &amp; Resorts, Inc. (Nov. 2017-</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840" w:type="dxa"/>
            <w:vAlign w:val="bottom"/>
            <w:vMerge w:val="restart"/>
          </w:tcPr>
          <w:p>
            <w:pPr>
              <w:ind w:left="40"/>
              <w:spacing w:after="0"/>
              <w:rPr>
                <w:sz w:val="20"/>
                <w:szCs w:val="20"/>
                <w:color w:val="auto"/>
              </w:rPr>
            </w:pPr>
            <w:r>
              <w:rPr>
                <w:rFonts w:ascii="Arial" w:cs="Arial" w:eastAsia="Arial" w:hAnsi="Arial"/>
                <w:sz w:val="14"/>
                <w:szCs w:val="14"/>
                <w:color w:val="auto"/>
              </w:rPr>
              <w:t>The ONE Group Hospitality, Inc. (May 2024-</w:t>
            </w:r>
          </w:p>
        </w:tc>
        <w:tc>
          <w:tcPr>
            <w:tcW w:w="0" w:type="dxa"/>
            <w:vAlign w:val="bottom"/>
          </w:tcPr>
          <w:p>
            <w:pPr>
              <w:spacing w:after="0"/>
              <w:rPr>
                <w:sz w:val="1"/>
                <w:szCs w:val="1"/>
                <w:color w:val="auto"/>
              </w:rPr>
            </w:pPr>
          </w:p>
        </w:tc>
      </w:tr>
      <w:tr>
        <w:trPr>
          <w:trHeight w:val="179"/>
        </w:trPr>
        <w:tc>
          <w:tcPr>
            <w:tcW w:w="5140" w:type="dxa"/>
            <w:vAlign w:val="bottom"/>
            <w:gridSpan w:val="6"/>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40" w:type="dxa"/>
            <w:vAlign w:val="bottom"/>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ind w:left="40"/>
              <w:spacing w:after="0"/>
              <w:rPr>
                <w:sz w:val="20"/>
                <w:szCs w:val="20"/>
                <w:color w:val="auto"/>
              </w:rPr>
            </w:pPr>
            <w:r>
              <w:rPr>
                <w:rFonts w:ascii="Arial" w:cs="Arial" w:eastAsia="Arial" w:hAnsi="Arial"/>
                <w:sz w:val="14"/>
                <w:szCs w:val="14"/>
                <w:color w:val="auto"/>
              </w:rPr>
              <w:t>present)</w:t>
            </w:r>
          </w:p>
        </w:tc>
        <w:tc>
          <w:tcPr>
            <w:tcW w:w="20" w:type="dxa"/>
            <w:vAlign w:val="bottom"/>
            <w:tcBorders>
              <w:bottom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Pr>
          <w:p>
            <w:pPr>
              <w:ind w:left="40"/>
              <w:spacing w:after="0"/>
              <w:rPr>
                <w:sz w:val="20"/>
                <w:szCs w:val="20"/>
                <w:color w:val="auto"/>
              </w:rPr>
            </w:pPr>
            <w:r>
              <w:rPr>
                <w:rFonts w:ascii="Arial" w:cs="Arial" w:eastAsia="Arial" w:hAnsi="Arial"/>
                <w:sz w:val="14"/>
                <w:szCs w:val="14"/>
                <w:color w:val="auto"/>
              </w:rPr>
              <w:t>present)</w:t>
            </w:r>
          </w:p>
        </w:tc>
        <w:tc>
          <w:tcPr>
            <w:tcW w:w="0" w:type="dxa"/>
            <w:vAlign w:val="bottom"/>
          </w:tcPr>
          <w:p>
            <w:pPr>
              <w:spacing w:after="0"/>
              <w:rPr>
                <w:sz w:val="1"/>
                <w:szCs w:val="1"/>
                <w:color w:val="auto"/>
              </w:rPr>
            </w:pPr>
          </w:p>
        </w:tc>
      </w:tr>
      <w:tr>
        <w:trPr>
          <w:trHeight w:val="202"/>
        </w:trPr>
        <w:tc>
          <w:tcPr>
            <w:tcW w:w="2740" w:type="dxa"/>
            <w:vAlign w:val="bottom"/>
            <w:gridSpan w:val="4"/>
          </w:tcPr>
          <w:p>
            <w:pPr>
              <w:spacing w:after="0" w:line="201" w:lineRule="exact"/>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RIVATE</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1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color w:val="auto"/>
              </w:rPr>
              <w:t>– Prior: CEC Entertainment, Inc.</w:t>
            </w:r>
          </w:p>
        </w:tc>
        <w:tc>
          <w:tcPr>
            <w:tcW w:w="62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2380" w:type="dxa"/>
            <w:vAlign w:val="bottom"/>
            <w:vMerge w:val="restart"/>
          </w:tcPr>
          <w:p>
            <w:pPr>
              <w:ind w:left="20"/>
              <w:spacing w:after="0"/>
              <w:rPr>
                <w:sz w:val="20"/>
                <w:szCs w:val="20"/>
                <w:color w:val="auto"/>
              </w:rPr>
            </w:pPr>
            <w:r>
              <w:rPr>
                <w:rFonts w:ascii="Arial" w:cs="Arial" w:eastAsia="Arial" w:hAnsi="Arial"/>
                <w:sz w:val="14"/>
                <w:szCs w:val="14"/>
                <w:color w:val="auto"/>
              </w:rPr>
              <w:t>– Great Wolf Resorts, Inc.</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640" w:type="dxa"/>
            <w:vAlign w:val="bottom"/>
            <w:vMerge w:val="restart"/>
          </w:tcPr>
          <w:p>
            <w:pPr>
              <w:ind w:left="40"/>
              <w:spacing w:after="0"/>
              <w:rPr>
                <w:sz w:val="20"/>
                <w:szCs w:val="20"/>
                <w:color w:val="auto"/>
              </w:rPr>
            </w:pPr>
            <w:r>
              <w:rPr>
                <w:rFonts w:ascii="Arial" w:cs="Arial" w:eastAsia="Arial" w:hAnsi="Arial"/>
                <w:sz w:val="14"/>
                <w:szCs w:val="14"/>
                <w:color w:val="auto"/>
              </w:rPr>
              <w:t>EVERTEC, Inc.</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840" w:type="dxa"/>
            <w:vAlign w:val="bottom"/>
            <w:vMerge w:val="restart"/>
          </w:tcPr>
          <w:p>
            <w:pPr>
              <w:ind w:left="40"/>
              <w:spacing w:after="0"/>
              <w:rPr>
                <w:sz w:val="20"/>
                <w:szCs w:val="20"/>
                <w:color w:val="auto"/>
              </w:rPr>
            </w:pPr>
            <w:r>
              <w:rPr>
                <w:rFonts w:ascii="Arial" w:cs="Arial" w:eastAsia="Arial" w:hAnsi="Arial"/>
                <w:sz w:val="14"/>
                <w:szCs w:val="14"/>
                <w:color w:val="auto"/>
              </w:rPr>
              <w:t>Diamond Eagle Acquisition Corp.</w:t>
            </w:r>
          </w:p>
        </w:tc>
        <w:tc>
          <w:tcPr>
            <w:tcW w:w="0" w:type="dxa"/>
            <w:vAlign w:val="bottom"/>
          </w:tcPr>
          <w:p>
            <w:pPr>
              <w:spacing w:after="0"/>
              <w:rPr>
                <w:sz w:val="1"/>
                <w:szCs w:val="1"/>
                <w:color w:val="auto"/>
              </w:rPr>
            </w:pPr>
          </w:p>
        </w:tc>
      </w:tr>
      <w:tr>
        <w:trPr>
          <w:trHeight w:val="208"/>
        </w:trPr>
        <w:tc>
          <w:tcPr>
            <w:tcW w:w="2120" w:type="dxa"/>
            <w:vAlign w:val="bottom"/>
            <w:gridSpan w:val="3"/>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2380" w:type="dxa"/>
            <w:vAlign w:val="bottom"/>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vMerge w:val="continue"/>
          </w:tcPr>
          <w:p>
            <w:pPr>
              <w:spacing w:after="0"/>
              <w:rPr>
                <w:sz w:val="18"/>
                <w:szCs w:val="18"/>
                <w:color w:val="auto"/>
              </w:rPr>
            </w:pPr>
          </w:p>
        </w:tc>
        <w:tc>
          <w:tcPr>
            <w:tcW w:w="2640" w:type="dxa"/>
            <w:vAlign w:val="bottom"/>
            <w:vMerge w:val="continue"/>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4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40" w:type="dxa"/>
            <w:vAlign w:val="bottom"/>
            <w:gridSpan w:val="4"/>
          </w:tcPr>
          <w:p>
            <w:pPr>
              <w:spacing w:after="0" w:line="201" w:lineRule="exact"/>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B.A. Economics, Georgetown University (magna cum laude)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372745</wp:posOffset>
            </wp:positionV>
            <wp:extent cx="71329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4C4C4C"/>
              </w:rPr>
              <w:t>8</w:t>
            </w:r>
          </w:p>
        </w:tc>
      </w:tr>
      <w:tr>
        <w:trPr>
          <w:trHeight w:val="210"/>
        </w:trPr>
        <w:tc>
          <w:tcPr>
            <w:tcW w:w="7100" w:type="dxa"/>
            <w:vAlign w:val="bottom"/>
            <w:tcBorders>
              <w:bottom w:val="single" w:sz="8" w:color="9A9A9A"/>
            </w:tcBorders>
          </w:tcPr>
          <w:p>
            <w:pPr>
              <w:spacing w:after="0"/>
              <w:rPr>
                <w:sz w:val="18"/>
                <w:szCs w:val="18"/>
                <w:color w:val="auto"/>
              </w:rPr>
            </w:pPr>
          </w:p>
        </w:tc>
        <w:tc>
          <w:tcPr>
            <w:tcW w:w="41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4" w:name="page15"/>
    <w:bookmarkEnd w:id="14"/>
    <w:p>
      <w:pPr>
        <w:ind w:left="12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207645</wp:posOffset>
            </wp:positionH>
            <wp:positionV relativeFrom="page">
              <wp:posOffset>754380</wp:posOffset>
            </wp:positionV>
            <wp:extent cx="7141210" cy="5136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5136515"/>
                    </a:xfrm>
                    <a:prstGeom prst="rect">
                      <a:avLst/>
                    </a:prstGeom>
                    <a:noFill/>
                  </pic:spPr>
                </pic:pic>
              </a:graphicData>
            </a:graphic>
          </wp:anchor>
        </w:drawing>
        <w:t>Kevin M. Sheehan</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2011</w:t>
            </w:r>
          </w:p>
        </w:tc>
        <w:tc>
          <w:tcPr>
            <w:tcW w:w="3560" w:type="dxa"/>
            <w:vAlign w:val="bottom"/>
          </w:tcPr>
          <w:p>
            <w:pPr>
              <w:ind w:left="2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72</w:t>
            </w:r>
          </w:p>
        </w:tc>
      </w:tr>
      <w:tr>
        <w:trPr>
          <w:trHeight w:val="238"/>
        </w:trPr>
        <w:tc>
          <w:tcPr>
            <w:tcW w:w="5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Finance</w:t>
            </w:r>
          </w:p>
        </w:tc>
        <w:tc>
          <w:tcPr>
            <w:tcW w:w="3560" w:type="dxa"/>
            <w:vAlign w:val="bottom"/>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TATUS</w:t>
            </w:r>
            <w:r>
              <w:rPr>
                <w:rFonts w:ascii="Arial" w:cs="Arial" w:eastAsia="Arial" w:hAnsi="Arial"/>
                <w:sz w:val="18"/>
                <w:szCs w:val="18"/>
                <w:color w:val="auto"/>
              </w:rPr>
              <w:t>: I</w:t>
            </w:r>
            <w:r>
              <w:rPr>
                <w:rFonts w:ascii="Arial" w:cs="Arial" w:eastAsia="Arial" w:hAnsi="Arial"/>
                <w:sz w:val="14"/>
                <w:szCs w:val="14"/>
                <w:color w:val="auto"/>
              </w:rPr>
              <w:t>NDEPENDENT</w:t>
            </w:r>
            <w:r>
              <w:rPr>
                <w:rFonts w:ascii="Arial" w:cs="Arial" w:eastAsia="Arial" w:hAnsi="Arial"/>
                <w:sz w:val="18"/>
                <w:szCs w:val="18"/>
                <w:color w:val="auto"/>
              </w:rPr>
              <w:t xml:space="preserve"> — C</w:t>
            </w:r>
            <w:r>
              <w:rPr>
                <w:rFonts w:ascii="Arial" w:cs="Arial" w:eastAsia="Arial" w:hAnsi="Arial"/>
                <w:sz w:val="13"/>
                <w:szCs w:val="13"/>
                <w:color w:val="auto"/>
              </w:rPr>
              <w:t>HAIRMAN</w:t>
            </w:r>
          </w:p>
        </w:tc>
      </w:tr>
      <w:tr>
        <w:trPr>
          <w:trHeight w:val="23"/>
        </w:trPr>
        <w:tc>
          <w:tcPr>
            <w:tcW w:w="5600" w:type="dxa"/>
            <w:vAlign w:val="bottom"/>
            <w:tcBorders>
              <w:right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w:t>
      </w:r>
      <w:r>
        <w:rPr>
          <w:rFonts w:ascii="Arial" w:cs="Arial" w:eastAsia="Arial" w:hAnsi="Arial"/>
          <w:sz w:val="14"/>
          <w:szCs w:val="14"/>
          <w:u w:val="single" w:color="auto"/>
          <w:color w:val="auto"/>
        </w:rPr>
        <w:t>URRENT</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OSITIONS</w:t>
      </w:r>
      <w:r>
        <w:rPr>
          <w:rFonts w:ascii="Arial" w:cs="Arial" w:eastAsia="Arial" w:hAnsi="Arial"/>
          <w:sz w:val="18"/>
          <w:szCs w:val="18"/>
          <w:u w:val="single" w:color="auto"/>
          <w:color w:val="auto"/>
        </w:rPr>
        <w:t>:</w:t>
      </w:r>
    </w:p>
    <w:p>
      <w:pPr>
        <w:spacing w:after="0" w:line="71" w:lineRule="exact"/>
        <w:rPr>
          <w:sz w:val="20"/>
          <w:szCs w:val="20"/>
          <w:color w:val="auto"/>
        </w:rPr>
      </w:pPr>
    </w:p>
    <w:p>
      <w:pPr>
        <w:ind w:left="200" w:right="320" w:hanging="161"/>
        <w:spacing w:after="0" w:line="270" w:lineRule="auto"/>
        <w:rPr>
          <w:sz w:val="20"/>
          <w:szCs w:val="20"/>
          <w:color w:val="auto"/>
        </w:rPr>
      </w:pPr>
      <w:r>
        <w:rPr>
          <w:rFonts w:ascii="Arial" w:cs="Arial" w:eastAsia="Arial" w:hAnsi="Arial"/>
          <w:sz w:val="14"/>
          <w:szCs w:val="14"/>
          <w:color w:val="auto"/>
        </w:rPr>
        <w:t xml:space="preserve">– Chair of the Board of </w:t>
      </w:r>
      <w:r>
        <w:rPr>
          <w:rFonts w:ascii="Arial" w:cs="Arial" w:eastAsia="Arial" w:hAnsi="Arial"/>
          <w:sz w:val="14"/>
          <w:szCs w:val="14"/>
          <w:i w:val="1"/>
          <w:iCs w:val="1"/>
          <w:color w:val="auto"/>
        </w:rPr>
        <w:t>Dave &amp; Buster’s Entertainment, Inc</w:t>
      </w:r>
      <w:r>
        <w:rPr>
          <w:rFonts w:ascii="Arial" w:cs="Arial" w:eastAsia="Arial" w:hAnsi="Arial"/>
          <w:sz w:val="14"/>
          <w:szCs w:val="14"/>
          <w:color w:val="auto"/>
        </w:rPr>
        <w:t>. since April 2021 (and also served as Interim CEO from October 2021 to June 2022 and from December 2024 to July 2025).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Leadership, Strategy, Board Governance, Finance, Operations, Food &amp; Beverage,</w:t>
      </w:r>
    </w:p>
    <w:p>
      <w:pPr>
        <w:jc w:val="center"/>
        <w:ind w:right="-19"/>
        <w:spacing w:after="0"/>
        <w:rPr>
          <w:sz w:val="20"/>
          <w:szCs w:val="20"/>
          <w:color w:val="auto"/>
        </w:rPr>
      </w:pPr>
      <w:r>
        <w:rPr>
          <w:rFonts w:ascii="Arial" w:cs="Arial" w:eastAsia="Arial" w:hAnsi="Arial"/>
          <w:sz w:val="14"/>
          <w:szCs w:val="14"/>
          <w:b w:val="1"/>
          <w:bCs w:val="1"/>
          <w:color w:val="auto"/>
        </w:rPr>
        <w:t>Amusements/Gaming, Marketing, Consumer Insights, Global</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Chair and Principal Owner of</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Mellon Stud Ventures,</w:t>
      </w:r>
      <w:r>
        <w:rPr>
          <w:rFonts w:ascii="Arial" w:cs="Arial" w:eastAsia="Arial" w:hAnsi="Arial"/>
          <w:sz w:val="14"/>
          <w:szCs w:val="14"/>
          <w:b w:val="1"/>
          <w:bCs w:val="1"/>
          <w:color w:val="auto"/>
        </w:rPr>
        <w:t xml:space="preserve"> </w:t>
      </w:r>
      <w:r>
        <w:rPr>
          <w:rFonts w:ascii="Arial" w:cs="Arial" w:eastAsia="Arial" w:hAnsi="Arial"/>
          <w:sz w:val="14"/>
          <w:szCs w:val="14"/>
          <w:color w:val="auto"/>
        </w:rPr>
        <w:t>a family investment company with wide range of businesses since 2016.</w:t>
      </w:r>
    </w:p>
    <w:p>
      <w:pPr>
        <w:spacing w:after="0" w:line="14" w:lineRule="exact"/>
        <w:rPr>
          <w:sz w:val="20"/>
          <w:szCs w:val="20"/>
          <w:color w:val="auto"/>
        </w:rPr>
      </w:pPr>
    </w:p>
    <w:p>
      <w:pPr>
        <w:ind w:left="40" w:right="2120" w:firstLine="2274"/>
        <w:spacing w:after="0" w:line="325" w:lineRule="auto"/>
        <w:rPr>
          <w:sz w:val="20"/>
          <w:szCs w:val="20"/>
          <w:color w:val="auto"/>
        </w:rPr>
      </w:pPr>
      <w:r>
        <w:rPr>
          <w:rFonts w:ascii="Arial" w:cs="Arial" w:eastAsia="Arial" w:hAnsi="Arial"/>
          <w:sz w:val="14"/>
          <w:szCs w:val="14"/>
          <w:b w:val="1"/>
          <w:bCs w:val="1"/>
          <w:color w:val="auto"/>
        </w:rPr>
        <w:t xml:space="preserve">Leadership, Strategy, Board Governance, Finance, International, Investments, Hospitality, Marketing </w:t>
      </w:r>
      <w:r>
        <w:rPr>
          <w:rFonts w:ascii="Arial" w:cs="Arial" w:eastAsia="Arial" w:hAnsi="Arial"/>
          <w:sz w:val="17"/>
          <w:szCs w:val="17"/>
          <w:u w:val="single" w:color="auto"/>
          <w:color w:val="auto"/>
        </w:rPr>
        <w:t>P</w:t>
      </w:r>
      <w:r>
        <w:rPr>
          <w:rFonts w:ascii="Arial" w:cs="Arial" w:eastAsia="Arial" w:hAnsi="Arial"/>
          <w:sz w:val="14"/>
          <w:szCs w:val="14"/>
          <w:u w:val="single" w:color="auto"/>
          <w:color w:val="auto"/>
        </w:rPr>
        <w:t>RIOR</w:t>
      </w:r>
      <w:r>
        <w:rPr>
          <w:rFonts w:ascii="Arial" w:cs="Arial" w:eastAsia="Arial" w:hAnsi="Arial"/>
          <w:sz w:val="17"/>
          <w:szCs w:val="17"/>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7"/>
          <w:szCs w:val="17"/>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7"/>
          <w:szCs w:val="17"/>
          <w:u w:val="single" w:color="auto"/>
          <w:color w:val="auto"/>
        </w:rPr>
        <w:t>:</w:t>
      </w: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Margaritaville at Sea,</w:t>
      </w:r>
      <w:r>
        <w:rPr>
          <w:rFonts w:ascii="Arial" w:cs="Arial" w:eastAsia="Arial" w:hAnsi="Arial"/>
          <w:sz w:val="14"/>
          <w:szCs w:val="14"/>
          <w:color w:val="auto"/>
        </w:rPr>
        <w:t xml:space="preserve"> a cruise line owned by Mellon Stud Ventures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Chair and Principal Owner (2016-Oct. 2023)</w:t>
      </w:r>
    </w:p>
    <w:p>
      <w:pPr>
        <w:spacing w:after="0" w:line="14"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Leadership, Strategy, Board Governance, Hospitality, Finance, International, Consumer Insights, Marketing</w:t>
      </w:r>
    </w:p>
    <w:p>
      <w:pPr>
        <w:ind w:left="40"/>
        <w:spacing w:after="0"/>
        <w:rPr>
          <w:sz w:val="20"/>
          <w:szCs w:val="20"/>
          <w:color w:val="auto"/>
        </w:rPr>
      </w:pPr>
      <w:r>
        <w:rPr>
          <w:rFonts w:ascii="Arial" w:cs="Arial" w:eastAsia="Arial" w:hAnsi="Arial"/>
          <w:sz w:val="14"/>
          <w:szCs w:val="14"/>
          <w:i w:val="1"/>
          <w:iCs w:val="1"/>
          <w:color w:val="003B71"/>
        </w:rPr>
        <w:t xml:space="preserve">– </w:t>
      </w:r>
      <w:r>
        <w:rPr>
          <w:rFonts w:ascii="Arial" w:cs="Arial" w:eastAsia="Arial" w:hAnsi="Arial"/>
          <w:sz w:val="14"/>
          <w:szCs w:val="14"/>
          <w:i w:val="1"/>
          <w:iCs w:val="1"/>
          <w:color w:val="000000"/>
        </w:rPr>
        <w:t>Scientific Games Corporation</w:t>
      </w:r>
      <w:r>
        <w:rPr>
          <w:rFonts w:ascii="Arial" w:cs="Arial" w:eastAsia="Arial" w:hAnsi="Arial"/>
          <w:sz w:val="14"/>
          <w:szCs w:val="14"/>
          <w:color w:val="000000"/>
        </w:rPr>
        <w:t>, a global leader in the gaming and lottery industries</w:t>
      </w:r>
    </w:p>
    <w:p>
      <w:pPr>
        <w:spacing w:after="0" w:line="13" w:lineRule="exact"/>
        <w:rPr>
          <w:sz w:val="20"/>
          <w:szCs w:val="20"/>
          <w:color w:val="auto"/>
        </w:rPr>
      </w:pPr>
    </w:p>
    <w:p>
      <w:pPr>
        <w:ind w:left="360" w:hanging="160"/>
        <w:spacing w:after="0"/>
        <w:tabs>
          <w:tab w:leader="none" w:pos="360" w:val="left"/>
        </w:tabs>
        <w:numPr>
          <w:ilvl w:val="1"/>
          <w:numId w:val="36"/>
        </w:numPr>
        <w:rPr>
          <w:rFonts w:ascii="Arial" w:cs="Arial" w:eastAsia="Arial" w:hAnsi="Arial"/>
          <w:sz w:val="14"/>
          <w:szCs w:val="14"/>
          <w:color w:val="003B71"/>
        </w:rPr>
      </w:pPr>
      <w:r>
        <w:rPr>
          <w:rFonts w:ascii="Arial" w:cs="Arial" w:eastAsia="Arial" w:hAnsi="Arial"/>
          <w:sz w:val="14"/>
          <w:szCs w:val="14"/>
          <w:color w:val="auto"/>
        </w:rPr>
        <w:t>Director (Sep. 2018-Oct. 2018)</w:t>
      </w:r>
    </w:p>
    <w:p>
      <w:pPr>
        <w:spacing w:after="0" w:line="13" w:lineRule="exact"/>
        <w:rPr>
          <w:rFonts w:ascii="Arial" w:cs="Arial" w:eastAsia="Arial" w:hAnsi="Arial"/>
          <w:sz w:val="14"/>
          <w:szCs w:val="14"/>
          <w:color w:val="003B71"/>
        </w:rPr>
      </w:pPr>
    </w:p>
    <w:p>
      <w:pPr>
        <w:ind w:left="360" w:hanging="160"/>
        <w:spacing w:after="0"/>
        <w:tabs>
          <w:tab w:leader="none" w:pos="3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Senior Advisor (Jun. 2018-Sep. 2018)</w:t>
      </w:r>
    </w:p>
    <w:p>
      <w:pPr>
        <w:spacing w:after="0" w:line="13" w:lineRule="exact"/>
        <w:rPr>
          <w:rFonts w:ascii="Arial" w:cs="Arial" w:eastAsia="Arial" w:hAnsi="Arial"/>
          <w:sz w:val="14"/>
          <w:szCs w:val="14"/>
          <w:color w:val="auto"/>
        </w:rPr>
      </w:pPr>
    </w:p>
    <w:p>
      <w:pPr>
        <w:ind w:left="360" w:hanging="160"/>
        <w:spacing w:after="0"/>
        <w:tabs>
          <w:tab w:leader="none" w:pos="360" w:val="left"/>
        </w:tabs>
        <w:numPr>
          <w:ilvl w:val="1"/>
          <w:numId w:val="36"/>
        </w:numPr>
        <w:rPr>
          <w:rFonts w:ascii="Arial" w:cs="Arial" w:eastAsia="Arial" w:hAnsi="Arial"/>
          <w:sz w:val="14"/>
          <w:szCs w:val="14"/>
          <w:color w:val="003B71"/>
        </w:rPr>
      </w:pPr>
      <w:r>
        <w:rPr>
          <w:rFonts w:ascii="Arial" w:cs="Arial" w:eastAsia="Arial" w:hAnsi="Arial"/>
          <w:sz w:val="14"/>
          <w:szCs w:val="14"/>
          <w:color w:val="auto"/>
        </w:rPr>
        <w:t>President and Chief Executive Officer (Aug. 2016-Jun. 2018)</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Robert B. Willumstad School of Business, Adelphi University</w:t>
      </w:r>
      <w:r>
        <w:rPr>
          <w:rFonts w:ascii="Arial" w:cs="Arial" w:eastAsia="Arial" w:hAnsi="Arial"/>
          <w:sz w:val="14"/>
          <w:szCs w:val="14"/>
          <w:color w:val="auto"/>
        </w:rPr>
        <w:t>, a New York metropolitan area business school</w:t>
      </w:r>
    </w:p>
    <w:p>
      <w:pPr>
        <w:spacing w:after="0" w:line="27" w:lineRule="exact"/>
        <w:rPr>
          <w:sz w:val="20"/>
          <w:szCs w:val="20"/>
          <w:color w:val="auto"/>
        </w:rPr>
      </w:pPr>
    </w:p>
    <w:p>
      <w:pPr>
        <w:ind w:left="360" w:hanging="160"/>
        <w:spacing w:after="0"/>
        <w:tabs>
          <w:tab w:leader="none" w:pos="360" w:val="left"/>
        </w:tabs>
        <w:numPr>
          <w:ilvl w:val="1"/>
          <w:numId w:val="37"/>
        </w:numPr>
        <w:rPr>
          <w:rFonts w:ascii="Arial" w:cs="Arial" w:eastAsia="Arial" w:hAnsi="Arial"/>
          <w:sz w:val="14"/>
          <w:szCs w:val="14"/>
          <w:color w:val="003B71"/>
        </w:rPr>
      </w:pPr>
      <w:r>
        <w:rPr>
          <w:rFonts w:ascii="Arial" w:cs="Arial" w:eastAsia="Arial" w:hAnsi="Arial"/>
          <w:sz w:val="14"/>
          <w:szCs w:val="14"/>
          <w:color w:val="auto"/>
        </w:rPr>
        <w:t>John J. Phelan, Jr. Distinguished Visiting Professor of Business (February 2015-June 2016)</w:t>
      </w:r>
    </w:p>
    <w:p>
      <w:pPr>
        <w:spacing w:after="0" w:line="13" w:lineRule="exact"/>
        <w:rPr>
          <w:rFonts w:ascii="Arial" w:cs="Arial" w:eastAsia="Arial" w:hAnsi="Arial"/>
          <w:sz w:val="14"/>
          <w:szCs w:val="14"/>
          <w:color w:val="003B71"/>
        </w:rPr>
      </w:pPr>
    </w:p>
    <w:p>
      <w:pPr>
        <w:ind w:left="360" w:hanging="160"/>
        <w:spacing w:after="0"/>
        <w:tabs>
          <w:tab w:leader="none" w:pos="360" w:val="left"/>
        </w:tabs>
        <w:numPr>
          <w:ilvl w:val="1"/>
          <w:numId w:val="37"/>
        </w:numPr>
        <w:rPr>
          <w:rFonts w:ascii="Arial" w:cs="Arial" w:eastAsia="Arial" w:hAnsi="Arial"/>
          <w:sz w:val="14"/>
          <w:szCs w:val="14"/>
          <w:color w:val="003B71"/>
        </w:rPr>
      </w:pPr>
      <w:r>
        <w:rPr>
          <w:rFonts w:ascii="Arial" w:cs="Arial" w:eastAsia="Arial" w:hAnsi="Arial"/>
          <w:sz w:val="14"/>
          <w:szCs w:val="14"/>
          <w:color w:val="auto"/>
        </w:rPr>
        <w:t>Distinguished Visiting Professor-Accounting, Finance and Economics (2005-2008)</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Strategy, Finance, Accounting</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NCL Corporation, Ltd</w:t>
      </w:r>
      <w:r>
        <w:rPr>
          <w:rFonts w:ascii="Arial" w:cs="Arial" w:eastAsia="Arial" w:hAnsi="Arial"/>
          <w:sz w:val="14"/>
          <w:szCs w:val="14"/>
          <w:color w:val="auto"/>
        </w:rPr>
        <w:t>, a leading global cruise line operator:</w:t>
      </w:r>
    </w:p>
    <w:p>
      <w:pPr>
        <w:ind w:left="360" w:hanging="160"/>
        <w:spacing w:after="0"/>
        <w:tabs>
          <w:tab w:leader="none" w:pos="360" w:val="left"/>
        </w:tabs>
        <w:numPr>
          <w:ilvl w:val="1"/>
          <w:numId w:val="38"/>
        </w:numPr>
        <w:rPr>
          <w:rFonts w:ascii="Arial" w:cs="Arial" w:eastAsia="Arial" w:hAnsi="Arial"/>
          <w:sz w:val="14"/>
          <w:szCs w:val="14"/>
          <w:color w:val="003B71"/>
        </w:rPr>
      </w:pPr>
      <w:r>
        <w:rPr>
          <w:rFonts w:ascii="Arial" w:cs="Arial" w:eastAsia="Arial" w:hAnsi="Arial"/>
          <w:sz w:val="14"/>
          <w:szCs w:val="14"/>
          <w:color w:val="auto"/>
        </w:rPr>
        <w:t>Chief Executive Officer (November 2008-January 2015)</w:t>
      </w:r>
    </w:p>
    <w:p>
      <w:pPr>
        <w:spacing w:after="0" w:line="13" w:lineRule="exact"/>
        <w:rPr>
          <w:rFonts w:ascii="Arial" w:cs="Arial" w:eastAsia="Arial" w:hAnsi="Arial"/>
          <w:sz w:val="14"/>
          <w:szCs w:val="14"/>
          <w:color w:val="003B71"/>
        </w:rPr>
      </w:pPr>
    </w:p>
    <w:p>
      <w:pPr>
        <w:ind w:left="360" w:hanging="160"/>
        <w:spacing w:after="0"/>
        <w:tabs>
          <w:tab w:leader="none" w:pos="360" w:val="left"/>
        </w:tabs>
        <w:numPr>
          <w:ilvl w:val="1"/>
          <w:numId w:val="38"/>
        </w:numPr>
        <w:rPr>
          <w:rFonts w:ascii="Arial" w:cs="Arial" w:eastAsia="Arial" w:hAnsi="Arial"/>
          <w:sz w:val="14"/>
          <w:szCs w:val="14"/>
          <w:color w:val="003B71"/>
        </w:rPr>
      </w:pPr>
      <w:r>
        <w:rPr>
          <w:rFonts w:ascii="Arial" w:cs="Arial" w:eastAsia="Arial" w:hAnsi="Arial"/>
          <w:sz w:val="14"/>
          <w:szCs w:val="14"/>
          <w:color w:val="auto"/>
        </w:rPr>
        <w:t>President (August 2010-January 2015; August 2008-March 2009)</w:t>
      </w:r>
    </w:p>
    <w:p>
      <w:pPr>
        <w:spacing w:after="0" w:line="13" w:lineRule="exact"/>
        <w:rPr>
          <w:rFonts w:ascii="Arial" w:cs="Arial" w:eastAsia="Arial" w:hAnsi="Arial"/>
          <w:sz w:val="14"/>
          <w:szCs w:val="14"/>
          <w:color w:val="003B71"/>
        </w:rPr>
      </w:pPr>
    </w:p>
    <w:p>
      <w:pPr>
        <w:ind w:left="360" w:hanging="160"/>
        <w:spacing w:after="0"/>
        <w:tabs>
          <w:tab w:leader="none" w:pos="360" w:val="left"/>
        </w:tabs>
        <w:numPr>
          <w:ilvl w:val="1"/>
          <w:numId w:val="38"/>
        </w:numPr>
        <w:rPr>
          <w:rFonts w:ascii="Arial" w:cs="Arial" w:eastAsia="Arial" w:hAnsi="Arial"/>
          <w:sz w:val="14"/>
          <w:szCs w:val="14"/>
          <w:color w:val="003B71"/>
        </w:rPr>
      </w:pPr>
      <w:r>
        <w:rPr>
          <w:rFonts w:ascii="Arial" w:cs="Arial" w:eastAsia="Arial" w:hAnsi="Arial"/>
          <w:sz w:val="14"/>
          <w:szCs w:val="14"/>
          <w:color w:val="auto"/>
        </w:rPr>
        <w:t>Chief Financial Officer (2007-2010)</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Cerberus Capital Management LP</w:t>
      </w:r>
      <w:r>
        <w:rPr>
          <w:rFonts w:ascii="Arial" w:cs="Arial" w:eastAsia="Arial" w:hAnsi="Arial"/>
          <w:sz w:val="14"/>
          <w:szCs w:val="14"/>
          <w:color w:val="auto"/>
        </w:rPr>
        <w:t xml:space="preserve"> (2006-2007), a global leader in private equity investments: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4"/>
          <w:szCs w:val="14"/>
          <w:color w:val="003B71"/>
        </w:rPr>
        <w:t xml:space="preserve">•  </w:t>
      </w:r>
      <w:r>
        <w:rPr>
          <w:rFonts w:ascii="Arial" w:cs="Arial" w:eastAsia="Arial" w:hAnsi="Arial"/>
          <w:sz w:val="14"/>
          <w:szCs w:val="14"/>
          <w:color w:val="000000"/>
        </w:rPr>
        <w:t>Consultant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Finance, Private Equity, Strategic</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Clayton Dubilier &amp; Rice</w:t>
      </w:r>
      <w:r>
        <w:rPr>
          <w:rFonts w:ascii="Arial" w:cs="Arial" w:eastAsia="Arial" w:hAnsi="Arial"/>
          <w:sz w:val="14"/>
          <w:szCs w:val="14"/>
          <w:color w:val="auto"/>
        </w:rPr>
        <w:t xml:space="preserve"> (2005-2006), one of the oldest private equity investment firms in the world: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003B71"/>
        </w:rPr>
        <w:t xml:space="preserve">•  </w:t>
      </w:r>
      <w:r>
        <w:rPr>
          <w:rFonts w:ascii="Arial" w:cs="Arial" w:eastAsia="Arial" w:hAnsi="Arial"/>
          <w:sz w:val="14"/>
          <w:szCs w:val="14"/>
          <w:color w:val="000000"/>
        </w:rPr>
        <w:t>Consultant</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14"/>
          <w:szCs w:val="14"/>
          <w:b w:val="1"/>
          <w:bCs w:val="1"/>
          <w:color w:val="auto"/>
        </w:rPr>
        <w:t>Finance, Private Equity, Strategic</w:t>
      </w: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Cendant Corporation</w:t>
      </w:r>
      <w:r>
        <w:rPr>
          <w:rFonts w:ascii="Arial" w:cs="Arial" w:eastAsia="Arial" w:hAnsi="Arial"/>
          <w:sz w:val="14"/>
          <w:szCs w:val="14"/>
          <w:color w:val="auto"/>
        </w:rPr>
        <w:t>, a global business and consumer services provider:</w:t>
      </w:r>
    </w:p>
    <w:p>
      <w:pPr>
        <w:spacing w:after="0" w:line="14" w:lineRule="exact"/>
        <w:rPr>
          <w:sz w:val="20"/>
          <w:szCs w:val="20"/>
          <w:color w:val="auto"/>
        </w:rPr>
      </w:pPr>
    </w:p>
    <w:p>
      <w:pPr>
        <w:ind w:left="360" w:right="40" w:hanging="160"/>
        <w:spacing w:after="0" w:line="260" w:lineRule="auto"/>
        <w:tabs>
          <w:tab w:leader="none" w:pos="356" w:val="left"/>
        </w:tabs>
        <w:numPr>
          <w:ilvl w:val="0"/>
          <w:numId w:val="41"/>
        </w:numPr>
        <w:rPr>
          <w:rFonts w:ascii="Arial" w:cs="Arial" w:eastAsia="Arial" w:hAnsi="Arial"/>
          <w:sz w:val="14"/>
          <w:szCs w:val="14"/>
          <w:color w:val="003B71"/>
        </w:rPr>
      </w:pPr>
      <w:r>
        <w:rPr>
          <w:rFonts w:ascii="Arial" w:cs="Arial" w:eastAsia="Arial" w:hAnsi="Arial"/>
          <w:sz w:val="14"/>
          <w:szCs w:val="14"/>
          <w:color w:val="auto"/>
        </w:rPr>
        <w:t>Various executive roles, including, Chair and Chief Executive Officer of the Vehicle Services Division (including global responsibility for Avis Rent A Car, Budget Rent A Car, Budget Truck, PHH Fleet Management and Wright Express) (1996-2005)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Leadership, Strategy, Finance, International, Consumer Insights, Marketing</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UBLIC</w:t>
      </w:r>
      <w:r>
        <w:rPr>
          <w:rFonts w:ascii="Arial" w:cs="Arial" w:eastAsia="Arial" w:hAnsi="Arial"/>
          <w:sz w:val="18"/>
          <w:szCs w:val="18"/>
          <w:u w:val="single" w:color="auto"/>
          <w:color w:val="auto"/>
        </w:rPr>
        <w:t xml:space="preserve"> C</w:t>
      </w:r>
      <w:r>
        <w:rPr>
          <w:rFonts w:ascii="Arial" w:cs="Arial" w:eastAsia="Arial" w:hAnsi="Arial"/>
          <w:sz w:val="14"/>
          <w:szCs w:val="14"/>
          <w:u w:val="single" w:color="auto"/>
          <w:color w:val="auto"/>
        </w:rPr>
        <w:t>OMPANY</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OARDS</w:t>
      </w:r>
      <w:r>
        <w:rPr>
          <w:rFonts w:ascii="Arial" w:cs="Arial" w:eastAsia="Arial" w:hAnsi="Arial"/>
          <w:sz w:val="18"/>
          <w:szCs w:val="18"/>
          <w:u w:val="single" w:color="auto"/>
          <w:color w:val="auto"/>
        </w:rPr>
        <w:t>:</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4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Dave &amp; Buster’s Entertainment, Inc., Director (Oct. 2011-present), Chairman (Apr.</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240" w:type="dxa"/>
            <w:vAlign w:val="bottom"/>
          </w:tcPr>
          <w:p>
            <w:pPr>
              <w:ind w:left="40"/>
              <w:spacing w:after="0"/>
              <w:rPr>
                <w:sz w:val="20"/>
                <w:szCs w:val="20"/>
                <w:color w:val="auto"/>
              </w:rPr>
            </w:pPr>
            <w:r>
              <w:rPr>
                <w:rFonts w:ascii="Arial" w:cs="Arial" w:eastAsia="Arial" w:hAnsi="Arial"/>
                <w:sz w:val="14"/>
                <w:szCs w:val="14"/>
                <w:color w:val="auto"/>
              </w:rPr>
              <w:t>USA TODAY Co., Inc. (f/k/a Gannett Co., Inc.), Director (Nov. 2013-present), Lead</w:t>
            </w:r>
          </w:p>
        </w:tc>
      </w:tr>
      <w:tr>
        <w:trPr>
          <w:trHeight w:val="190"/>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2021-present)</w:t>
            </w:r>
          </w:p>
        </w:tc>
        <w:tc>
          <w:tcPr>
            <w:tcW w:w="140" w:type="dxa"/>
            <w:vAlign w:val="bottom"/>
          </w:tcPr>
          <w:p>
            <w:pPr>
              <w:spacing w:after="0"/>
              <w:rPr>
                <w:sz w:val="16"/>
                <w:szCs w:val="16"/>
                <w:color w:val="auto"/>
              </w:rPr>
            </w:pPr>
          </w:p>
        </w:tc>
        <w:tc>
          <w:tcPr>
            <w:tcW w:w="5240" w:type="dxa"/>
            <w:vAlign w:val="bottom"/>
          </w:tcPr>
          <w:p>
            <w:pPr>
              <w:ind w:left="40"/>
              <w:spacing w:after="0"/>
              <w:rPr>
                <w:sz w:val="20"/>
                <w:szCs w:val="20"/>
                <w:color w:val="auto"/>
              </w:rPr>
            </w:pPr>
            <w:r>
              <w:rPr>
                <w:rFonts w:ascii="Arial" w:cs="Arial" w:eastAsia="Arial" w:hAnsi="Arial"/>
                <w:sz w:val="14"/>
                <w:szCs w:val="14"/>
                <w:color w:val="auto"/>
              </w:rPr>
              <w:t>Director (May 2019-present)</w:t>
            </w:r>
          </w:p>
        </w:tc>
      </w:tr>
      <w:tr>
        <w:trPr>
          <w:trHeight w:val="250"/>
        </w:trPr>
        <w:tc>
          <w:tcPr>
            <w:tcW w:w="4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4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color w:val="auto"/>
              </w:rPr>
              <w:t> Navistar International Corporation (2018-2021)</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240" w:type="dxa"/>
            <w:vAlign w:val="bottom"/>
          </w:tcPr>
          <w:p>
            <w:pPr>
              <w:ind w:left="40"/>
              <w:spacing w:after="0"/>
              <w:rPr>
                <w:sz w:val="20"/>
                <w:szCs w:val="20"/>
                <w:color w:val="auto"/>
              </w:rPr>
            </w:pPr>
            <w:r>
              <w:rPr>
                <w:rFonts w:ascii="Arial" w:cs="Arial" w:eastAsia="Arial" w:hAnsi="Arial"/>
                <w:sz w:val="14"/>
                <w:szCs w:val="14"/>
                <w:color w:val="auto"/>
              </w:rPr>
              <w:t>Hertz Global Holdings (2018-2021)</w:t>
            </w:r>
          </w:p>
        </w:tc>
      </w:tr>
      <w:tr>
        <w:trPr>
          <w:trHeight w:val="202"/>
        </w:trPr>
        <w:tc>
          <w:tcPr>
            <w:tcW w:w="40" w:type="dxa"/>
            <w:vAlign w:val="bottom"/>
            <w:tcBorders>
              <w:left w:val="single" w:sz="8" w:color="00497F"/>
            </w:tcBorders>
          </w:tcPr>
          <w:p>
            <w:pPr>
              <w:spacing w:after="0"/>
              <w:rPr>
                <w:sz w:val="17"/>
                <w:szCs w:val="17"/>
                <w:color w:val="auto"/>
              </w:rPr>
            </w:pPr>
          </w:p>
        </w:tc>
        <w:tc>
          <w:tcPr>
            <w:tcW w:w="5600" w:type="dxa"/>
            <w:vAlign w:val="bottom"/>
            <w:gridSpan w:val="4"/>
          </w:tcPr>
          <w:p>
            <w:pPr>
              <w:spacing w:after="0" w:line="201" w:lineRule="exact"/>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RIVATE</w:t>
            </w:r>
            <w:r>
              <w:rPr>
                <w:rFonts w:ascii="Arial" w:cs="Arial" w:eastAsia="Arial" w:hAnsi="Arial"/>
                <w:sz w:val="18"/>
                <w:szCs w:val="18"/>
                <w:color w:val="auto"/>
              </w:rPr>
              <w:t xml:space="preserve"> C</w:t>
            </w:r>
            <w:r>
              <w:rPr>
                <w:rFonts w:ascii="Arial" w:cs="Arial" w:eastAsia="Arial" w:hAnsi="Arial"/>
                <w:sz w:val="14"/>
                <w:szCs w:val="14"/>
                <w:color w:val="auto"/>
              </w:rPr>
              <w:t>OMPANY</w:t>
            </w:r>
            <w:r>
              <w:rPr>
                <w:rFonts w:ascii="Arial" w:cs="Arial" w:eastAsia="Arial" w:hAnsi="Arial"/>
                <w:sz w:val="18"/>
                <w:szCs w:val="18"/>
                <w:color w:val="auto"/>
              </w:rPr>
              <w:t xml:space="preserve"> B</w:t>
            </w:r>
            <w:r>
              <w:rPr>
                <w:rFonts w:ascii="Arial" w:cs="Arial" w:eastAsia="Arial" w:hAnsi="Arial"/>
                <w:sz w:val="14"/>
                <w:szCs w:val="14"/>
                <w:color w:val="auto"/>
              </w:rPr>
              <w:t>OARDS</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67"/>
        </w:trPr>
        <w:tc>
          <w:tcPr>
            <w:tcW w:w="40" w:type="dxa"/>
            <w:vAlign w:val="bottom"/>
            <w:tcBorders>
              <w:left w:val="single" w:sz="8" w:color="00497F"/>
            </w:tcBorders>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00" w:type="dxa"/>
            <w:vAlign w:val="bottom"/>
            <w:shd w:val="clear" w:color="auto" w:fill="000000"/>
          </w:tcPr>
          <w:p>
            <w:pPr>
              <w:spacing w:after="0"/>
              <w:rPr>
                <w:sz w:val="5"/>
                <w:szCs w:val="5"/>
                <w:color w:val="auto"/>
              </w:rPr>
            </w:pPr>
          </w:p>
        </w:tc>
        <w:tc>
          <w:tcPr>
            <w:tcW w:w="44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40" w:type="dxa"/>
            <w:vAlign w:val="bottom"/>
          </w:tcPr>
          <w:p>
            <w:pPr>
              <w:spacing w:after="0"/>
              <w:rPr>
                <w:sz w:val="5"/>
                <w:szCs w:val="5"/>
                <w:color w:val="auto"/>
              </w:rPr>
            </w:pPr>
          </w:p>
        </w:tc>
      </w:tr>
      <w:tr>
        <w:trPr>
          <w:trHeight w:val="228"/>
        </w:trPr>
        <w:tc>
          <w:tcPr>
            <w:tcW w:w="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5480" w:type="dxa"/>
            <w:vAlign w:val="bottom"/>
            <w:tcBorders>
              <w:right w:val="single" w:sz="8" w:color="003B71"/>
            </w:tcBorders>
            <w:gridSpan w:val="3"/>
          </w:tcPr>
          <w:p>
            <w:pPr>
              <w:ind w:left="40"/>
              <w:spacing w:after="0"/>
              <w:rPr>
                <w:sz w:val="20"/>
                <w:szCs w:val="20"/>
                <w:color w:val="auto"/>
              </w:rPr>
            </w:pPr>
            <w:r>
              <w:rPr>
                <w:rFonts w:ascii="Arial" w:cs="Arial" w:eastAsia="Arial" w:hAnsi="Arial"/>
                <w:sz w:val="14"/>
                <w:szCs w:val="14"/>
                <w:color w:val="auto"/>
              </w:rPr>
              <w:t> Hurtigruten, Board Chair (Oct. 2024-present)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240" w:type="dxa"/>
            <w:vAlign w:val="bottom"/>
          </w:tcPr>
          <w:p>
            <w:pPr>
              <w:ind w:left="40"/>
              <w:spacing w:after="0"/>
              <w:rPr>
                <w:sz w:val="20"/>
                <w:szCs w:val="20"/>
                <w:color w:val="auto"/>
              </w:rPr>
            </w:pPr>
            <w:r>
              <w:rPr>
                <w:rFonts w:ascii="Arial" w:cs="Arial" w:eastAsia="Arial" w:hAnsi="Arial"/>
                <w:sz w:val="14"/>
                <w:szCs w:val="14"/>
                <w:color w:val="auto"/>
              </w:rPr>
              <w:t> HX (f/k/a Hurtigruten Expeditions), Director (Oct. 2024-present)</w:t>
            </w:r>
          </w:p>
        </w:tc>
      </w:tr>
      <w:tr>
        <w:trPr>
          <w:trHeight w:val="202"/>
        </w:trPr>
        <w:tc>
          <w:tcPr>
            <w:tcW w:w="40" w:type="dxa"/>
            <w:vAlign w:val="bottom"/>
          </w:tcPr>
          <w:p>
            <w:pPr>
              <w:spacing w:after="0"/>
              <w:rPr>
                <w:sz w:val="17"/>
                <w:szCs w:val="17"/>
                <w:color w:val="auto"/>
              </w:rPr>
            </w:pPr>
          </w:p>
        </w:tc>
        <w:tc>
          <w:tcPr>
            <w:tcW w:w="5600" w:type="dxa"/>
            <w:vAlign w:val="bottom"/>
            <w:gridSpan w:val="4"/>
          </w:tcPr>
          <w:p>
            <w:pPr>
              <w:spacing w:after="0" w:line="201" w:lineRule="exact"/>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P</w:t>
            </w:r>
            <w:r>
              <w:rPr>
                <w:rFonts w:ascii="Arial" w:cs="Arial" w:eastAsia="Arial" w:hAnsi="Arial"/>
                <w:sz w:val="14"/>
                <w:szCs w:val="14"/>
                <w:color w:val="auto"/>
              </w:rPr>
              <w:t>OSITIONS</w:t>
            </w:r>
            <w:r>
              <w:rPr>
                <w:rFonts w:ascii="Arial" w:cs="Arial" w:eastAsia="Arial" w:hAnsi="Arial"/>
                <w:sz w:val="18"/>
                <w:szCs w:val="18"/>
                <w:color w:val="auto"/>
              </w:rPr>
              <w:t>/M</w:t>
            </w:r>
            <w:r>
              <w:rPr>
                <w:rFonts w:ascii="Arial" w:cs="Arial" w:eastAsia="Arial" w:hAnsi="Arial"/>
                <w:sz w:val="14"/>
                <w:szCs w:val="14"/>
                <w:color w:val="auto"/>
              </w:rPr>
              <w:t>EMBERSHIPS</w:t>
            </w: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52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-451485</wp:posOffset>
            </wp:positionV>
            <wp:extent cx="7141210" cy="13823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1382395"/>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Certified Public Accountant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DUCATION</w:t>
      </w:r>
      <w:r>
        <w:rPr>
          <w:rFonts w:ascii="Arial" w:cs="Arial" w:eastAsia="Arial" w:hAnsi="Arial"/>
          <w:sz w:val="18"/>
          <w:szCs w:val="18"/>
          <w:u w:val="single" w:color="auto"/>
          <w:color w:val="auto"/>
        </w:rPr>
        <w:t>:</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6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B.S. Hunter College</w:t>
            </w:r>
          </w:p>
        </w:tc>
        <w:tc>
          <w:tcPr>
            <w:tcW w:w="3820" w:type="dxa"/>
            <w:vAlign w:val="bottom"/>
          </w:tcPr>
          <w:p>
            <w:pPr>
              <w:ind w:left="20"/>
              <w:spacing w:after="0"/>
              <w:rPr>
                <w:sz w:val="20"/>
                <w:szCs w:val="20"/>
                <w:color w:val="auto"/>
              </w:rPr>
            </w:pPr>
            <w:r>
              <w:rPr>
                <w:rFonts w:ascii="Arial" w:cs="Arial" w:eastAsia="Arial" w:hAnsi="Arial"/>
                <w:sz w:val="14"/>
                <w:szCs w:val="14"/>
                <w:color w:val="auto"/>
              </w:rPr>
              <w:t>– M.B.A. New York University Graduate School of Business</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CCOLADES:</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Named “Miami Ultimate CEO” by South Florida Business Journal (2011)</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 Ernst &amp; Young Entrepreneur of the Year (2014 – Florida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363855</wp:posOffset>
            </wp:positionV>
            <wp:extent cx="71329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140" w:type="dxa"/>
            <w:vAlign w:val="bottom"/>
          </w:tcPr>
          <w:p>
            <w:pPr>
              <w:jc w:val="right"/>
              <w:spacing w:after="0"/>
              <w:rPr>
                <w:sz w:val="20"/>
                <w:szCs w:val="20"/>
                <w:color w:val="auto"/>
              </w:rPr>
            </w:pPr>
            <w:r>
              <w:rPr>
                <w:rFonts w:ascii="Arial" w:cs="Arial" w:eastAsia="Arial" w:hAnsi="Arial"/>
                <w:sz w:val="18"/>
                <w:szCs w:val="18"/>
                <w:b w:val="1"/>
                <w:bCs w:val="1"/>
                <w:color w:val="4C4C4C"/>
              </w:rPr>
              <w:t>9</w:t>
            </w:r>
          </w:p>
        </w:tc>
      </w:tr>
      <w:tr>
        <w:trPr>
          <w:trHeight w:val="223"/>
        </w:trPr>
        <w:tc>
          <w:tcPr>
            <w:tcW w:w="7100" w:type="dxa"/>
            <w:vAlign w:val="bottom"/>
            <w:tcBorders>
              <w:bottom w:val="single" w:sz="8" w:color="9A9A9A"/>
            </w:tcBorders>
          </w:tcPr>
          <w:p>
            <w:pPr>
              <w:spacing w:after="0"/>
              <w:rPr>
                <w:sz w:val="19"/>
                <w:szCs w:val="19"/>
                <w:color w:val="auto"/>
              </w:rPr>
            </w:pPr>
          </w:p>
        </w:tc>
        <w:tc>
          <w:tcPr>
            <w:tcW w:w="41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5" w:name="page16"/>
    <w:bookmarkEnd w:id="15"/>
    <w:p>
      <w:pPr>
        <w:ind w:left="40"/>
        <w:spacing w:after="0"/>
        <w:rPr>
          <w:sz w:val="20"/>
          <w:szCs w:val="20"/>
          <w:color w:val="auto"/>
        </w:rPr>
      </w:pPr>
      <w:r>
        <w:rPr>
          <w:rFonts w:ascii="Arial" w:cs="Arial" w:eastAsia="Arial" w:hAnsi="Arial"/>
          <w:sz w:val="21"/>
          <w:szCs w:val="21"/>
          <w:b w:val="1"/>
          <w:bCs w:val="1"/>
          <w:color w:val="FFFFFF"/>
        </w:rPr>
        <w:drawing>
          <wp:anchor simplePos="0" relativeHeight="251657728" behindDoc="1" locked="0" layoutInCell="0" allowOverlap="1">
            <wp:simplePos x="0" y="0"/>
            <wp:positionH relativeFrom="page">
              <wp:posOffset>207645</wp:posOffset>
            </wp:positionH>
            <wp:positionV relativeFrom="page">
              <wp:posOffset>754380</wp:posOffset>
            </wp:positionV>
            <wp:extent cx="7141210" cy="3413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3413125"/>
                    </a:xfrm>
                    <a:prstGeom prst="rect">
                      <a:avLst/>
                    </a:prstGeom>
                    <a:noFill/>
                  </pic:spPr>
                </pic:pic>
              </a:graphicData>
            </a:graphic>
          </wp:anchor>
        </w:drawing>
        <w:t>Allen R. Weiss</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520" w:type="dxa"/>
            <w:vAlign w:val="bottom"/>
            <w:tcBorders>
              <w:left w:val="single" w:sz="8" w:color="003B71"/>
              <w:right w:val="single" w:sz="8" w:color="auto"/>
            </w:tcBorders>
          </w:tcPr>
          <w:p>
            <w:pPr>
              <w:ind w:left="4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IRECTOR</w:t>
            </w:r>
            <w:r>
              <w:rPr>
                <w:rFonts w:ascii="Arial" w:cs="Arial" w:eastAsia="Arial" w:hAnsi="Arial"/>
                <w:sz w:val="18"/>
                <w:szCs w:val="18"/>
                <w:color w:val="auto"/>
              </w:rPr>
              <w:t xml:space="preserve"> S</w:t>
            </w:r>
            <w:r>
              <w:rPr>
                <w:rFonts w:ascii="Arial" w:cs="Arial" w:eastAsia="Arial" w:hAnsi="Arial"/>
                <w:sz w:val="14"/>
                <w:szCs w:val="14"/>
                <w:color w:val="auto"/>
              </w:rPr>
              <w:t>INCE</w:t>
            </w:r>
            <w:r>
              <w:rPr>
                <w:rFonts w:ascii="Arial" w:cs="Arial" w:eastAsia="Arial" w:hAnsi="Arial"/>
                <w:sz w:val="18"/>
                <w:szCs w:val="18"/>
                <w:color w:val="auto"/>
              </w:rPr>
              <w:t xml:space="preserve">: </w:t>
            </w:r>
            <w:r>
              <w:rPr>
                <w:rFonts w:ascii="Arial" w:cs="Arial" w:eastAsia="Arial" w:hAnsi="Arial"/>
                <w:sz w:val="16"/>
                <w:szCs w:val="16"/>
                <w:color w:val="auto"/>
              </w:rPr>
              <w:t>2025</w:t>
            </w:r>
          </w:p>
        </w:tc>
        <w:tc>
          <w:tcPr>
            <w:tcW w:w="2520" w:type="dxa"/>
            <w:vAlign w:val="bottom"/>
          </w:tcPr>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GE</w:t>
            </w:r>
            <w:r>
              <w:rPr>
                <w:rFonts w:ascii="Arial" w:cs="Arial" w:eastAsia="Arial" w:hAnsi="Arial"/>
                <w:sz w:val="18"/>
                <w:szCs w:val="18"/>
                <w:color w:val="auto"/>
              </w:rPr>
              <w:t>: 72</w:t>
            </w:r>
          </w:p>
        </w:tc>
      </w:tr>
      <w:tr>
        <w:trPr>
          <w:trHeight w:val="246"/>
        </w:trPr>
        <w:tc>
          <w:tcPr>
            <w:tcW w:w="75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OMMITTEES</w:t>
            </w:r>
            <w:r>
              <w:rPr>
                <w:rFonts w:ascii="Arial" w:cs="Arial" w:eastAsia="Arial" w:hAnsi="Arial"/>
                <w:sz w:val="18"/>
                <w:szCs w:val="18"/>
                <w:color w:val="auto"/>
              </w:rPr>
              <w:t xml:space="preserve">: </w:t>
            </w:r>
            <w:r>
              <w:rPr>
                <w:rFonts w:ascii="Arial" w:cs="Arial" w:eastAsia="Arial" w:hAnsi="Arial"/>
                <w:sz w:val="16"/>
                <w:szCs w:val="16"/>
                <w:color w:val="auto"/>
              </w:rPr>
              <w:t>Audit, Compensation, Nominating &amp; Corporate Governance</w:t>
            </w:r>
          </w:p>
        </w:tc>
        <w:tc>
          <w:tcPr>
            <w:tcW w:w="2520" w:type="dxa"/>
            <w:vAlign w:val="bottom"/>
          </w:tcPr>
          <w:p>
            <w:pPr>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IRECTOR</w:t>
            </w:r>
            <w:r>
              <w:rPr>
                <w:rFonts w:ascii="Arial" w:cs="Arial" w:eastAsia="Arial" w:hAnsi="Arial"/>
                <w:sz w:val="18"/>
                <w:szCs w:val="18"/>
                <w:color w:val="auto"/>
                <w:w w:val="99"/>
              </w:rPr>
              <w:t xml:space="preserve"> S</w:t>
            </w:r>
            <w:r>
              <w:rPr>
                <w:rFonts w:ascii="Arial" w:cs="Arial" w:eastAsia="Arial" w:hAnsi="Arial"/>
                <w:sz w:val="14"/>
                <w:szCs w:val="14"/>
                <w:color w:val="auto"/>
                <w:w w:val="99"/>
              </w:rPr>
              <w:t>TATUS</w:t>
            </w:r>
            <w:r>
              <w:rPr>
                <w:rFonts w:ascii="Arial" w:cs="Arial" w:eastAsia="Arial" w:hAnsi="Arial"/>
                <w:sz w:val="18"/>
                <w:szCs w:val="18"/>
                <w:color w:val="auto"/>
                <w:w w:val="99"/>
              </w:rPr>
              <w:t>: I</w:t>
            </w:r>
            <w:r>
              <w:rPr>
                <w:rFonts w:ascii="Arial" w:cs="Arial" w:eastAsia="Arial" w:hAnsi="Arial"/>
                <w:sz w:val="14"/>
                <w:szCs w:val="14"/>
                <w:color w:val="auto"/>
                <w:w w:val="99"/>
              </w:rPr>
              <w:t>NDEPENDENT</w:t>
            </w:r>
          </w:p>
        </w:tc>
      </w:tr>
      <w:tr>
        <w:trPr>
          <w:trHeight w:val="23"/>
        </w:trPr>
        <w:tc>
          <w:tcPr>
            <w:tcW w:w="7520" w:type="dxa"/>
            <w:vAlign w:val="bottom"/>
            <w:tcBorders>
              <w:right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RIOR</w:t>
      </w:r>
      <w:r>
        <w:rPr>
          <w:rFonts w:ascii="Arial" w:cs="Arial" w:eastAsia="Arial" w:hAnsi="Arial"/>
          <w:sz w:val="18"/>
          <w:szCs w:val="18"/>
          <w:u w:val="single" w:color="auto"/>
          <w:color w:val="auto"/>
        </w:rPr>
        <w:t xml:space="preserve"> B</w:t>
      </w:r>
      <w:r>
        <w:rPr>
          <w:rFonts w:ascii="Arial" w:cs="Arial" w:eastAsia="Arial" w:hAnsi="Arial"/>
          <w:sz w:val="14"/>
          <w:szCs w:val="14"/>
          <w:u w:val="single" w:color="auto"/>
          <w:color w:val="auto"/>
        </w:rPr>
        <w:t>USINESS</w:t>
      </w:r>
      <w:r>
        <w:rPr>
          <w:rFonts w:ascii="Arial" w:cs="Arial" w:eastAsia="Arial" w:hAnsi="Arial"/>
          <w:sz w:val="18"/>
          <w:szCs w:val="18"/>
          <w:u w:val="single" w:color="auto"/>
          <w:color w:val="auto"/>
        </w:rPr>
        <w:t xml:space="preserve"> E</w:t>
      </w:r>
      <w:r>
        <w:rPr>
          <w:rFonts w:ascii="Arial" w:cs="Arial" w:eastAsia="Arial" w:hAnsi="Arial"/>
          <w:sz w:val="14"/>
          <w:szCs w:val="14"/>
          <w:u w:val="single" w:color="auto"/>
          <w:color w:val="auto"/>
        </w:rPr>
        <w:t>XPERIENCE</w:t>
      </w:r>
      <w:r>
        <w:rPr>
          <w:rFonts w:ascii="Arial" w:cs="Arial" w:eastAsia="Arial" w:hAnsi="Arial"/>
          <w:sz w:val="18"/>
          <w:szCs w:val="18"/>
          <w:u w:val="single" w:color="auto"/>
          <w:color w:val="auto"/>
        </w:rPr>
        <w:t>:</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i w:val="1"/>
          <w:iCs w:val="1"/>
          <w:color w:val="auto"/>
        </w:rPr>
        <w:t>The Walt Disney Company</w:t>
      </w:r>
      <w:r>
        <w:rPr>
          <w:rFonts w:ascii="Arial" w:cs="Arial" w:eastAsia="Arial" w:hAnsi="Arial"/>
          <w:sz w:val="14"/>
          <w:szCs w:val="14"/>
          <w:color w:val="auto"/>
        </w:rPr>
        <w:t>, a global entertainment company (1972-2011) (Retired)</w:t>
      </w:r>
    </w:p>
    <w:p>
      <w:pPr>
        <w:spacing w:after="0" w:line="27" w:lineRule="exact"/>
        <w:rPr>
          <w:sz w:val="20"/>
          <w:szCs w:val="20"/>
          <w:color w:val="auto"/>
        </w:rPr>
      </w:pPr>
    </w:p>
    <w:p>
      <w:pPr>
        <w:ind w:left="360" w:hanging="160"/>
        <w:spacing w:after="0"/>
        <w:tabs>
          <w:tab w:leader="none" w:pos="3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President, Worldwide Operations, Walt Disney Parks and Resorts (2005-Nov. 2011)</w:t>
      </w:r>
    </w:p>
    <w:p>
      <w:pPr>
        <w:spacing w:after="0" w:line="13" w:lineRule="exact"/>
        <w:rPr>
          <w:rFonts w:ascii="Arial" w:cs="Arial" w:eastAsia="Arial" w:hAnsi="Arial"/>
          <w:sz w:val="14"/>
          <w:szCs w:val="14"/>
          <w:color w:val="auto"/>
        </w:rPr>
      </w:pPr>
    </w:p>
    <w:p>
      <w:pPr>
        <w:ind w:left="360" w:hanging="160"/>
        <w:spacing w:after="0"/>
        <w:tabs>
          <w:tab w:leader="none" w:pos="3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President, Walt Disney World Resort (1995-2005)</w:t>
      </w:r>
    </w:p>
    <w:p>
      <w:pPr>
        <w:ind w:left="360" w:hanging="160"/>
        <w:spacing w:after="0"/>
        <w:tabs>
          <w:tab w:leader="none" w:pos="3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Executive Vice President, Walt Disney World Resort (1991-1995)</w:t>
      </w:r>
    </w:p>
    <w:p>
      <w:pPr>
        <w:spacing w:after="0" w:line="13" w:lineRule="exact"/>
        <w:rPr>
          <w:rFonts w:ascii="Arial" w:cs="Arial" w:eastAsia="Arial" w:hAnsi="Arial"/>
          <w:sz w:val="14"/>
          <w:szCs w:val="14"/>
          <w:color w:val="auto"/>
        </w:rPr>
      </w:pPr>
    </w:p>
    <w:p>
      <w:pPr>
        <w:ind w:left="360" w:hanging="160"/>
        <w:spacing w:after="0"/>
        <w:tabs>
          <w:tab w:leader="none" w:pos="360" w:val="left"/>
        </w:tabs>
        <w:numPr>
          <w:ilvl w:val="1"/>
          <w:numId w:val="44"/>
        </w:numPr>
        <w:rPr>
          <w:rFonts w:ascii="Arial" w:cs="Arial" w:eastAsia="Arial" w:hAnsi="Arial"/>
          <w:sz w:val="14"/>
          <w:szCs w:val="14"/>
          <w:color w:val="auto"/>
        </w:rPr>
      </w:pPr>
      <w:r>
        <w:rPr>
          <w:rFonts w:ascii="Arial" w:cs="Arial" w:eastAsia="Arial" w:hAnsi="Arial"/>
          <w:sz w:val="14"/>
          <w:szCs w:val="14"/>
          <w:color w:val="auto"/>
        </w:rPr>
        <w:t>Vice President, Resort Operations Support (1987-1991)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Leadership, Strategy, Leisure &amp; Hospitality, Finance and Governance, International, Marketing</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UBLIC</w:t>
            </w:r>
            <w:r>
              <w:rPr>
                <w:rFonts w:ascii="Arial" w:cs="Arial" w:eastAsia="Arial" w:hAnsi="Arial"/>
                <w:sz w:val="18"/>
                <w:szCs w:val="18"/>
                <w:color w:val="auto"/>
                <w:w w:val="99"/>
              </w:rPr>
              <w:t xml:space="preserve"> C</w:t>
            </w:r>
            <w:r>
              <w:rPr>
                <w:rFonts w:ascii="Arial" w:cs="Arial" w:eastAsia="Arial" w:hAnsi="Arial"/>
                <w:sz w:val="14"/>
                <w:szCs w:val="14"/>
                <w:color w:val="auto"/>
                <w:w w:val="99"/>
              </w:rPr>
              <w:t>OMPANY</w:t>
            </w:r>
            <w:r>
              <w:rPr>
                <w:rFonts w:ascii="Arial" w:cs="Arial" w:eastAsia="Arial" w:hAnsi="Arial"/>
                <w:sz w:val="18"/>
                <w:szCs w:val="18"/>
                <w:color w:val="auto"/>
                <w:w w:val="99"/>
              </w:rPr>
              <w:t xml:space="preserve"> B</w:t>
            </w:r>
            <w:r>
              <w:rPr>
                <w:rFonts w:ascii="Arial" w:cs="Arial" w:eastAsia="Arial" w:hAnsi="Arial"/>
                <w:sz w:val="14"/>
                <w:szCs w:val="14"/>
                <w:color w:val="auto"/>
                <w:w w:val="99"/>
              </w:rPr>
              <w:t>OARDS:</w:t>
            </w:r>
          </w:p>
        </w:tc>
        <w:tc>
          <w:tcPr>
            <w:tcW w:w="1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3180" w:type="dxa"/>
            <w:vAlign w:val="bottom"/>
            <w:gridSpan w:val="3"/>
            <w:vMerge w:val="restart"/>
          </w:tcPr>
          <w:p>
            <w:pPr>
              <w:ind w:left="40"/>
              <w:spacing w:after="0"/>
              <w:rPr>
                <w:sz w:val="20"/>
                <w:szCs w:val="20"/>
                <w:color w:val="auto"/>
              </w:rPr>
            </w:pPr>
            <w:r>
              <w:rPr>
                <w:rFonts w:ascii="Arial" w:cs="Arial" w:eastAsia="Arial" w:hAnsi="Arial"/>
                <w:sz w:val="14"/>
                <w:szCs w:val="14"/>
                <w:color w:val="auto"/>
              </w:rPr>
              <w:t>Dave &amp; Buster’s Entertainment, Inc. (Jun. 2025-</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140" w:type="dxa"/>
            <w:vAlign w:val="bottom"/>
            <w:gridSpan w:val="3"/>
            <w:vMerge w:val="restart"/>
          </w:tcPr>
          <w:p>
            <w:pPr>
              <w:ind w:left="40"/>
              <w:spacing w:after="0"/>
              <w:rPr>
                <w:sz w:val="20"/>
                <w:szCs w:val="20"/>
                <w:color w:val="auto"/>
              </w:rPr>
            </w:pPr>
            <w:r>
              <w:rPr>
                <w:rFonts w:ascii="Arial" w:cs="Arial" w:eastAsia="Arial" w:hAnsi="Arial"/>
                <w:sz w:val="14"/>
                <w:szCs w:val="14"/>
                <w:color w:val="auto"/>
              </w:rPr>
              <w:t>Dick’s Sporting Goods, Inc.</w:t>
            </w:r>
          </w:p>
        </w:tc>
        <w:tc>
          <w:tcPr>
            <w:tcW w:w="3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120" w:type="dxa"/>
            <w:vAlign w:val="bottom"/>
            <w:vMerge w:val="continue"/>
          </w:tcPr>
          <w:p>
            <w:pPr>
              <w:spacing w:after="0"/>
              <w:rPr>
                <w:sz w:val="16"/>
                <w:szCs w:val="16"/>
                <w:color w:val="auto"/>
              </w:rPr>
            </w:pPr>
          </w:p>
        </w:tc>
        <w:tc>
          <w:tcPr>
            <w:tcW w:w="3180" w:type="dxa"/>
            <w:vAlign w:val="bottom"/>
            <w:gridSpan w:val="3"/>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vMerge w:val="continue"/>
          </w:tcPr>
          <w:p>
            <w:pPr>
              <w:spacing w:after="0"/>
              <w:rPr>
                <w:sz w:val="16"/>
                <w:szCs w:val="16"/>
                <w:color w:val="auto"/>
              </w:rPr>
            </w:pPr>
          </w:p>
        </w:tc>
        <w:tc>
          <w:tcPr>
            <w:tcW w:w="4140" w:type="dxa"/>
            <w:vAlign w:val="bottom"/>
            <w:gridSpan w:val="3"/>
            <w:vMerge w:val="continue"/>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3180" w:type="dxa"/>
            <w:vAlign w:val="bottom"/>
            <w:gridSpan w:val="3"/>
          </w:tcPr>
          <w:p>
            <w:pPr>
              <w:ind w:left="40"/>
              <w:spacing w:after="0"/>
              <w:rPr>
                <w:sz w:val="20"/>
                <w:szCs w:val="20"/>
                <w:color w:val="auto"/>
              </w:rPr>
            </w:pPr>
            <w:r>
              <w:rPr>
                <w:rFonts w:ascii="Arial" w:cs="Arial" w:eastAsia="Arial" w:hAnsi="Arial"/>
                <w:sz w:val="14"/>
                <w:szCs w:val="14"/>
                <w:color w:val="auto"/>
              </w:rPr>
              <w:t>present)</w:t>
            </w: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140" w:type="dxa"/>
            <w:vAlign w:val="bottom"/>
            <w:gridSpan w:val="3"/>
          </w:tcPr>
          <w:p>
            <w:pPr>
              <w:ind w:left="40"/>
              <w:spacing w:after="0"/>
              <w:rPr>
                <w:sz w:val="20"/>
                <w:szCs w:val="20"/>
                <w:color w:val="auto"/>
              </w:rPr>
            </w:pPr>
            <w:r>
              <w:rPr>
                <w:rFonts w:ascii="Arial" w:cs="Arial" w:eastAsia="Arial" w:hAnsi="Arial"/>
                <w:sz w:val="14"/>
                <w:szCs w:val="14"/>
                <w:color w:val="auto"/>
              </w:rPr>
              <w:t>(Jan. 2012-Aug. 2020)</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3340" w:type="dxa"/>
            <w:vAlign w:val="bottom"/>
          </w:tcPr>
          <w:p>
            <w:pPr>
              <w:ind w:left="20"/>
              <w:spacing w:after="0"/>
              <w:rPr>
                <w:sz w:val="20"/>
                <w:szCs w:val="20"/>
                <w:color w:val="auto"/>
              </w:rPr>
            </w:pPr>
            <w:r>
              <w:rPr>
                <w:rFonts w:ascii="Arial" w:cs="Arial" w:eastAsia="Arial" w:hAnsi="Arial"/>
                <w:sz w:val="14"/>
                <w:szCs w:val="14"/>
                <w:color w:val="auto"/>
              </w:rPr>
              <w:t>Apollo Education Group, Inc.</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Borders>
              <w:bottom w:val="single" w:sz="8" w:color="auto"/>
            </w:tcBorders>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ind w:left="40"/>
              <w:spacing w:after="0"/>
              <w:rPr>
                <w:sz w:val="20"/>
                <w:szCs w:val="20"/>
                <w:color w:val="auto"/>
              </w:rPr>
            </w:pPr>
            <w:r>
              <w:rPr>
                <w:rFonts w:ascii="Arial" w:cs="Arial" w:eastAsia="Arial" w:hAnsi="Arial"/>
                <w:sz w:val="14"/>
                <w:szCs w:val="14"/>
                <w:color w:val="auto"/>
              </w:rPr>
              <w:t>(Mar. 2012-Jan. 2017)</w:t>
            </w:r>
          </w:p>
        </w:tc>
        <w:tc>
          <w:tcPr>
            <w:tcW w:w="0" w:type="dxa"/>
            <w:vAlign w:val="bottom"/>
          </w:tcPr>
          <w:p>
            <w:pPr>
              <w:spacing w:after="0"/>
              <w:rPr>
                <w:sz w:val="1"/>
                <w:szCs w:val="1"/>
                <w:color w:val="auto"/>
              </w:rPr>
            </w:pPr>
          </w:p>
        </w:tc>
      </w:tr>
      <w:tr>
        <w:trPr>
          <w:trHeight w:val="202"/>
        </w:trPr>
        <w:tc>
          <w:tcPr>
            <w:tcW w:w="2120" w:type="dxa"/>
            <w:vAlign w:val="bottom"/>
            <w:tcBorders>
              <w:bottom w:val="single" w:sz="8" w:color="auto"/>
            </w:tcBorders>
            <w:gridSpan w:val="3"/>
          </w:tcPr>
          <w:p>
            <w:pPr>
              <w:spacing w:after="0" w:line="201" w:lineRule="exact"/>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RIVATE</w:t>
            </w:r>
            <w:r>
              <w:rPr>
                <w:rFonts w:ascii="Arial" w:cs="Arial" w:eastAsia="Arial" w:hAnsi="Arial"/>
                <w:sz w:val="18"/>
                <w:szCs w:val="18"/>
                <w:color w:val="auto"/>
                <w:w w:val="99"/>
              </w:rPr>
              <w:t xml:space="preserve"> C</w:t>
            </w:r>
            <w:r>
              <w:rPr>
                <w:rFonts w:ascii="Arial" w:cs="Arial" w:eastAsia="Arial" w:hAnsi="Arial"/>
                <w:sz w:val="14"/>
                <w:szCs w:val="14"/>
                <w:color w:val="auto"/>
                <w:w w:val="99"/>
              </w:rPr>
              <w:t>OMPANY</w:t>
            </w:r>
            <w:r>
              <w:rPr>
                <w:rFonts w:ascii="Arial" w:cs="Arial" w:eastAsia="Arial" w:hAnsi="Arial"/>
                <w:sz w:val="18"/>
                <w:szCs w:val="18"/>
                <w:color w:val="auto"/>
                <w:w w:val="99"/>
              </w:rPr>
              <w:t xml:space="preserve"> B</w:t>
            </w:r>
            <w:r>
              <w:rPr>
                <w:rFonts w:ascii="Arial" w:cs="Arial" w:eastAsia="Arial" w:hAnsi="Arial"/>
                <w:sz w:val="14"/>
                <w:szCs w:val="14"/>
                <w:color w:val="auto"/>
                <w:w w:val="99"/>
              </w:rPr>
              <w:t>OARDS:</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3180" w:type="dxa"/>
            <w:vAlign w:val="bottom"/>
            <w:gridSpan w:val="3"/>
            <w:vMerge w:val="restart"/>
          </w:tcPr>
          <w:p>
            <w:pPr>
              <w:ind w:left="40"/>
              <w:spacing w:after="0"/>
              <w:rPr>
                <w:sz w:val="20"/>
                <w:szCs w:val="20"/>
                <w:color w:val="auto"/>
              </w:rPr>
            </w:pPr>
            <w:r>
              <w:rPr>
                <w:rFonts w:ascii="Arial" w:cs="Arial" w:eastAsia="Arial" w:hAnsi="Arial"/>
                <w:sz w:val="14"/>
                <w:szCs w:val="14"/>
                <w:color w:val="auto"/>
              </w:rPr>
              <w:t>Alticor, Inc. (2012-Present)</w:t>
            </w:r>
          </w:p>
        </w:tc>
        <w:tc>
          <w:tcPr>
            <w:tcW w:w="20" w:type="dxa"/>
            <w:vAlign w:val="bottom"/>
          </w:tcPr>
          <w:p>
            <w:pPr>
              <w:spacing w:after="0"/>
              <w:rPr>
                <w:sz w:val="4"/>
                <w:szCs w:val="4"/>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4000" w:type="dxa"/>
            <w:vAlign w:val="bottom"/>
            <w:vMerge w:val="restart"/>
          </w:tcPr>
          <w:p>
            <w:pPr>
              <w:ind w:left="40"/>
              <w:spacing w:after="0"/>
              <w:rPr>
                <w:sz w:val="20"/>
                <w:szCs w:val="20"/>
                <w:color w:val="auto"/>
              </w:rPr>
            </w:pPr>
            <w:r>
              <w:rPr>
                <w:rFonts w:ascii="Arial" w:cs="Arial" w:eastAsia="Arial" w:hAnsi="Arial"/>
                <w:sz w:val="14"/>
                <w:szCs w:val="14"/>
                <w:color w:val="auto"/>
              </w:rPr>
              <w:t>CEC Entertainment, Inc., n/k/a CEC Entertainment, LLC (Jun.</w:t>
            </w:r>
          </w:p>
        </w:tc>
        <w:tc>
          <w:tcPr>
            <w:tcW w:w="20" w:type="dxa"/>
            <w:vAlign w:val="bottom"/>
          </w:tcPr>
          <w:p>
            <w:pPr>
              <w:spacing w:after="0"/>
              <w:rPr>
                <w:sz w:val="4"/>
                <w:szCs w:val="4"/>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ClubCorp, n/k/a Invited Clubs (Feb. 2018-Apr. 2020)</w:t>
            </w:r>
          </w:p>
        </w:tc>
        <w:tc>
          <w:tcPr>
            <w:tcW w:w="0" w:type="dxa"/>
            <w:vAlign w:val="bottom"/>
          </w:tcPr>
          <w:p>
            <w:pPr>
              <w:spacing w:after="0"/>
              <w:rPr>
                <w:sz w:val="1"/>
                <w:szCs w:val="1"/>
                <w:color w:val="auto"/>
              </w:rPr>
            </w:pPr>
          </w:p>
        </w:tc>
      </w:tr>
      <w:tr>
        <w:trPr>
          <w:trHeight w:val="192"/>
        </w:trPr>
        <w:tc>
          <w:tcPr>
            <w:tcW w:w="120" w:type="dxa"/>
            <w:vAlign w:val="bottom"/>
            <w:vMerge w:val="continue"/>
          </w:tcPr>
          <w:p>
            <w:pPr>
              <w:spacing w:after="0"/>
              <w:rPr>
                <w:sz w:val="16"/>
                <w:szCs w:val="16"/>
                <w:color w:val="auto"/>
              </w:rPr>
            </w:pPr>
          </w:p>
        </w:tc>
        <w:tc>
          <w:tcPr>
            <w:tcW w:w="3180" w:type="dxa"/>
            <w:vAlign w:val="bottom"/>
            <w:gridSpan w:val="3"/>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vMerge w:val="continue"/>
          </w:tcPr>
          <w:p>
            <w:pPr>
              <w:spacing w:after="0"/>
              <w:rPr>
                <w:sz w:val="16"/>
                <w:szCs w:val="16"/>
                <w:color w:val="auto"/>
              </w:rPr>
            </w:pPr>
          </w:p>
        </w:tc>
        <w:tc>
          <w:tcPr>
            <w:tcW w:w="400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vMerge w:val="continue"/>
          </w:tcPr>
          <w:p>
            <w:pPr>
              <w:spacing w:after="0"/>
              <w:rPr>
                <w:sz w:val="16"/>
                <w:szCs w:val="16"/>
                <w:color w:val="auto"/>
              </w:rPr>
            </w:pP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4000" w:type="dxa"/>
            <w:vAlign w:val="bottom"/>
          </w:tcPr>
          <w:p>
            <w:pPr>
              <w:ind w:left="40"/>
              <w:spacing w:after="0"/>
              <w:rPr>
                <w:sz w:val="20"/>
                <w:szCs w:val="20"/>
                <w:color w:val="auto"/>
              </w:rPr>
            </w:pPr>
            <w:r>
              <w:rPr>
                <w:rFonts w:ascii="Arial" w:cs="Arial" w:eastAsia="Arial" w:hAnsi="Arial"/>
                <w:sz w:val="14"/>
                <w:szCs w:val="14"/>
                <w:color w:val="auto"/>
              </w:rPr>
              <w:t>2014-Dec. 2020)</w:t>
            </w: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200" w:right="8040" w:hanging="161"/>
        <w:spacing w:after="0" w:line="293" w:lineRule="auto"/>
        <w:rPr>
          <w:sz w:val="20"/>
          <w:szCs w:val="20"/>
          <w:color w:val="auto"/>
        </w:rPr>
      </w:pPr>
      <w:r>
        <w:rPr>
          <w:rFonts w:ascii="Arial" w:cs="Arial" w:eastAsia="Arial" w:hAnsi="Arial"/>
          <w:sz w:val="14"/>
          <w:szCs w:val="14"/>
          <w:color w:val="auto"/>
        </w:rPr>
        <w:t>– Diamond Resorts International, Inc. (Nov. 2016-May 2021)</w:t>
      </w:r>
    </w:p>
    <w:tbl>
      <w:tblPr>
        <w:tblLayout w:type="fixed"/>
        <w:tblInd w:w="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3300" w:type="dxa"/>
            <w:vAlign w:val="bottom"/>
            <w:gridSpan w:val="2"/>
          </w:tcPr>
          <w:p>
            <w:pPr>
              <w:spacing w:after="0" w:line="194" w:lineRule="exact"/>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DUCATION</w:t>
            </w: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40" w:type="dxa"/>
            <w:vAlign w:val="bottom"/>
          </w:tcPr>
          <w:p>
            <w:pPr>
              <w:spacing w:after="0"/>
              <w:rPr>
                <w:sz w:val="4"/>
                <w:szCs w:val="4"/>
                <w:color w:val="auto"/>
              </w:rPr>
            </w:pPr>
          </w:p>
        </w:tc>
        <w:tc>
          <w:tcPr>
            <w:tcW w:w="3300" w:type="dxa"/>
            <w:vAlign w:val="bottom"/>
            <w:gridSpan w:val="2"/>
            <w:vMerge w:val="restart"/>
          </w:tcPr>
          <w:p>
            <w:pPr>
              <w:spacing w:after="0"/>
              <w:rPr>
                <w:sz w:val="20"/>
                <w:szCs w:val="20"/>
                <w:color w:val="auto"/>
              </w:rPr>
            </w:pPr>
            <w:r>
              <w:rPr>
                <w:rFonts w:ascii="Arial" w:cs="Arial" w:eastAsia="Arial" w:hAnsi="Arial"/>
                <w:sz w:val="14"/>
                <w:szCs w:val="14"/>
                <w:color w:val="auto"/>
              </w:rPr>
              <w:t>–  B.S., Business Administration, University of</w:t>
            </w:r>
          </w:p>
        </w:tc>
        <w:tc>
          <w:tcPr>
            <w:tcW w:w="20" w:type="dxa"/>
            <w:vAlign w:val="bottom"/>
          </w:tcPr>
          <w:p>
            <w:pPr>
              <w:spacing w:after="0"/>
              <w:rPr>
                <w:sz w:val="4"/>
                <w:szCs w:val="4"/>
                <w:color w:val="auto"/>
              </w:rPr>
            </w:pPr>
          </w:p>
        </w:tc>
        <w:tc>
          <w:tcPr>
            <w:tcW w:w="4140" w:type="dxa"/>
            <w:vAlign w:val="bottom"/>
            <w:vMerge w:val="restart"/>
          </w:tcPr>
          <w:p>
            <w:pPr>
              <w:ind w:left="20"/>
              <w:spacing w:after="0"/>
              <w:rPr>
                <w:sz w:val="20"/>
                <w:szCs w:val="20"/>
                <w:color w:val="auto"/>
              </w:rPr>
            </w:pPr>
            <w:r>
              <w:rPr>
                <w:rFonts w:ascii="Arial" w:cs="Arial" w:eastAsia="Arial" w:hAnsi="Arial"/>
                <w:sz w:val="14"/>
                <w:szCs w:val="14"/>
                <w:color w:val="auto"/>
              </w:rPr>
              <w:t>–  M.B.A., Crummer Graduate School of Business, Rollins</w:t>
            </w:r>
          </w:p>
        </w:tc>
        <w:tc>
          <w:tcPr>
            <w:tcW w:w="20" w:type="dxa"/>
            <w:vAlign w:val="bottom"/>
          </w:tcPr>
          <w:p>
            <w:pPr>
              <w:spacing w:after="0"/>
              <w:rPr>
                <w:sz w:val="4"/>
                <w:szCs w:val="4"/>
                <w:color w:val="auto"/>
              </w:rPr>
            </w:pPr>
          </w:p>
        </w:tc>
        <w:tc>
          <w:tcPr>
            <w:tcW w:w="3740" w:type="dxa"/>
            <w:vAlign w:val="bottom"/>
            <w:vMerge w:val="restart"/>
          </w:tcPr>
          <w:p>
            <w:pPr>
              <w:spacing w:after="0"/>
              <w:rPr>
                <w:sz w:val="20"/>
                <w:szCs w:val="20"/>
                <w:color w:val="auto"/>
              </w:rPr>
            </w:pPr>
            <w:r>
              <w:rPr>
                <w:rFonts w:ascii="Arial" w:cs="Arial" w:eastAsia="Arial" w:hAnsi="Arial"/>
                <w:sz w:val="14"/>
                <w:szCs w:val="14"/>
                <w:color w:val="auto"/>
              </w:rPr>
              <w:t>– Certified Public Accountant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140" w:type="dxa"/>
            <w:vAlign w:val="bottom"/>
            <w:vMerge w:val="continue"/>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300" w:type="dxa"/>
            <w:vAlign w:val="bottom"/>
            <w:gridSpan w:val="2"/>
          </w:tcPr>
          <w:p>
            <w:pPr>
              <w:ind w:left="160"/>
              <w:spacing w:after="0"/>
              <w:rPr>
                <w:sz w:val="20"/>
                <w:szCs w:val="20"/>
                <w:color w:val="auto"/>
              </w:rPr>
            </w:pPr>
            <w:r>
              <w:rPr>
                <w:rFonts w:ascii="Arial" w:cs="Arial" w:eastAsia="Arial" w:hAnsi="Arial"/>
                <w:sz w:val="14"/>
                <w:szCs w:val="14"/>
                <w:color w:val="auto"/>
              </w:rPr>
              <w:t>Central Florida</w:t>
            </w:r>
          </w:p>
        </w:tc>
        <w:tc>
          <w:tcPr>
            <w:tcW w:w="20" w:type="dxa"/>
            <w:vAlign w:val="bottom"/>
            <w:shd w:val="clear" w:color="auto" w:fill="000000"/>
          </w:tcPr>
          <w:p>
            <w:pPr>
              <w:spacing w:after="0"/>
              <w:rPr>
                <w:sz w:val="16"/>
                <w:szCs w:val="16"/>
                <w:color w:val="auto"/>
              </w:rPr>
            </w:pPr>
          </w:p>
        </w:tc>
        <w:tc>
          <w:tcPr>
            <w:tcW w:w="4140" w:type="dxa"/>
            <w:vAlign w:val="bottom"/>
          </w:tcPr>
          <w:p>
            <w:pPr>
              <w:ind w:left="180"/>
              <w:spacing w:after="0"/>
              <w:rPr>
                <w:sz w:val="20"/>
                <w:szCs w:val="20"/>
                <w:color w:val="auto"/>
              </w:rPr>
            </w:pPr>
            <w:r>
              <w:rPr>
                <w:rFonts w:ascii="Arial" w:cs="Arial" w:eastAsia="Arial" w:hAnsi="Arial"/>
                <w:sz w:val="14"/>
                <w:szCs w:val="14"/>
                <w:color w:val="auto"/>
              </w:rPr>
              <w:t>College</w:t>
            </w:r>
          </w:p>
        </w:tc>
        <w:tc>
          <w:tcPr>
            <w:tcW w:w="20" w:type="dxa"/>
            <w:vAlign w:val="bottom"/>
            <w:shd w:val="clear" w:color="auto" w:fill="000000"/>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00497F"/>
            </w:tcBorders>
          </w:tcPr>
          <w:p>
            <w:pPr>
              <w:spacing w:after="0" w:line="20" w:lineRule="exact"/>
              <w:rPr>
                <w:sz w:val="1"/>
                <w:szCs w:val="1"/>
                <w:color w:val="auto"/>
              </w:rPr>
            </w:pPr>
          </w:p>
        </w:tc>
        <w:tc>
          <w:tcPr>
            <w:tcW w:w="900" w:type="dxa"/>
            <w:vAlign w:val="bottom"/>
            <w:tcBorders>
              <w:bottom w:val="single" w:sz="8" w:color="00497F"/>
            </w:tcBorders>
          </w:tcPr>
          <w:p>
            <w:pPr>
              <w:spacing w:after="0" w:line="20" w:lineRule="exact"/>
              <w:rPr>
                <w:sz w:val="1"/>
                <w:szCs w:val="1"/>
                <w:color w:val="auto"/>
              </w:rPr>
            </w:pPr>
          </w:p>
        </w:tc>
        <w:tc>
          <w:tcPr>
            <w:tcW w:w="2400" w:type="dxa"/>
            <w:vAlign w:val="bottom"/>
            <w:tcBorders>
              <w:bottom w:val="single" w:sz="8" w:color="00497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140" w:type="dxa"/>
            <w:vAlign w:val="bottom"/>
            <w:tcBorders>
              <w:bottom w:val="single" w:sz="8" w:color="00497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740" w:type="dxa"/>
            <w:vAlign w:val="bottom"/>
            <w:tcBorders>
              <w:bottom w:val="single" w:sz="8" w:color="00497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503555</wp:posOffset>
            </wp:positionV>
            <wp:extent cx="7141210" cy="324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a vote FOR the election of each of the nominated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71329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10</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213"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39"/>
          <w:szCs w:val="39"/>
          <w:color w:val="003B71"/>
        </w:rPr>
        <w:t>PROPOSAL NO. 2</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RATIFICATION OF APPOINTMENT OF INDEPENDENT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REGISTERED PUBLIC ACCOUNTING FIRM</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Audit Committee has appointed KPMG LLP (“KPMG”) as the Company’s independent registered public accounting firm to conduct the audit of our consolidated financial statements and the effectiveness of our internal controls over financial reporting for the fiscal year 2026 and recommends that the shareholders vote for ratification of this appointment. KPMG has been engaged as our independent registered public accounting firm since 2010. The Audit Committee and the Board believe that the continued retention of KPMG as the Company’s independent registered public accounting firm for the 2026 fiscal year is in the best interests of the Company and its shareholders. As a matter of good corporate governance, the Audit Committee has requested the Board of Directors to submit the selection of KPMG as the Company’s independent registered public accounting firm for fiscal 2026 to shareholders for ratification. In the event of a negative vote on such ratification, the Audit Committee will reconsider its selection but may still decide to retain KPMG. Even if the selection of KPMG is ratified by the shareholders, the Audit Committee has the discretion to select another auditor at any time if it determines that a change would be in the best interests of the Company or its shareholders. We expect representatives of KPMG to be present at the Annual Meeting. They will have the opportunity to make a statement at the Annual Meeting if they desire to do so and will be available to respond to appropriate questions.</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Audit and 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following table sets forth the fees (dollars shown are in thousands) for professional audit services and fees for other services provided to the Company by KPMG, for fiscal 2025, which ended on February 3, 2026, and fiscal 2024, which ended on February 4,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Borders>
              <w:bottom w:val="single" w:sz="8" w:color="003B71"/>
            </w:tcBorders>
          </w:tcPr>
          <w:p>
            <w:pPr>
              <w:spacing w:after="0"/>
              <w:rPr>
                <w:sz w:val="18"/>
                <w:szCs w:val="18"/>
                <w:color w:val="auto"/>
              </w:rPr>
            </w:pPr>
          </w:p>
        </w:tc>
        <w:tc>
          <w:tcPr>
            <w:tcW w:w="220" w:type="dxa"/>
            <w:vAlign w:val="bottom"/>
            <w:tcBorders>
              <w:bottom w:val="single" w:sz="8" w:color="003B71"/>
            </w:tcBorders>
          </w:tcPr>
          <w:p>
            <w:pPr>
              <w:spacing w:after="0"/>
              <w:rPr>
                <w:sz w:val="18"/>
                <w:szCs w:val="18"/>
                <w:color w:val="auto"/>
              </w:rPr>
            </w:pPr>
          </w:p>
        </w:tc>
        <w:tc>
          <w:tcPr>
            <w:tcW w:w="1360" w:type="dxa"/>
            <w:vAlign w:val="bottom"/>
            <w:tcBorders>
              <w:bottom w:val="single" w:sz="8" w:color="003B71"/>
            </w:tcBorders>
            <w:gridSpan w:val="2"/>
          </w:tcPr>
          <w:p>
            <w:pPr>
              <w:ind w:left="140"/>
              <w:spacing w:after="0"/>
              <w:rPr>
                <w:sz w:val="20"/>
                <w:szCs w:val="20"/>
                <w:color w:val="auto"/>
              </w:rPr>
            </w:pPr>
            <w:r>
              <w:rPr>
                <w:rFonts w:ascii="Arial" w:cs="Arial" w:eastAsia="Arial" w:hAnsi="Arial"/>
                <w:sz w:val="14"/>
                <w:szCs w:val="14"/>
                <w:b w:val="1"/>
                <w:bCs w:val="1"/>
                <w:color w:val="003B71"/>
              </w:rPr>
              <w:t>Fiscal 2025</w:t>
            </w:r>
          </w:p>
        </w:tc>
        <w:tc>
          <w:tcPr>
            <w:tcW w:w="240" w:type="dxa"/>
            <w:vAlign w:val="bottom"/>
            <w:tcBorders>
              <w:bottom w:val="single" w:sz="8" w:color="003B71"/>
            </w:tcBorders>
          </w:tcPr>
          <w:p>
            <w:pPr>
              <w:spacing w:after="0"/>
              <w:rPr>
                <w:sz w:val="18"/>
                <w:szCs w:val="18"/>
                <w:color w:val="auto"/>
              </w:rPr>
            </w:pPr>
          </w:p>
        </w:tc>
        <w:tc>
          <w:tcPr>
            <w:tcW w:w="1260" w:type="dxa"/>
            <w:vAlign w:val="bottom"/>
            <w:tcBorders>
              <w:bottom w:val="single" w:sz="8" w:color="003B71"/>
            </w:tcBorders>
          </w:tcPr>
          <w:p>
            <w:pPr>
              <w:jc w:val="right"/>
              <w:ind w:right="281"/>
              <w:spacing w:after="0"/>
              <w:rPr>
                <w:sz w:val="20"/>
                <w:szCs w:val="20"/>
                <w:color w:val="auto"/>
              </w:rPr>
            </w:pPr>
            <w:r>
              <w:rPr>
                <w:rFonts w:ascii="Arial" w:cs="Arial" w:eastAsia="Arial" w:hAnsi="Arial"/>
                <w:sz w:val="14"/>
                <w:szCs w:val="14"/>
                <w:b w:val="1"/>
                <w:bCs w:val="1"/>
                <w:color w:val="003B71"/>
              </w:rPr>
              <w:t>Fiscal 2024</w:t>
            </w:r>
          </w:p>
        </w:tc>
      </w:tr>
      <w:tr>
        <w:trPr>
          <w:trHeight w:val="236"/>
        </w:trPr>
        <w:tc>
          <w:tcPr>
            <w:tcW w:w="8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 xml:space="preserve">Audit Fees </w:t>
            </w:r>
            <w:r>
              <w:rPr>
                <w:rFonts w:ascii="Arial" w:cs="Arial" w:eastAsia="Arial" w:hAnsi="Arial"/>
                <w:sz w:val="20"/>
                <w:szCs w:val="20"/>
                <w:color w:val="auto"/>
                <w:vertAlign w:val="superscript"/>
              </w:rPr>
              <w:t>(1)</w:t>
            </w:r>
          </w:p>
        </w:tc>
        <w:tc>
          <w:tcPr>
            <w:tcW w:w="22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E5E5E5"/>
          </w:tcPr>
          <w:p>
            <w:pPr>
              <w:spacing w:after="0"/>
              <w:rPr>
                <w:sz w:val="20"/>
                <w:szCs w:val="20"/>
                <w:color w:val="auto"/>
              </w:rPr>
            </w:pPr>
          </w:p>
        </w:tc>
        <w:tc>
          <w:tcPr>
            <w:tcW w:w="240" w:type="dxa"/>
            <w:vAlign w:val="bottom"/>
            <w:shd w:val="clear" w:color="auto" w:fill="E5E5E5"/>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1,230</w:t>
            </w:r>
          </w:p>
        </w:tc>
      </w:tr>
      <w:tr>
        <w:trPr>
          <w:trHeight w:val="242"/>
        </w:trPr>
        <w:tc>
          <w:tcPr>
            <w:tcW w:w="8160" w:type="dxa"/>
            <w:vAlign w:val="bottom"/>
          </w:tcPr>
          <w:p>
            <w:pPr>
              <w:ind w:left="20"/>
              <w:spacing w:after="0"/>
              <w:rPr>
                <w:sz w:val="20"/>
                <w:szCs w:val="20"/>
                <w:color w:val="auto"/>
              </w:rPr>
            </w:pPr>
            <w:r>
              <w:rPr>
                <w:rFonts w:ascii="Arial" w:cs="Arial" w:eastAsia="Arial" w:hAnsi="Arial"/>
                <w:sz w:val="16"/>
                <w:szCs w:val="16"/>
                <w:color w:val="auto"/>
              </w:rPr>
              <w:t xml:space="preserve">Audit-Related Fees </w:t>
            </w:r>
            <w:r>
              <w:rPr>
                <w:rFonts w:ascii="Arial" w:cs="Arial" w:eastAsia="Arial" w:hAnsi="Arial"/>
                <w:sz w:val="20"/>
                <w:szCs w:val="20"/>
                <w:color w:val="auto"/>
                <w:vertAlign w:val="superscript"/>
              </w:rPr>
              <w:t>(2)</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131</w:t>
            </w:r>
          </w:p>
        </w:tc>
      </w:tr>
      <w:tr>
        <w:trPr>
          <w:trHeight w:val="242"/>
        </w:trPr>
        <w:tc>
          <w:tcPr>
            <w:tcW w:w="8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 xml:space="preserve">Tax Fees </w:t>
            </w:r>
            <w:r>
              <w:rPr>
                <w:rFonts w:ascii="Arial" w:cs="Arial" w:eastAsia="Arial" w:hAnsi="Arial"/>
                <w:sz w:val="20"/>
                <w:szCs w:val="20"/>
                <w:color w:val="auto"/>
                <w:vertAlign w:val="superscript"/>
              </w:rPr>
              <w:t>(3)</w:t>
            </w:r>
          </w:p>
        </w:tc>
        <w:tc>
          <w:tcPr>
            <w:tcW w:w="220" w:type="dxa"/>
            <w:vAlign w:val="bottom"/>
            <w:tcBorders>
              <w:bottom w:val="single" w:sz="8" w:color="auto"/>
            </w:tcBorders>
            <w:shd w:val="clear" w:color="auto" w:fill="E5E5E5"/>
          </w:tcPr>
          <w:p>
            <w:pPr>
              <w:spacing w:after="0"/>
              <w:rPr>
                <w:sz w:val="21"/>
                <w:szCs w:val="21"/>
                <w:color w:val="auto"/>
              </w:rPr>
            </w:pPr>
          </w:p>
        </w:tc>
        <w:tc>
          <w:tcPr>
            <w:tcW w:w="1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E5E5E5"/>
          </w:tcPr>
          <w:p>
            <w:pPr>
              <w:spacing w:after="0"/>
              <w:rPr>
                <w:sz w:val="21"/>
                <w:szCs w:val="21"/>
                <w:color w:val="auto"/>
              </w:rPr>
            </w:pPr>
          </w:p>
        </w:tc>
        <w:tc>
          <w:tcPr>
            <w:tcW w:w="240" w:type="dxa"/>
            <w:vAlign w:val="bottom"/>
            <w:tcBorders>
              <w:bottom w:val="single" w:sz="8" w:color="auto"/>
            </w:tcBorders>
            <w:shd w:val="clear" w:color="auto" w:fill="E5E5E5"/>
          </w:tcPr>
          <w:p>
            <w:pPr>
              <w:spacing w:after="0"/>
              <w:rPr>
                <w:sz w:val="21"/>
                <w:szCs w:val="21"/>
                <w:color w:val="auto"/>
              </w:rPr>
            </w:pPr>
          </w:p>
        </w:tc>
        <w:tc>
          <w:tcPr>
            <w:tcW w:w="1260" w:type="dxa"/>
            <w:vAlign w:val="bottom"/>
            <w:tcBorders>
              <w:bottom w:val="single" w:sz="8" w:color="auto"/>
            </w:tcBorders>
            <w:shd w:val="clear" w:color="auto" w:fill="E5E5E5"/>
          </w:tcPr>
          <w:p>
            <w:pPr>
              <w:jc w:val="right"/>
              <w:ind w:right="1"/>
              <w:spacing w:after="0"/>
              <w:rPr>
                <w:sz w:val="20"/>
                <w:szCs w:val="20"/>
                <w:color w:val="auto"/>
              </w:rPr>
            </w:pPr>
            <w:r>
              <w:rPr>
                <w:rFonts w:ascii="Arial" w:cs="Arial" w:eastAsia="Arial" w:hAnsi="Arial"/>
                <w:sz w:val="16"/>
                <w:szCs w:val="16"/>
                <w:color w:val="auto"/>
              </w:rPr>
              <w:t>89</w:t>
            </w:r>
          </w:p>
        </w:tc>
      </w:tr>
      <w:tr>
        <w:trPr>
          <w:trHeight w:val="229"/>
        </w:trPr>
        <w:tc>
          <w:tcPr>
            <w:tcW w:w="8160" w:type="dxa"/>
            <w:vAlign w:val="bottom"/>
            <w:tcBorders>
              <w:bottom w:val="single" w:sz="8" w:color="003B71"/>
            </w:tcBorders>
          </w:tcPr>
          <w:p>
            <w:pPr>
              <w:ind w:left="2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03B71"/>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003B71"/>
            </w:tcBorders>
          </w:tcPr>
          <w:p>
            <w:pPr>
              <w:jc w:val="right"/>
              <w:ind w:right="1"/>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003B71"/>
            </w:tcBorders>
          </w:tcPr>
          <w:p>
            <w:pPr>
              <w:spacing w:after="0"/>
              <w:rPr>
                <w:sz w:val="19"/>
                <w:szCs w:val="19"/>
                <w:color w:val="auto"/>
              </w:rPr>
            </w:pPr>
          </w:p>
        </w:tc>
        <w:tc>
          <w:tcPr>
            <w:tcW w:w="240" w:type="dxa"/>
            <w:vAlign w:val="bottom"/>
            <w:tcBorders>
              <w:bottom w:val="single" w:sz="8" w:color="003B71"/>
            </w:tcBorders>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003B71"/>
            </w:tcBorders>
          </w:tcPr>
          <w:p>
            <w:pPr>
              <w:jc w:val="right"/>
              <w:ind w:right="1"/>
              <w:spacing w:after="0"/>
              <w:rPr>
                <w:sz w:val="20"/>
                <w:szCs w:val="20"/>
                <w:color w:val="auto"/>
              </w:rPr>
            </w:pPr>
            <w:r>
              <w:rPr>
                <w:rFonts w:ascii="Arial" w:cs="Arial" w:eastAsia="Arial" w:hAnsi="Arial"/>
                <w:sz w:val="16"/>
                <w:szCs w:val="16"/>
                <w:color w:val="auto"/>
              </w:rPr>
              <w:t>1,450</w:t>
            </w:r>
          </w:p>
        </w:tc>
      </w:tr>
    </w:tbl>
    <w:p>
      <w:pPr>
        <w:spacing w:after="0" w:line="134" w:lineRule="exact"/>
        <w:rPr>
          <w:sz w:val="20"/>
          <w:szCs w:val="20"/>
          <w:color w:val="auto"/>
        </w:rPr>
      </w:pPr>
    </w:p>
    <w:p>
      <w:pPr>
        <w:ind w:left="420" w:hanging="413"/>
        <w:spacing w:after="0" w:line="262" w:lineRule="auto"/>
        <w:tabs>
          <w:tab w:leader="none" w:pos="4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fees for services for the audit of the Company’s annual financial statements, the reviews of the interim financial statements, audit of the Company’s internal control over financial reporting, and assistance with Securities and Exchange Commission (“SEC”) filings.</w:t>
      </w:r>
    </w:p>
    <w:p>
      <w:pPr>
        <w:ind w:left="420" w:hanging="413"/>
        <w:spacing w:after="0" w:line="247" w:lineRule="auto"/>
        <w:tabs>
          <w:tab w:leader="none" w:pos="4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Fiscal 2025 fees relate to two (2) consents related to filings of Form S-8s; fiscal 2024 fees include real time assessment of the ERP system the Company implemented in fiscal 2024.</w:t>
      </w:r>
    </w:p>
    <w:p>
      <w:pPr>
        <w:spacing w:after="0" w:line="1" w:lineRule="exact"/>
        <w:rPr>
          <w:rFonts w:ascii="Arial" w:cs="Arial" w:eastAsia="Arial" w:hAnsi="Arial"/>
          <w:sz w:val="16"/>
          <w:szCs w:val="16"/>
          <w:color w:val="auto"/>
        </w:rPr>
      </w:pPr>
    </w:p>
    <w:p>
      <w:pPr>
        <w:ind w:left="400" w:hanging="393"/>
        <w:spacing w:after="0"/>
        <w:tabs>
          <w:tab w:leader="none" w:pos="4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transfer pricing services.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Audit Committee has established a policy whereby the outside auditors are required to annually provide service-specific fee estimates and seek pre-approval of all audit, audit-related, tax and other services prior to the performance of any such services. Individual engagements anticipated to exceed the pre-approved thresholds must be separately approved by the Audit Committee. For both fiscal 2025 and 2024, the Audit Committee pre-approved 100% of services provided by KPMG and concluded that the provision of such services by KPMG was compatible with such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141605</wp:posOffset>
            </wp:positionV>
            <wp:extent cx="7141210" cy="1879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187960"/>
                    </a:xfrm>
                    <a:prstGeom prst="rect">
                      <a:avLst/>
                    </a:prstGeom>
                    <a:noFill/>
                  </pic:spPr>
                </pic:pic>
              </a:graphicData>
            </a:graphic>
          </wp:anchor>
        </w:drawing>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375285</wp:posOffset>
            </wp:positionV>
            <wp:extent cx="71329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11</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39"/>
          <w:szCs w:val="39"/>
          <w:color w:val="003B71"/>
        </w:rPr>
        <w:t>PROPOSAL NO. 3</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ADVISORY VOTE ON EXECUTIVE COMPENSATION</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As required by Section 14A of the Securities Exchange Act of 1934 (as amended, the “Exchange Act”) and the related SEC rules, we are asking you to approve, on an advisory, non-binding basis, the compensation awarded to our named executive officers (each, an “NEO” and collectively, the “NEOs”), as we have described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section of this Proxy Statement. The vote on this matter is not intended to address any specific item of compensation, but rather the overall compensation of our named executive officers and the policies and practices described in this Proxy Statement.</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described in detail in the Compensation Discussion and Analysis section beginning on page </w:t>
      </w:r>
      <w:r>
        <w:rPr>
          <w:rFonts w:ascii="Arial" w:cs="Arial" w:eastAsia="Arial" w:hAnsi="Arial"/>
          <w:sz w:val="18"/>
          <w:szCs w:val="18"/>
          <w:u w:val="single" w:color="auto"/>
          <w:color w:val="0000FF"/>
        </w:rPr>
        <w:t>25</w:t>
      </w:r>
      <w:r>
        <w:rPr>
          <w:rFonts w:ascii="Arial" w:cs="Arial" w:eastAsia="Arial" w:hAnsi="Arial"/>
          <w:sz w:val="18"/>
          <w:szCs w:val="18"/>
          <w:color w:val="auto"/>
        </w:rPr>
        <w:t>, the Compensation Committee oversees our executive compensation program and compensation awarded to our executive officers, adopting changes to the program and awarding compensation as appropriate to reflect the Company’s circumstances and to promote the main objectives of the program. These objectives include: to align pay to performance; to provide market-competitive pay; and to create sustained shareholder value.</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asking you to indicate your support for our named executive officer compensation. We believe that the information we have provided in this Proxy Statement demonstrates that our compensation program is designed appropriately and works to attract, retain and motivate a highly successful team to manage our Company and to ensure that the interests of our executive officers, including our named executive officers, are aligned with your interest in long-term value creation.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ask you to approve the following resolution at the Annual Meeting:</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RESOLVED, that the shareholders of Dave &amp; Buster’s Entertainment, Inc. approve the compensation awarded to the Company’s named executive officers, as disclosed in this Proxy Statement pursuant to Item 402 of Regulation S-K, including the Compensation Discussion and Analysis, the compensation tables and the accompanying narrative discussion.</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your vote is non-binding, the Board and Compensation Committee will review the voting results and consider your concerns in their continued evaluation of the Company’s compensation program. Because this vote is advisory in nature, it will not affect any compensation already paid or awarded to any named executive officer, it will not be binding or overrule any decision by the Board or Compensation Committee, and it will not restrict or limit the ability of the shareholders to make proposals for inclusion in proxy materials related to executive compensation.</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the 2022 annual meeting of shareholders, our shareholders voted in favor of holding an advisory vote to approve executive compensation every year. The Board considered these voting results and decided to adopt a policy providing for an annual advisory shareholder vote to approve our executive compensation. The next shareholder advisory vote to approve executive compensation will occur at the 2027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41210" cy="2216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221615"/>
                    </a:xfrm>
                    <a:prstGeom prst="rect">
                      <a:avLst/>
                    </a:prstGeom>
                    <a:noFill/>
                  </pic:spPr>
                </pic:pic>
              </a:graphicData>
            </a:graphic>
          </wp:anchor>
        </w:drawing>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recommends an advisory vote FOR the 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71329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12</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39"/>
          <w:szCs w:val="39"/>
          <w:color w:val="003B71"/>
        </w:rPr>
        <w:t>DIRECTORS AND CORPORATE GOVERNANCE</w:t>
      </w: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Composition and 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currently consists of eight (8) members. Our Board of Directors has affirmatively determined that seven (7) of our current directors are independent under our standards as well as the applicable rules of NASDAQ. In addition, our Board of Directors affirmatively determined that each member currently serving on the Audit Committee, Messrs. Shah, Lipman and Weiss, as well as Mr. Protell, who was appointed to the Audit Committee as of April 27, 2026, satisfies the independence requirements for members of an audit committee as set forth in Rule 10A-3(b)(1) of the Exchange Act, and that each member currently serving on the Compensation Committee, Messrs. Chambers, Lipman, and Weiss, satisfies the independence requirements for members of a compensation committee under the applicable rules of NASDAQ.</w:t>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Board of Directors met six times in fiscal 2025, including regular and special meetings. During this period, no individual director other than Mr. Ross attended fewer than 75% of the aggregate of (i) the total number of meetings of the Board of Directors and (ii) the total number of meetings held by all committees on which he served.</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Company invites members of the Board of Directors to attend its annual shareholder meeting and requires that they make every effort to attend the Annual Meeting absent an unavoidable and irreconcilable conflict. All directors who were serving in such capacity at the time attended the 2025 annual meeting of shareholders.</w:t>
      </w:r>
    </w:p>
    <w:p>
      <w:pPr>
        <w:spacing w:after="0" w:line="6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 Board of Directors has an Audit Committee, a Compensation Committee, a Nominating and Corporate Governance Committee and a Finance Committee. The charters for each of these committees are posted on our website at </w:t>
      </w:r>
      <w:r>
        <w:rPr>
          <w:rFonts w:ascii="Arial" w:cs="Arial" w:eastAsia="Arial" w:hAnsi="Arial"/>
          <w:sz w:val="18"/>
          <w:szCs w:val="18"/>
          <w:i w:val="1"/>
          <w:iCs w:val="1"/>
          <w:color w:val="auto"/>
        </w:rPr>
        <w:t>http://ir.daveandbusters.com/corporate-governance</w:t>
      </w:r>
      <w:r>
        <w:rPr>
          <w:rFonts w:ascii="Arial" w:cs="Arial" w:eastAsia="Arial" w:hAnsi="Arial"/>
          <w:sz w:val="18"/>
          <w:szCs w:val="18"/>
          <w:color w:val="auto"/>
        </w:rPr>
        <w:t>.</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currently comprised of Messrs. Shah, Lipman, Protell and Weiss, and chaired by Mr. Shah, recommends to the Board of Directors the appointment of the Company’s independent auditors, reviews and approves the scope of the annual audits of the Company’s financial statements, provides oversight of our internal control over financial reporting, reviews and approves any non-audit services performed by the independent auditors, reviews the findings and recommendations of the independent auditors, periodically reviews major accounting policies, and oversees the Company’s Compliance Program. Following Mr. Shah’s notification of his decision not to stand for re-election at the Annual Meeting, the Board of Directors voted to appoint Nathaniel J. Lipman to the position of Chair of the Audit Committee, effective as of the date of the Annual Meeting. The Audit Committee held seven meetings during fiscal 2025. The Board of Directors has determined that each member of the Audit Committee is financially literate and qualifies as an “audit committee financial expert” under the provisions of the Sarbanes-Oxley Act of 2002 and the rules and regulations of the SEC.</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currently comprised of Messrs. Chambers, Lipman and Weiss, and chaired by Mr. Chambers, reviews the Company’s compensation philosophy and strategy, administers incentive compensation and stock option plans, reviews the Chief Executive Officer’s performance and compensation, reviews recommendations on compensation of other executive officers and board members, and reviews other special compensation matters, such as executive employment agreements. The Compensation Committee held six meetings during fiscal 2025. The Compensation Committee has engaged Frederick W. Cook &amp; Co., Inc. (“FW Cook”) as its independent compensation consultant.</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Nominating and Corporate Governance Committee, currently comprised of Messrs. Ross, Shah and Weiss, and chaired by Mr. Ross, identifies and recommends the individuals qualified to be nominated for election to the Board of Directors, recommends the member of the Board of Directors qualified to be nominated for election as its Chair, recommends the members and chair for each committee of the Board of Directors, reviews and recommends to the Board matters regarding CEO succession plans, provides oversight concerning the Company’s corporate responsibility and sustainability efforts, periodically reviews and assesses our Corporate Governance Guidelines and Principles and Code of Business Conduct and Ethics and oversees the annual self-evaluation of the performance of the Board of Directors. The Nominating and Corporate Governance Committee held five meetings during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29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13</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19" w:name="page20"/>
    <w:bookmarkEnd w:id="19"/>
    <w:p>
      <w:pPr>
        <w:jc w:val="both"/>
        <w:spacing w:after="0" w:line="256" w:lineRule="auto"/>
        <w:rPr>
          <w:sz w:val="20"/>
          <w:szCs w:val="20"/>
          <w:color w:val="auto"/>
        </w:rPr>
      </w:pPr>
      <w:r>
        <w:rPr>
          <w:rFonts w:ascii="Arial" w:cs="Arial" w:eastAsia="Arial" w:hAnsi="Arial"/>
          <w:sz w:val="18"/>
          <w:szCs w:val="18"/>
          <w:color w:val="auto"/>
        </w:rPr>
        <w:t>The Finance Committee, currently comprised of Messrs. Chambers, Ross, and Sheehan, and chaired by Mr. Chambers, assists the Board of Directors in fulfilling its financial management oversight responsibilities by assessing, overseeing and evaluating from time to time, policies and transactions affecting our financial objectives, reviewing our indebtedness, strategic planning, capital structure objectives, investment programs and policies, periodically auditing major capital expenditures, including real estate acquisitions and new store development, and working with our management and the Compensation Committee on annual operating goals. The Finance Committee met four times during fiscal 2025.</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The 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entire Board of Directors is engaged in risk management oversight. The Board of Directors has not established a separate committee to facilitate its risk oversight responsibilities, but will continue to monitor and assess whether such a committee would be appropriate. The Audit Committee assists the Board of Directors in its oversight of risk management and our process established to identify, measure, monitor, and manage risks, in particular, major financial risks. Company management annually updates the Audit Committee on enterprise risk matters. Additionally, in April 2025, the Board of Directors approved a formal Compliance Program and appointed a Chief Compliance Officer, whose charge includes reporting to the Audit Committee on compliance-related matters. The Board of Directors receives regular reports from management, as well as from the Audit Committee, regarding relevant risks and the actions taken by management to adequately address those risks. The Audit Committee also has oversight of the Company’s cybersecurity, information security and technology matters and is provided regular comprehensive updates by Company management on the Company’s information security status, including the results of annual SOX and Payment Card Industry Data Security Standard audits; our leveraging of recognized frameworks and standards, including the National Institute of Standards and Technology Cyber Security Framework, Center for Internet Security Critical Security Controls and the Payment Card Industry Data Security Standards; independent third party assessments of our cyber environment; and our annual team member awareness training.</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Corporate Governance Guidelines and Principles require the Board to plan for CEO succession and oversee management development. Pursuant to our Corporate Governance Guidelines and Principles, the Board is actively engaged in long-term executive succession planning, including CEO succession planning.</w:t>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Board of Directors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Board of Directors does not have a policy requiring the roles of the Chair of the Board and Chief Executive Officer to be filled by separate persons or a policy requiring the Chair of the Board to be a non-employee director. The Board believes that it is in the best interest of the Company and its shareholders for the Board to make a determination on whether to separate or combine the roles of Chair and CEO based upon the Company’s circumstances at any particular point in time, whether the Chair role shall be held by an independent director, and if not, supported by a Lead Independent Director. Mr. Lal is our Chief Executive Officer and Mr. Sheehan is our Chairman of the Board. There is currently no Lead Independent Director of the Board.</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Chairman of the Board, Mr. Sheehan’s responsibilities are to (i) convene, chair and determine agendas for executive sessions, and coordinate feedback to the CEO regarding issues discussed in executive sessions; (ii) approve the schedule for Board meetings, agenda items and the Board’s information needs associated with those agenda items, and identify the need for and scope of related presentations;</w:t>
      </w:r>
    </w:p>
    <w:p>
      <w:pPr>
        <w:spacing w:after="0" w:line="1" w:lineRule="exact"/>
        <w:rPr>
          <w:sz w:val="20"/>
          <w:szCs w:val="20"/>
          <w:color w:val="auto"/>
        </w:rPr>
      </w:pPr>
    </w:p>
    <w:p>
      <w:pPr>
        <w:jc w:val="both"/>
        <w:ind w:firstLine="7"/>
        <w:spacing w:after="0" w:line="252" w:lineRule="auto"/>
        <w:tabs>
          <w:tab w:leader="none" w:pos="3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assist the Board and its committees in the evaluation of senior management (including the CEO) and communicate the results of such evaluation to the CEO; (iv) serve as an information resource for other directors and act as liaison between directors, committee chairs and management; (v) provide advice and counsel to the CEO; (vi) develop and implement, with the CEO and the Nominating and Corporate Governance Committee, the procedures governing the Board’s work; (vii) be available for direct communication with major shareholders if requested and, where appropriate and as directed by the Board, communicate with shareholders, rating agencies, regulators and interested parties; and (viii) speak for the Board in circumstances where it is appropriate for the Board to have a voice distinct from that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1329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14</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20" w:name="page21"/>
    <w:bookmarkEnd w:id="20"/>
    <w:p>
      <w:pPr>
        <w:jc w:val="both"/>
        <w:spacing w:after="0" w:line="256" w:lineRule="auto"/>
        <w:rPr>
          <w:sz w:val="20"/>
          <w:szCs w:val="20"/>
          <w:color w:val="auto"/>
        </w:rPr>
      </w:pPr>
      <w:r>
        <w:rPr>
          <w:rFonts w:ascii="Arial" w:cs="Arial" w:eastAsia="Arial" w:hAnsi="Arial"/>
          <w:sz w:val="18"/>
          <w:szCs w:val="18"/>
          <w:color w:val="auto"/>
        </w:rPr>
        <w:t>The Board believes that, at this time, this leadership structure promotes decisive leadership, fosters clear accountability and enhances our ability to communicate our strategy clearly and consistently to our shareholders, team members and customers. Although the Board believes that this leadership structure is appropriate at this time, the Board also believes that there is no specific leadership structure that best applies to all companies, nor is there one specific leadership structure that would permanently suit our Company. As a result, the decision as to whether to combine or separate the positions of CEO and Chair of the Board may vary from time to time, as conditions and circumstances warrant.</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intends to set director compensation levels at or near the market median relative to directors at companies of comparable size, industry and scope of operations to ensure directors are competitively compensated for their time commitment and responsibilities. Annually, the Compensation Committee reviews a competitive market assessment of director compensation pay levels and program structure, prepared by its independent compensation consultant, and considers any changes to ensure alignment with market practices. We believe a market competitive compensation package is important because it enables us to attract and retain highly qualified directors who are critical to our long-term success.</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to reimbursement for out-of-pocket expenses incurred in connection with their Board service, our non-employee Board members receive an annual stipend, chair and committee member fees and equity grant for serving as members of our Board of Directors. On January 27, 2026, following a recommendation from FW Cook based on a benchmarking study of compensation of non-employee directors of similarly-situated public companies, the Board of Directors approved increases in the compensation program for non-employee directors of the Company as follows:</w:t>
      </w:r>
    </w:p>
    <w:p>
      <w:pPr>
        <w:spacing w:after="0" w:line="30" w:lineRule="exact"/>
        <w:rPr>
          <w:sz w:val="20"/>
          <w:szCs w:val="20"/>
          <w:color w:val="auto"/>
        </w:rPr>
      </w:pPr>
    </w:p>
    <w:p>
      <w:pPr>
        <w:ind w:left="640" w:hanging="310"/>
        <w:spacing w:after="0" w:line="207" w:lineRule="exact"/>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$25,000 to the annual equity retainer for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from $150,000 to $175,000 in RSUs;</w:t>
      </w:r>
    </w:p>
    <w:p>
      <w:pPr>
        <w:spacing w:after="0" w:line="155" w:lineRule="exact"/>
        <w:rPr>
          <w:rFonts w:ascii="Arial" w:cs="Arial" w:eastAsia="Arial" w:hAnsi="Arial"/>
          <w:sz w:val="18"/>
          <w:szCs w:val="18"/>
          <w:color w:val="auto"/>
        </w:rPr>
      </w:pPr>
    </w:p>
    <w:p>
      <w:pPr>
        <w:ind w:left="640" w:hanging="310"/>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$10,000 to each Committee Chair supplemental retainer, as follows:</w:t>
      </w:r>
    </w:p>
    <w:p>
      <w:pPr>
        <w:spacing w:after="0" w:line="115" w:lineRule="exact"/>
        <w:rPr>
          <w:rFonts w:ascii="Arial" w:cs="Arial" w:eastAsia="Arial" w:hAnsi="Arial"/>
          <w:sz w:val="18"/>
          <w:szCs w:val="18"/>
          <w:color w:val="auto"/>
        </w:rPr>
      </w:pPr>
    </w:p>
    <w:p>
      <w:pPr>
        <w:ind w:left="1300" w:hanging="325"/>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Audit Committee Chair: from $25,000 to $35,000;</w:t>
      </w:r>
    </w:p>
    <w:p>
      <w:pPr>
        <w:spacing w:after="0" w:line="115" w:lineRule="exact"/>
        <w:rPr>
          <w:rFonts w:ascii="Arial" w:cs="Arial" w:eastAsia="Arial" w:hAnsi="Arial"/>
          <w:sz w:val="18"/>
          <w:szCs w:val="18"/>
          <w:color w:val="auto"/>
        </w:rPr>
      </w:pPr>
    </w:p>
    <w:p>
      <w:pPr>
        <w:ind w:left="1300" w:hanging="325"/>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Compensation Committee Chair: from $20,000 to $30,000;</w:t>
      </w:r>
    </w:p>
    <w:p>
      <w:pPr>
        <w:spacing w:after="0" w:line="115" w:lineRule="exact"/>
        <w:rPr>
          <w:rFonts w:ascii="Arial" w:cs="Arial" w:eastAsia="Arial" w:hAnsi="Arial"/>
          <w:sz w:val="18"/>
          <w:szCs w:val="18"/>
          <w:color w:val="auto"/>
        </w:rPr>
      </w:pPr>
    </w:p>
    <w:p>
      <w:pPr>
        <w:ind w:left="1300" w:hanging="325"/>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Nominating &amp; Governance Committee Chair: from $20,000 to $30,000; and</w:t>
      </w:r>
    </w:p>
    <w:p>
      <w:pPr>
        <w:spacing w:after="0" w:line="115" w:lineRule="exact"/>
        <w:rPr>
          <w:rFonts w:ascii="Arial" w:cs="Arial" w:eastAsia="Arial" w:hAnsi="Arial"/>
          <w:sz w:val="18"/>
          <w:szCs w:val="18"/>
          <w:color w:val="auto"/>
        </w:rPr>
      </w:pPr>
    </w:p>
    <w:p>
      <w:pPr>
        <w:ind w:left="1300" w:hanging="325"/>
        <w:spacing w:after="0"/>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Finance Committee Chair: from $20,000 to $30,000.</w:t>
      </w:r>
    </w:p>
    <w:p>
      <w:pPr>
        <w:spacing w:after="0" w:line="75" w:lineRule="exact"/>
        <w:rPr>
          <w:rFonts w:ascii="Arial" w:cs="Arial" w:eastAsia="Arial" w:hAnsi="Arial"/>
          <w:sz w:val="18"/>
          <w:szCs w:val="18"/>
          <w:color w:val="auto"/>
        </w:rPr>
      </w:pPr>
    </w:p>
    <w:p>
      <w:pPr>
        <w:ind w:left="660" w:hanging="330"/>
        <w:spacing w:after="0" w:line="207" w:lineRule="exact"/>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$25,000 to the supplemental retainer for the Non</w:t>
      </w:r>
      <w:r>
        <w:rPr>
          <w:rFonts w:ascii="MS PGothic" w:cs="MS PGothic" w:eastAsia="MS PGothic" w:hAnsi="MS PGothic"/>
          <w:sz w:val="18"/>
          <w:szCs w:val="18"/>
          <w:color w:val="auto"/>
        </w:rPr>
        <w:t>‑</w:t>
      </w:r>
      <w:r>
        <w:rPr>
          <w:rFonts w:ascii="Arial" w:cs="Arial" w:eastAsia="Arial" w:hAnsi="Arial"/>
          <w:sz w:val="18"/>
          <w:szCs w:val="18"/>
          <w:color w:val="auto"/>
        </w:rPr>
        <w:t>Executive Chair, from $125,000 to $150,000; and</w:t>
      </w:r>
    </w:p>
    <w:p>
      <w:pPr>
        <w:spacing w:after="0" w:line="115" w:lineRule="exact"/>
        <w:rPr>
          <w:rFonts w:ascii="Arial" w:cs="Arial" w:eastAsia="Arial" w:hAnsi="Arial"/>
          <w:sz w:val="18"/>
          <w:szCs w:val="18"/>
          <w:color w:val="auto"/>
        </w:rPr>
      </w:pPr>
    </w:p>
    <w:p>
      <w:pPr>
        <w:ind w:left="660" w:hanging="330"/>
        <w:spacing w:after="0" w:line="207" w:lineRule="exact"/>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$5,000 to the per</w:t>
      </w:r>
      <w:r>
        <w:rPr>
          <w:rFonts w:ascii="MS PGothic" w:cs="MS PGothic" w:eastAsia="MS PGothic" w:hAnsi="MS PGothic"/>
          <w:sz w:val="18"/>
          <w:szCs w:val="18"/>
          <w:color w:val="auto"/>
        </w:rPr>
        <w:t>‑</w:t>
      </w:r>
      <w:r>
        <w:rPr>
          <w:rFonts w:ascii="Arial" w:cs="Arial" w:eastAsia="Arial" w:hAnsi="Arial"/>
          <w:sz w:val="18"/>
          <w:szCs w:val="18"/>
          <w:color w:val="auto"/>
        </w:rPr>
        <w:t>committee member retainer for non</w:t>
      </w:r>
      <w:r>
        <w:rPr>
          <w:rFonts w:ascii="MS PGothic" w:cs="MS PGothic" w:eastAsia="MS PGothic" w:hAnsi="MS PGothic"/>
          <w:sz w:val="18"/>
          <w:szCs w:val="18"/>
          <w:color w:val="auto"/>
        </w:rPr>
        <w:t>‑</w:t>
      </w:r>
      <w:r>
        <w:rPr>
          <w:rFonts w:ascii="Arial" w:cs="Arial" w:eastAsia="Arial" w:hAnsi="Arial"/>
          <w:sz w:val="18"/>
          <w:szCs w:val="18"/>
          <w:color w:val="auto"/>
        </w:rPr>
        <w:t>employee directors, from $10,000 to $15,000 per committee.</w:t>
      </w:r>
    </w:p>
    <w:p>
      <w:pPr>
        <w:spacing w:after="0" w:line="15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increases were made retroactive to the first day of the third quarter of fiscal 2025 and are payable in quarterly, proportional RSU grants. The grant date of the first quarterly RSU awards was January 27, 2026, and each subsequent quarterly RSU grant is to be made on the same date that quarterly cash compensation payments to non-employee directors are made, in each case subject to the Dave and Buster’s Entertainment, Inc. 2025 Omnibus Incentive Plan (“the 2025 Plan”) and standard director RSU terms, including the one-year vesting standard currently applicable to director RSU awards.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total stipend, fees and equity grant for non-employee directors for fiscal 2025: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Fiscal 2025 Annual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170815</wp:posOffset>
            </wp:positionV>
            <wp:extent cx="68256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25615" cy="8255"/>
                    </a:xfrm>
                    <a:prstGeom prst="rect">
                      <a:avLst/>
                    </a:prstGeom>
                    <a:noFill/>
                  </pic:spPr>
                </pic:pic>
              </a:graphicData>
            </a:graphic>
          </wp:anchor>
        </w:drawing>
      </w:r>
    </w:p>
    <w:p>
      <w:pPr>
        <w:spacing w:after="0" w:line="269" w:lineRule="exact"/>
        <w:rPr>
          <w:sz w:val="20"/>
          <w:szCs w:val="20"/>
          <w:color w:val="auto"/>
        </w:rPr>
      </w:pPr>
    </w:p>
    <w:tbl>
      <w:tblPr>
        <w:tblLayout w:type="fixed"/>
        <w:tblInd w:w="240" w:type="dxa"/>
        <w:tblCellMar>
          <w:top w:w="0" w:type="dxa"/>
          <w:left w:w="0" w:type="dxa"/>
          <w:bottom w:w="0" w:type="dxa"/>
          <w:right w:w="0" w:type="dxa"/>
        </w:tblCellMar>
      </w:tblPr>
      <w:tr>
        <w:trPr>
          <w:trHeight w:val="149"/>
        </w:trPr>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17"/>
              <w:spacing w:after="0"/>
              <w:rPr>
                <w:sz w:val="20"/>
                <w:szCs w:val="20"/>
                <w:color w:val="auto"/>
              </w:rPr>
            </w:pPr>
            <w:r>
              <w:rPr>
                <w:rFonts w:ascii="Arial" w:cs="Arial" w:eastAsia="Arial" w:hAnsi="Arial"/>
                <w:sz w:val="13"/>
                <w:szCs w:val="13"/>
                <w:b w:val="1"/>
                <w:bCs w:val="1"/>
                <w:color w:val="003B71"/>
                <w:w w:val="97"/>
              </w:rPr>
              <w:t>Nominating</w:t>
            </w:r>
          </w:p>
        </w:tc>
        <w:tc>
          <w:tcPr>
            <w:tcW w:w="240" w:type="dxa"/>
            <w:vAlign w:val="bottom"/>
          </w:tcPr>
          <w:p>
            <w:pPr>
              <w:spacing w:after="0"/>
              <w:rPr>
                <w:sz w:val="12"/>
                <w:szCs w:val="12"/>
                <w:color w:val="auto"/>
              </w:rPr>
            </w:pPr>
          </w:p>
        </w:tc>
        <w:tc>
          <w:tcPr>
            <w:tcW w:w="960" w:type="dxa"/>
            <w:vAlign w:val="bottom"/>
          </w:tcPr>
          <w:p>
            <w:pPr>
              <w:jc w:val="center"/>
              <w:ind w:right="117"/>
              <w:spacing w:after="0"/>
              <w:rPr>
                <w:sz w:val="20"/>
                <w:szCs w:val="20"/>
                <w:color w:val="auto"/>
              </w:rPr>
            </w:pPr>
            <w:r>
              <w:rPr>
                <w:rFonts w:ascii="Arial" w:cs="Arial" w:eastAsia="Arial" w:hAnsi="Arial"/>
                <w:sz w:val="13"/>
                <w:szCs w:val="13"/>
                <w:b w:val="1"/>
                <w:bCs w:val="1"/>
                <w:color w:val="003B71"/>
                <w:w w:val="95"/>
              </w:rPr>
              <w:t>Non-chair</w:t>
            </w:r>
          </w:p>
        </w:tc>
      </w:tr>
      <w:tr>
        <w:trPr>
          <w:trHeight w:val="148"/>
        </w:trPr>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117"/>
              <w:spacing w:after="0" w:line="148" w:lineRule="exact"/>
              <w:rPr>
                <w:sz w:val="20"/>
                <w:szCs w:val="20"/>
                <w:color w:val="auto"/>
              </w:rPr>
            </w:pPr>
            <w:r>
              <w:rPr>
                <w:rFonts w:ascii="Arial" w:cs="Arial" w:eastAsia="Arial" w:hAnsi="Arial"/>
                <w:sz w:val="13"/>
                <w:szCs w:val="13"/>
                <w:b w:val="1"/>
                <w:bCs w:val="1"/>
                <w:color w:val="003B71"/>
                <w:w w:val="94"/>
              </w:rPr>
              <w:t>and</w:t>
            </w:r>
          </w:p>
        </w:tc>
        <w:tc>
          <w:tcPr>
            <w:tcW w:w="240" w:type="dxa"/>
            <w:vAlign w:val="bottom"/>
          </w:tcPr>
          <w:p>
            <w:pPr>
              <w:spacing w:after="0"/>
              <w:rPr>
                <w:sz w:val="12"/>
                <w:szCs w:val="12"/>
                <w:color w:val="auto"/>
              </w:rPr>
            </w:pPr>
          </w:p>
        </w:tc>
        <w:tc>
          <w:tcPr>
            <w:tcW w:w="960" w:type="dxa"/>
            <w:vAlign w:val="bottom"/>
          </w:tcPr>
          <w:p>
            <w:pPr>
              <w:jc w:val="center"/>
              <w:ind w:right="97"/>
              <w:spacing w:after="0" w:line="148" w:lineRule="exact"/>
              <w:rPr>
                <w:sz w:val="20"/>
                <w:szCs w:val="20"/>
                <w:color w:val="auto"/>
              </w:rPr>
            </w:pPr>
            <w:r>
              <w:rPr>
                <w:rFonts w:ascii="Arial" w:cs="Arial" w:eastAsia="Arial" w:hAnsi="Arial"/>
                <w:sz w:val="13"/>
                <w:szCs w:val="13"/>
                <w:b w:val="1"/>
                <w:bCs w:val="1"/>
                <w:color w:val="003B71"/>
                <w:w w:val="96"/>
              </w:rPr>
              <w:t>Member</w:t>
            </w:r>
          </w:p>
        </w:tc>
      </w:tr>
      <w:tr>
        <w:trPr>
          <w:trHeight w:val="148"/>
        </w:trPr>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ind w:right="97"/>
              <w:spacing w:after="0" w:line="148" w:lineRule="exact"/>
              <w:rPr>
                <w:sz w:val="20"/>
                <w:szCs w:val="20"/>
                <w:color w:val="auto"/>
              </w:rPr>
            </w:pPr>
            <w:r>
              <w:rPr>
                <w:rFonts w:ascii="Arial" w:cs="Arial" w:eastAsia="Arial" w:hAnsi="Arial"/>
                <w:sz w:val="13"/>
                <w:szCs w:val="13"/>
                <w:b w:val="1"/>
                <w:bCs w:val="1"/>
                <w:color w:val="003B71"/>
                <w:w w:val="96"/>
              </w:rPr>
              <w:t>Corporate</w:t>
            </w:r>
          </w:p>
        </w:tc>
        <w:tc>
          <w:tcPr>
            <w:tcW w:w="240" w:type="dxa"/>
            <w:vAlign w:val="bottom"/>
          </w:tcPr>
          <w:p>
            <w:pPr>
              <w:spacing w:after="0"/>
              <w:rPr>
                <w:sz w:val="12"/>
                <w:szCs w:val="12"/>
                <w:color w:val="auto"/>
              </w:rPr>
            </w:pPr>
          </w:p>
        </w:tc>
        <w:tc>
          <w:tcPr>
            <w:tcW w:w="960" w:type="dxa"/>
            <w:vAlign w:val="bottom"/>
          </w:tcPr>
          <w:p>
            <w:pPr>
              <w:jc w:val="center"/>
              <w:ind w:right="117"/>
              <w:spacing w:after="0" w:line="148" w:lineRule="exact"/>
              <w:rPr>
                <w:sz w:val="20"/>
                <w:szCs w:val="20"/>
                <w:color w:val="auto"/>
              </w:rPr>
            </w:pPr>
            <w:r>
              <w:rPr>
                <w:rFonts w:ascii="Arial" w:cs="Arial" w:eastAsia="Arial" w:hAnsi="Arial"/>
                <w:sz w:val="13"/>
                <w:szCs w:val="13"/>
                <w:b w:val="1"/>
                <w:bCs w:val="1"/>
                <w:color w:val="003B71"/>
                <w:w w:val="99"/>
              </w:rPr>
              <w:t>of any</w:t>
            </w:r>
          </w:p>
        </w:tc>
      </w:tr>
      <w:tr>
        <w:trPr>
          <w:trHeight w:val="148"/>
        </w:trPr>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77"/>
              <w:spacing w:after="0" w:line="148" w:lineRule="exact"/>
              <w:rPr>
                <w:sz w:val="20"/>
                <w:szCs w:val="20"/>
                <w:color w:val="auto"/>
              </w:rPr>
            </w:pPr>
            <w:r>
              <w:rPr>
                <w:rFonts w:ascii="Arial" w:cs="Arial" w:eastAsia="Arial" w:hAnsi="Arial"/>
                <w:sz w:val="13"/>
                <w:szCs w:val="13"/>
                <w:b w:val="1"/>
                <w:bCs w:val="1"/>
                <w:color w:val="003B71"/>
                <w:w w:val="95"/>
              </w:rPr>
              <w:t>Equity</w:t>
            </w:r>
          </w:p>
        </w:tc>
        <w:tc>
          <w:tcPr>
            <w:tcW w:w="300" w:type="dxa"/>
            <w:vAlign w:val="bottom"/>
          </w:tcPr>
          <w:p>
            <w:pPr>
              <w:spacing w:after="0"/>
              <w:rPr>
                <w:sz w:val="12"/>
                <w:szCs w:val="12"/>
                <w:color w:val="auto"/>
              </w:rPr>
            </w:pPr>
          </w:p>
        </w:tc>
        <w:tc>
          <w:tcPr>
            <w:tcW w:w="920" w:type="dxa"/>
            <w:vAlign w:val="bottom"/>
          </w:tcPr>
          <w:p>
            <w:pPr>
              <w:jc w:val="center"/>
              <w:ind w:right="217"/>
              <w:spacing w:after="0" w:line="148" w:lineRule="exact"/>
              <w:rPr>
                <w:sz w:val="20"/>
                <w:szCs w:val="20"/>
                <w:color w:val="auto"/>
              </w:rPr>
            </w:pPr>
            <w:r>
              <w:rPr>
                <w:rFonts w:ascii="Arial" w:cs="Arial" w:eastAsia="Arial" w:hAnsi="Arial"/>
                <w:sz w:val="13"/>
                <w:szCs w:val="13"/>
                <w:b w:val="1"/>
                <w:bCs w:val="1"/>
                <w:color w:val="003B71"/>
                <w:w w:val="95"/>
              </w:rPr>
              <w:t>Board</w:t>
            </w:r>
          </w:p>
        </w:tc>
        <w:tc>
          <w:tcPr>
            <w:tcW w:w="160" w:type="dxa"/>
            <w:vAlign w:val="bottom"/>
          </w:tcPr>
          <w:p>
            <w:pPr>
              <w:spacing w:after="0"/>
              <w:rPr>
                <w:sz w:val="12"/>
                <w:szCs w:val="12"/>
                <w:color w:val="auto"/>
              </w:rPr>
            </w:pPr>
          </w:p>
        </w:tc>
        <w:tc>
          <w:tcPr>
            <w:tcW w:w="1060" w:type="dxa"/>
            <w:vAlign w:val="bottom"/>
          </w:tcPr>
          <w:p>
            <w:pPr>
              <w:jc w:val="center"/>
              <w:ind w:right="57"/>
              <w:spacing w:after="0" w:line="148" w:lineRule="exact"/>
              <w:rPr>
                <w:sz w:val="20"/>
                <w:szCs w:val="20"/>
                <w:color w:val="auto"/>
              </w:rPr>
            </w:pPr>
            <w:r>
              <w:rPr>
                <w:rFonts w:ascii="Arial" w:cs="Arial" w:eastAsia="Arial" w:hAnsi="Arial"/>
                <w:sz w:val="13"/>
                <w:szCs w:val="13"/>
                <w:b w:val="1"/>
                <w:bCs w:val="1"/>
                <w:color w:val="003B71"/>
                <w:w w:val="98"/>
              </w:rPr>
              <w:t>Lead</w:t>
            </w:r>
          </w:p>
        </w:tc>
        <w:tc>
          <w:tcPr>
            <w:tcW w:w="220" w:type="dxa"/>
            <w:vAlign w:val="bottom"/>
          </w:tcPr>
          <w:p>
            <w:pPr>
              <w:spacing w:after="0"/>
              <w:rPr>
                <w:sz w:val="12"/>
                <w:szCs w:val="12"/>
                <w:color w:val="auto"/>
              </w:rPr>
            </w:pPr>
          </w:p>
        </w:tc>
        <w:tc>
          <w:tcPr>
            <w:tcW w:w="1000" w:type="dxa"/>
            <w:vAlign w:val="bottom"/>
          </w:tcPr>
          <w:p>
            <w:pPr>
              <w:jc w:val="center"/>
              <w:ind w:right="137"/>
              <w:spacing w:after="0" w:line="148" w:lineRule="exact"/>
              <w:rPr>
                <w:sz w:val="20"/>
                <w:szCs w:val="20"/>
                <w:color w:val="auto"/>
              </w:rPr>
            </w:pPr>
            <w:r>
              <w:rPr>
                <w:rFonts w:ascii="Arial" w:cs="Arial" w:eastAsia="Arial" w:hAnsi="Arial"/>
                <w:sz w:val="13"/>
                <w:szCs w:val="13"/>
                <w:b w:val="1"/>
                <w:bCs w:val="1"/>
                <w:color w:val="003B71"/>
                <w:w w:val="96"/>
              </w:rPr>
              <w:t>Audit</w:t>
            </w:r>
          </w:p>
        </w:tc>
        <w:tc>
          <w:tcPr>
            <w:tcW w:w="200" w:type="dxa"/>
            <w:vAlign w:val="bottom"/>
          </w:tcPr>
          <w:p>
            <w:pPr>
              <w:spacing w:after="0"/>
              <w:rPr>
                <w:sz w:val="12"/>
                <w:szCs w:val="12"/>
                <w:color w:val="auto"/>
              </w:rPr>
            </w:pPr>
          </w:p>
        </w:tc>
        <w:tc>
          <w:tcPr>
            <w:tcW w:w="1120" w:type="dxa"/>
            <w:vAlign w:val="bottom"/>
          </w:tcPr>
          <w:p>
            <w:pPr>
              <w:jc w:val="center"/>
              <w:ind w:right="97"/>
              <w:spacing w:after="0" w:line="148" w:lineRule="exact"/>
              <w:rPr>
                <w:sz w:val="20"/>
                <w:szCs w:val="20"/>
                <w:color w:val="auto"/>
              </w:rPr>
            </w:pPr>
            <w:r>
              <w:rPr>
                <w:rFonts w:ascii="Arial" w:cs="Arial" w:eastAsia="Arial" w:hAnsi="Arial"/>
                <w:sz w:val="13"/>
                <w:szCs w:val="13"/>
                <w:b w:val="1"/>
                <w:bCs w:val="1"/>
                <w:color w:val="003B71"/>
                <w:w w:val="97"/>
              </w:rPr>
              <w:t>Compensation</w:t>
            </w:r>
          </w:p>
        </w:tc>
        <w:tc>
          <w:tcPr>
            <w:tcW w:w="220" w:type="dxa"/>
            <w:vAlign w:val="bottom"/>
          </w:tcPr>
          <w:p>
            <w:pPr>
              <w:spacing w:after="0"/>
              <w:rPr>
                <w:sz w:val="12"/>
                <w:szCs w:val="12"/>
                <w:color w:val="auto"/>
              </w:rPr>
            </w:pPr>
          </w:p>
        </w:tc>
        <w:tc>
          <w:tcPr>
            <w:tcW w:w="1000" w:type="dxa"/>
            <w:vAlign w:val="bottom"/>
          </w:tcPr>
          <w:p>
            <w:pPr>
              <w:jc w:val="center"/>
              <w:ind w:right="117"/>
              <w:spacing w:after="0" w:line="148" w:lineRule="exact"/>
              <w:rPr>
                <w:sz w:val="20"/>
                <w:szCs w:val="20"/>
                <w:color w:val="auto"/>
              </w:rPr>
            </w:pPr>
            <w:r>
              <w:rPr>
                <w:rFonts w:ascii="Arial" w:cs="Arial" w:eastAsia="Arial" w:hAnsi="Arial"/>
                <w:sz w:val="13"/>
                <w:szCs w:val="13"/>
                <w:b w:val="1"/>
                <w:bCs w:val="1"/>
                <w:color w:val="003B71"/>
                <w:w w:val="93"/>
              </w:rPr>
              <w:t>Finance</w:t>
            </w:r>
          </w:p>
        </w:tc>
        <w:tc>
          <w:tcPr>
            <w:tcW w:w="220" w:type="dxa"/>
            <w:vAlign w:val="bottom"/>
          </w:tcPr>
          <w:p>
            <w:pPr>
              <w:spacing w:after="0"/>
              <w:rPr>
                <w:sz w:val="12"/>
                <w:szCs w:val="12"/>
                <w:color w:val="auto"/>
              </w:rPr>
            </w:pPr>
          </w:p>
        </w:tc>
        <w:tc>
          <w:tcPr>
            <w:tcW w:w="1000" w:type="dxa"/>
            <w:vAlign w:val="bottom"/>
          </w:tcPr>
          <w:p>
            <w:pPr>
              <w:jc w:val="center"/>
              <w:ind w:right="117"/>
              <w:spacing w:after="0" w:line="148" w:lineRule="exact"/>
              <w:rPr>
                <w:sz w:val="20"/>
                <w:szCs w:val="20"/>
                <w:color w:val="auto"/>
              </w:rPr>
            </w:pPr>
            <w:r>
              <w:rPr>
                <w:rFonts w:ascii="Arial" w:cs="Arial" w:eastAsia="Arial" w:hAnsi="Arial"/>
                <w:sz w:val="13"/>
                <w:szCs w:val="13"/>
                <w:b w:val="1"/>
                <w:bCs w:val="1"/>
                <w:color w:val="003B71"/>
                <w:w w:val="98"/>
              </w:rPr>
              <w:t>Governance</w:t>
            </w:r>
          </w:p>
        </w:tc>
        <w:tc>
          <w:tcPr>
            <w:tcW w:w="240" w:type="dxa"/>
            <w:vAlign w:val="bottom"/>
          </w:tcPr>
          <w:p>
            <w:pPr>
              <w:spacing w:after="0"/>
              <w:rPr>
                <w:sz w:val="12"/>
                <w:szCs w:val="12"/>
                <w:color w:val="auto"/>
              </w:rPr>
            </w:pPr>
          </w:p>
        </w:tc>
        <w:tc>
          <w:tcPr>
            <w:tcW w:w="960" w:type="dxa"/>
            <w:vAlign w:val="bottom"/>
          </w:tcPr>
          <w:p>
            <w:pPr>
              <w:jc w:val="center"/>
              <w:ind w:right="97"/>
              <w:spacing w:after="0" w:line="148" w:lineRule="exact"/>
              <w:rPr>
                <w:sz w:val="20"/>
                <w:szCs w:val="20"/>
                <w:color w:val="auto"/>
              </w:rPr>
            </w:pPr>
            <w:r>
              <w:rPr>
                <w:rFonts w:ascii="Arial" w:cs="Arial" w:eastAsia="Arial" w:hAnsi="Arial"/>
                <w:sz w:val="13"/>
                <w:szCs w:val="13"/>
                <w:b w:val="1"/>
                <w:bCs w:val="1"/>
                <w:color w:val="003B71"/>
                <w:w w:val="95"/>
              </w:rPr>
              <w:t>standing</w:t>
            </w:r>
          </w:p>
        </w:tc>
      </w:tr>
      <w:tr>
        <w:trPr>
          <w:trHeight w:val="148"/>
        </w:trPr>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77"/>
              <w:spacing w:after="0" w:line="148" w:lineRule="exact"/>
              <w:rPr>
                <w:sz w:val="20"/>
                <w:szCs w:val="20"/>
                <w:color w:val="auto"/>
              </w:rPr>
            </w:pPr>
            <w:r>
              <w:rPr>
                <w:rFonts w:ascii="Arial" w:cs="Arial" w:eastAsia="Arial" w:hAnsi="Arial"/>
                <w:sz w:val="13"/>
                <w:szCs w:val="13"/>
                <w:b w:val="1"/>
                <w:bCs w:val="1"/>
                <w:color w:val="003B71"/>
                <w:w w:val="97"/>
              </w:rPr>
              <w:t>Grant</w:t>
            </w:r>
          </w:p>
        </w:tc>
        <w:tc>
          <w:tcPr>
            <w:tcW w:w="300" w:type="dxa"/>
            <w:vAlign w:val="bottom"/>
          </w:tcPr>
          <w:p>
            <w:pPr>
              <w:spacing w:after="0"/>
              <w:rPr>
                <w:sz w:val="12"/>
                <w:szCs w:val="12"/>
                <w:color w:val="auto"/>
              </w:rPr>
            </w:pPr>
          </w:p>
        </w:tc>
        <w:tc>
          <w:tcPr>
            <w:tcW w:w="920" w:type="dxa"/>
            <w:vAlign w:val="bottom"/>
          </w:tcPr>
          <w:p>
            <w:pPr>
              <w:jc w:val="center"/>
              <w:ind w:right="217"/>
              <w:spacing w:after="0" w:line="148" w:lineRule="exact"/>
              <w:rPr>
                <w:sz w:val="20"/>
                <w:szCs w:val="20"/>
                <w:color w:val="auto"/>
              </w:rPr>
            </w:pPr>
            <w:r>
              <w:rPr>
                <w:rFonts w:ascii="Arial" w:cs="Arial" w:eastAsia="Arial" w:hAnsi="Arial"/>
                <w:sz w:val="13"/>
                <w:szCs w:val="13"/>
                <w:b w:val="1"/>
                <w:bCs w:val="1"/>
                <w:color w:val="003B71"/>
                <w:w w:val="96"/>
              </w:rPr>
              <w:t>Chair</w:t>
            </w:r>
          </w:p>
        </w:tc>
        <w:tc>
          <w:tcPr>
            <w:tcW w:w="160" w:type="dxa"/>
            <w:vAlign w:val="bottom"/>
          </w:tcPr>
          <w:p>
            <w:pPr>
              <w:spacing w:after="0"/>
              <w:rPr>
                <w:sz w:val="12"/>
                <w:szCs w:val="12"/>
                <w:color w:val="auto"/>
              </w:rPr>
            </w:pPr>
          </w:p>
        </w:tc>
        <w:tc>
          <w:tcPr>
            <w:tcW w:w="1060" w:type="dxa"/>
            <w:vAlign w:val="bottom"/>
          </w:tcPr>
          <w:p>
            <w:pPr>
              <w:jc w:val="center"/>
              <w:ind w:right="57"/>
              <w:spacing w:after="0" w:line="148" w:lineRule="exact"/>
              <w:rPr>
                <w:sz w:val="20"/>
                <w:szCs w:val="20"/>
                <w:color w:val="auto"/>
              </w:rPr>
            </w:pPr>
            <w:r>
              <w:rPr>
                <w:rFonts w:ascii="Arial" w:cs="Arial" w:eastAsia="Arial" w:hAnsi="Arial"/>
                <w:sz w:val="13"/>
                <w:szCs w:val="13"/>
                <w:b w:val="1"/>
                <w:bCs w:val="1"/>
                <w:color w:val="003B71"/>
                <w:w w:val="95"/>
              </w:rPr>
              <w:t>Independent</w:t>
            </w:r>
          </w:p>
        </w:tc>
        <w:tc>
          <w:tcPr>
            <w:tcW w:w="220" w:type="dxa"/>
            <w:vAlign w:val="bottom"/>
          </w:tcPr>
          <w:p>
            <w:pPr>
              <w:spacing w:after="0"/>
              <w:rPr>
                <w:sz w:val="12"/>
                <w:szCs w:val="12"/>
                <w:color w:val="auto"/>
              </w:rPr>
            </w:pPr>
          </w:p>
        </w:tc>
        <w:tc>
          <w:tcPr>
            <w:tcW w:w="1000" w:type="dxa"/>
            <w:vAlign w:val="bottom"/>
          </w:tcPr>
          <w:p>
            <w:pPr>
              <w:jc w:val="center"/>
              <w:ind w:right="117"/>
              <w:spacing w:after="0" w:line="148" w:lineRule="exact"/>
              <w:rPr>
                <w:sz w:val="20"/>
                <w:szCs w:val="20"/>
                <w:color w:val="auto"/>
              </w:rPr>
            </w:pPr>
            <w:r>
              <w:rPr>
                <w:rFonts w:ascii="Arial" w:cs="Arial" w:eastAsia="Arial" w:hAnsi="Arial"/>
                <w:sz w:val="13"/>
                <w:szCs w:val="13"/>
                <w:b w:val="1"/>
                <w:bCs w:val="1"/>
                <w:color w:val="003B71"/>
                <w:w w:val="98"/>
              </w:rPr>
              <w:t>Committee</w:t>
            </w:r>
          </w:p>
        </w:tc>
        <w:tc>
          <w:tcPr>
            <w:tcW w:w="200" w:type="dxa"/>
            <w:vAlign w:val="bottom"/>
          </w:tcPr>
          <w:p>
            <w:pPr>
              <w:spacing w:after="0"/>
              <w:rPr>
                <w:sz w:val="12"/>
                <w:szCs w:val="12"/>
                <w:color w:val="auto"/>
              </w:rPr>
            </w:pPr>
          </w:p>
        </w:tc>
        <w:tc>
          <w:tcPr>
            <w:tcW w:w="1120" w:type="dxa"/>
            <w:vAlign w:val="bottom"/>
          </w:tcPr>
          <w:p>
            <w:pPr>
              <w:jc w:val="center"/>
              <w:ind w:right="97"/>
              <w:spacing w:after="0" w:line="148" w:lineRule="exact"/>
              <w:rPr>
                <w:sz w:val="20"/>
                <w:szCs w:val="20"/>
                <w:color w:val="auto"/>
              </w:rPr>
            </w:pPr>
            <w:r>
              <w:rPr>
                <w:rFonts w:ascii="Arial" w:cs="Arial" w:eastAsia="Arial" w:hAnsi="Arial"/>
                <w:sz w:val="13"/>
                <w:szCs w:val="13"/>
                <w:b w:val="1"/>
                <w:bCs w:val="1"/>
                <w:color w:val="003B71"/>
                <w:w w:val="95"/>
              </w:rPr>
              <w:t>Committee</w:t>
            </w:r>
          </w:p>
        </w:tc>
        <w:tc>
          <w:tcPr>
            <w:tcW w:w="220" w:type="dxa"/>
            <w:vAlign w:val="bottom"/>
          </w:tcPr>
          <w:p>
            <w:pPr>
              <w:spacing w:after="0"/>
              <w:rPr>
                <w:sz w:val="12"/>
                <w:szCs w:val="12"/>
                <w:color w:val="auto"/>
              </w:rPr>
            </w:pPr>
          </w:p>
        </w:tc>
        <w:tc>
          <w:tcPr>
            <w:tcW w:w="1000" w:type="dxa"/>
            <w:vAlign w:val="bottom"/>
          </w:tcPr>
          <w:p>
            <w:pPr>
              <w:jc w:val="center"/>
              <w:ind w:right="117"/>
              <w:spacing w:after="0" w:line="148" w:lineRule="exact"/>
              <w:rPr>
                <w:sz w:val="20"/>
                <w:szCs w:val="20"/>
                <w:color w:val="auto"/>
              </w:rPr>
            </w:pPr>
            <w:r>
              <w:rPr>
                <w:rFonts w:ascii="Arial" w:cs="Arial" w:eastAsia="Arial" w:hAnsi="Arial"/>
                <w:sz w:val="13"/>
                <w:szCs w:val="13"/>
                <w:b w:val="1"/>
                <w:bCs w:val="1"/>
                <w:color w:val="003B71"/>
                <w:w w:val="98"/>
              </w:rPr>
              <w:t>Committee</w:t>
            </w:r>
          </w:p>
        </w:tc>
        <w:tc>
          <w:tcPr>
            <w:tcW w:w="220" w:type="dxa"/>
            <w:vAlign w:val="bottom"/>
          </w:tcPr>
          <w:p>
            <w:pPr>
              <w:spacing w:after="0"/>
              <w:rPr>
                <w:sz w:val="12"/>
                <w:szCs w:val="12"/>
                <w:color w:val="auto"/>
              </w:rPr>
            </w:pPr>
          </w:p>
        </w:tc>
        <w:tc>
          <w:tcPr>
            <w:tcW w:w="1000" w:type="dxa"/>
            <w:vAlign w:val="bottom"/>
          </w:tcPr>
          <w:p>
            <w:pPr>
              <w:jc w:val="center"/>
              <w:ind w:right="117"/>
              <w:spacing w:after="0" w:line="148" w:lineRule="exact"/>
              <w:rPr>
                <w:sz w:val="20"/>
                <w:szCs w:val="20"/>
                <w:color w:val="auto"/>
              </w:rPr>
            </w:pPr>
            <w:r>
              <w:rPr>
                <w:rFonts w:ascii="Arial" w:cs="Arial" w:eastAsia="Arial" w:hAnsi="Arial"/>
                <w:sz w:val="13"/>
                <w:szCs w:val="13"/>
                <w:b w:val="1"/>
                <w:bCs w:val="1"/>
                <w:color w:val="003B71"/>
                <w:w w:val="98"/>
              </w:rPr>
              <w:t>Committee</w:t>
            </w:r>
          </w:p>
        </w:tc>
        <w:tc>
          <w:tcPr>
            <w:tcW w:w="240" w:type="dxa"/>
            <w:vAlign w:val="bottom"/>
          </w:tcPr>
          <w:p>
            <w:pPr>
              <w:spacing w:after="0"/>
              <w:rPr>
                <w:sz w:val="12"/>
                <w:szCs w:val="12"/>
                <w:color w:val="auto"/>
              </w:rPr>
            </w:pPr>
          </w:p>
        </w:tc>
        <w:tc>
          <w:tcPr>
            <w:tcW w:w="960" w:type="dxa"/>
            <w:vAlign w:val="bottom"/>
          </w:tcPr>
          <w:p>
            <w:pPr>
              <w:jc w:val="center"/>
              <w:ind w:right="97"/>
              <w:spacing w:after="0" w:line="148" w:lineRule="exact"/>
              <w:rPr>
                <w:sz w:val="20"/>
                <w:szCs w:val="20"/>
                <w:color w:val="auto"/>
              </w:rPr>
            </w:pPr>
            <w:r>
              <w:rPr>
                <w:rFonts w:ascii="Arial" w:cs="Arial" w:eastAsia="Arial" w:hAnsi="Arial"/>
                <w:sz w:val="13"/>
                <w:szCs w:val="13"/>
                <w:b w:val="1"/>
                <w:bCs w:val="1"/>
                <w:color w:val="003B71"/>
                <w:w w:val="95"/>
              </w:rPr>
              <w:t>Committee</w:t>
            </w:r>
          </w:p>
        </w:tc>
      </w:tr>
      <w:tr>
        <w:trPr>
          <w:trHeight w:val="185"/>
        </w:trPr>
        <w:tc>
          <w:tcPr>
            <w:tcW w:w="540" w:type="dxa"/>
            <w:vAlign w:val="bottom"/>
          </w:tcPr>
          <w:p>
            <w:pPr>
              <w:ind w:left="20"/>
              <w:spacing w:after="0"/>
              <w:rPr>
                <w:sz w:val="20"/>
                <w:szCs w:val="20"/>
                <w:color w:val="auto"/>
              </w:rPr>
            </w:pPr>
            <w:r>
              <w:rPr>
                <w:rFonts w:ascii="Arial" w:cs="Arial" w:eastAsia="Arial" w:hAnsi="Arial"/>
                <w:sz w:val="13"/>
                <w:szCs w:val="13"/>
                <w:b w:val="1"/>
                <w:bCs w:val="1"/>
                <w:color w:val="003B71"/>
              </w:rPr>
              <w:t>Stipend</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57"/>
              <w:spacing w:after="0"/>
              <w:rPr>
                <w:sz w:val="20"/>
                <w:szCs w:val="20"/>
                <w:color w:val="auto"/>
              </w:rPr>
            </w:pPr>
            <w:r>
              <w:rPr>
                <w:rFonts w:ascii="Arial" w:cs="Arial" w:eastAsia="Arial" w:hAnsi="Arial"/>
                <w:sz w:val="13"/>
                <w:szCs w:val="13"/>
                <w:b w:val="1"/>
                <w:bCs w:val="1"/>
                <w:color w:val="003B71"/>
                <w:w w:val="94"/>
              </w:rPr>
              <w:t>Value(1)</w:t>
            </w:r>
          </w:p>
        </w:tc>
        <w:tc>
          <w:tcPr>
            <w:tcW w:w="300" w:type="dxa"/>
            <w:vAlign w:val="bottom"/>
          </w:tcPr>
          <w:p>
            <w:pPr>
              <w:spacing w:after="0"/>
              <w:rPr>
                <w:sz w:val="16"/>
                <w:szCs w:val="16"/>
                <w:color w:val="auto"/>
              </w:rPr>
            </w:pPr>
          </w:p>
        </w:tc>
        <w:tc>
          <w:tcPr>
            <w:tcW w:w="920" w:type="dxa"/>
            <w:vAlign w:val="bottom"/>
          </w:tcPr>
          <w:p>
            <w:pPr>
              <w:jc w:val="center"/>
              <w:ind w:right="197"/>
              <w:spacing w:after="0"/>
              <w:rPr>
                <w:sz w:val="20"/>
                <w:szCs w:val="20"/>
                <w:color w:val="auto"/>
              </w:rPr>
            </w:pPr>
            <w:r>
              <w:rPr>
                <w:rFonts w:ascii="Arial" w:cs="Arial" w:eastAsia="Arial" w:hAnsi="Arial"/>
                <w:sz w:val="13"/>
                <w:szCs w:val="13"/>
                <w:b w:val="1"/>
                <w:bCs w:val="1"/>
                <w:color w:val="003B71"/>
                <w:w w:val="97"/>
              </w:rPr>
              <w:t>Fee</w:t>
            </w: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Arial" w:cs="Arial" w:eastAsia="Arial" w:hAnsi="Arial"/>
                <w:sz w:val="13"/>
                <w:szCs w:val="13"/>
                <w:b w:val="1"/>
                <w:bCs w:val="1"/>
                <w:color w:val="003B71"/>
                <w:w w:val="95"/>
              </w:rPr>
              <w:t>Director Fee(2)</w:t>
            </w:r>
          </w:p>
        </w:tc>
        <w:tc>
          <w:tcPr>
            <w:tcW w:w="22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3"/>
                <w:szCs w:val="13"/>
                <w:b w:val="1"/>
                <w:bCs w:val="1"/>
                <w:color w:val="003B71"/>
                <w:w w:val="97"/>
              </w:rPr>
              <w:t>Chair Fee</w:t>
            </w:r>
          </w:p>
        </w:tc>
        <w:tc>
          <w:tcPr>
            <w:tcW w:w="200" w:type="dxa"/>
            <w:vAlign w:val="bottom"/>
          </w:tcPr>
          <w:p>
            <w:pPr>
              <w:spacing w:after="0"/>
              <w:rPr>
                <w:sz w:val="16"/>
                <w:szCs w:val="16"/>
                <w:color w:val="auto"/>
              </w:rPr>
            </w:pPr>
          </w:p>
        </w:tc>
        <w:tc>
          <w:tcPr>
            <w:tcW w:w="1120" w:type="dxa"/>
            <w:vAlign w:val="bottom"/>
          </w:tcPr>
          <w:p>
            <w:pPr>
              <w:jc w:val="center"/>
              <w:ind w:right="97"/>
              <w:spacing w:after="0"/>
              <w:rPr>
                <w:sz w:val="20"/>
                <w:szCs w:val="20"/>
                <w:color w:val="auto"/>
              </w:rPr>
            </w:pPr>
            <w:r>
              <w:rPr>
                <w:rFonts w:ascii="Arial" w:cs="Arial" w:eastAsia="Arial" w:hAnsi="Arial"/>
                <w:sz w:val="13"/>
                <w:szCs w:val="13"/>
                <w:b w:val="1"/>
                <w:bCs w:val="1"/>
                <w:color w:val="003B71"/>
                <w:w w:val="94"/>
              </w:rPr>
              <w:t>Chair Fee</w:t>
            </w:r>
          </w:p>
        </w:tc>
        <w:tc>
          <w:tcPr>
            <w:tcW w:w="22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3"/>
                <w:szCs w:val="13"/>
                <w:b w:val="1"/>
                <w:bCs w:val="1"/>
                <w:color w:val="003B71"/>
                <w:w w:val="97"/>
              </w:rPr>
              <w:t>Chair Fee</w:t>
            </w:r>
          </w:p>
        </w:tc>
        <w:tc>
          <w:tcPr>
            <w:tcW w:w="220" w:type="dxa"/>
            <w:vAlign w:val="bottom"/>
          </w:tcPr>
          <w:p>
            <w:pPr>
              <w:spacing w:after="0"/>
              <w:rPr>
                <w:sz w:val="16"/>
                <w:szCs w:val="16"/>
                <w:color w:val="auto"/>
              </w:rPr>
            </w:pPr>
          </w:p>
        </w:tc>
        <w:tc>
          <w:tcPr>
            <w:tcW w:w="1000" w:type="dxa"/>
            <w:vAlign w:val="bottom"/>
          </w:tcPr>
          <w:p>
            <w:pPr>
              <w:jc w:val="center"/>
              <w:ind w:right="117"/>
              <w:spacing w:after="0"/>
              <w:rPr>
                <w:sz w:val="20"/>
                <w:szCs w:val="20"/>
                <w:color w:val="auto"/>
              </w:rPr>
            </w:pPr>
            <w:r>
              <w:rPr>
                <w:rFonts w:ascii="Arial" w:cs="Arial" w:eastAsia="Arial" w:hAnsi="Arial"/>
                <w:sz w:val="13"/>
                <w:szCs w:val="13"/>
                <w:b w:val="1"/>
                <w:bCs w:val="1"/>
                <w:color w:val="003B71"/>
                <w:w w:val="97"/>
              </w:rPr>
              <w:t>Chair Fee</w:t>
            </w:r>
          </w:p>
        </w:tc>
        <w:tc>
          <w:tcPr>
            <w:tcW w:w="24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3"/>
                <w:szCs w:val="13"/>
                <w:b w:val="1"/>
                <w:bCs w:val="1"/>
                <w:color w:val="003B71"/>
                <w:w w:val="97"/>
              </w:rPr>
              <w:t>Fee</w:t>
            </w:r>
          </w:p>
        </w:tc>
      </w:tr>
      <w:tr>
        <w:trPr>
          <w:trHeight w:val="21"/>
        </w:trPr>
        <w:tc>
          <w:tcPr>
            <w:tcW w:w="540" w:type="dxa"/>
            <w:vAlign w:val="bottom"/>
            <w:tcBorders>
              <w:bottom w:val="single" w:sz="8" w:color="003B71"/>
            </w:tcBorders>
          </w:tcPr>
          <w:p>
            <w:pPr>
              <w:spacing w:after="0" w:line="20" w:lineRule="exact"/>
              <w:rPr>
                <w:sz w:val="1"/>
                <w:szCs w:val="1"/>
                <w:color w:val="auto"/>
              </w:rPr>
            </w:pPr>
          </w:p>
        </w:tc>
        <w:tc>
          <w:tcPr>
            <w:tcW w:w="480" w:type="dxa"/>
            <w:vAlign w:val="bottom"/>
            <w:tcBorders>
              <w:bottom w:val="single" w:sz="8" w:color="003B71"/>
            </w:tcBorders>
          </w:tcPr>
          <w:p>
            <w:pPr>
              <w:spacing w:after="0" w:line="20" w:lineRule="exact"/>
              <w:rPr>
                <w:sz w:val="1"/>
                <w:szCs w:val="1"/>
                <w:color w:val="auto"/>
              </w:rPr>
            </w:pPr>
          </w:p>
        </w:tc>
        <w:tc>
          <w:tcPr>
            <w:tcW w:w="220" w:type="dxa"/>
            <w:vAlign w:val="bottom"/>
            <w:tcBorders>
              <w:bottom w:val="single" w:sz="8" w:color="003B71"/>
            </w:tcBorders>
          </w:tcPr>
          <w:p>
            <w:pPr>
              <w:spacing w:after="0" w:line="20" w:lineRule="exact"/>
              <w:rPr>
                <w:sz w:val="1"/>
                <w:szCs w:val="1"/>
                <w:color w:val="auto"/>
              </w:rPr>
            </w:pPr>
          </w:p>
        </w:tc>
        <w:tc>
          <w:tcPr>
            <w:tcW w:w="900" w:type="dxa"/>
            <w:vAlign w:val="bottom"/>
            <w:tcBorders>
              <w:bottom w:val="single" w:sz="8" w:color="003B71"/>
            </w:tcBorders>
          </w:tcPr>
          <w:p>
            <w:pPr>
              <w:spacing w:after="0" w:line="20" w:lineRule="exact"/>
              <w:rPr>
                <w:sz w:val="1"/>
                <w:szCs w:val="1"/>
                <w:color w:val="auto"/>
              </w:rPr>
            </w:pPr>
          </w:p>
        </w:tc>
        <w:tc>
          <w:tcPr>
            <w:tcW w:w="300" w:type="dxa"/>
            <w:vAlign w:val="bottom"/>
            <w:tcBorders>
              <w:bottom w:val="single" w:sz="8" w:color="003B71"/>
            </w:tcBorders>
          </w:tcPr>
          <w:p>
            <w:pPr>
              <w:spacing w:after="0" w:line="20" w:lineRule="exact"/>
              <w:rPr>
                <w:sz w:val="1"/>
                <w:szCs w:val="1"/>
                <w:color w:val="auto"/>
              </w:rPr>
            </w:pPr>
          </w:p>
        </w:tc>
        <w:tc>
          <w:tcPr>
            <w:tcW w:w="920" w:type="dxa"/>
            <w:vAlign w:val="bottom"/>
            <w:tcBorders>
              <w:bottom w:val="single" w:sz="8" w:color="003B71"/>
            </w:tcBorders>
          </w:tcPr>
          <w:p>
            <w:pPr>
              <w:spacing w:after="0" w:line="20" w:lineRule="exact"/>
              <w:rPr>
                <w:sz w:val="1"/>
                <w:szCs w:val="1"/>
                <w:color w:val="auto"/>
              </w:rPr>
            </w:pPr>
          </w:p>
        </w:tc>
        <w:tc>
          <w:tcPr>
            <w:tcW w:w="160" w:type="dxa"/>
            <w:vAlign w:val="bottom"/>
            <w:tcBorders>
              <w:bottom w:val="single" w:sz="8" w:color="003B71"/>
            </w:tcBorders>
          </w:tcPr>
          <w:p>
            <w:pPr>
              <w:spacing w:after="0" w:line="20" w:lineRule="exact"/>
              <w:rPr>
                <w:sz w:val="1"/>
                <w:szCs w:val="1"/>
                <w:color w:val="auto"/>
              </w:rPr>
            </w:pPr>
          </w:p>
        </w:tc>
        <w:tc>
          <w:tcPr>
            <w:tcW w:w="1060" w:type="dxa"/>
            <w:vAlign w:val="bottom"/>
            <w:tcBorders>
              <w:bottom w:val="single" w:sz="8" w:color="003B71"/>
            </w:tcBorders>
          </w:tcPr>
          <w:p>
            <w:pPr>
              <w:spacing w:after="0" w:line="20" w:lineRule="exact"/>
              <w:rPr>
                <w:sz w:val="1"/>
                <w:szCs w:val="1"/>
                <w:color w:val="auto"/>
              </w:rPr>
            </w:pPr>
          </w:p>
        </w:tc>
        <w:tc>
          <w:tcPr>
            <w:tcW w:w="220" w:type="dxa"/>
            <w:vAlign w:val="bottom"/>
            <w:tcBorders>
              <w:bottom w:val="single" w:sz="8" w:color="003B71"/>
            </w:tcBorders>
          </w:tcPr>
          <w:p>
            <w:pPr>
              <w:spacing w:after="0" w:line="20" w:lineRule="exact"/>
              <w:rPr>
                <w:sz w:val="1"/>
                <w:szCs w:val="1"/>
                <w:color w:val="auto"/>
              </w:rPr>
            </w:pPr>
          </w:p>
        </w:tc>
        <w:tc>
          <w:tcPr>
            <w:tcW w:w="1000" w:type="dxa"/>
            <w:vAlign w:val="bottom"/>
            <w:tcBorders>
              <w:bottom w:val="single" w:sz="8" w:color="003B71"/>
            </w:tcBorders>
          </w:tcPr>
          <w:p>
            <w:pPr>
              <w:spacing w:after="0" w:line="20" w:lineRule="exact"/>
              <w:rPr>
                <w:sz w:val="1"/>
                <w:szCs w:val="1"/>
                <w:color w:val="auto"/>
              </w:rPr>
            </w:pPr>
          </w:p>
        </w:tc>
        <w:tc>
          <w:tcPr>
            <w:tcW w:w="200" w:type="dxa"/>
            <w:vAlign w:val="bottom"/>
            <w:tcBorders>
              <w:bottom w:val="single" w:sz="8" w:color="003B71"/>
            </w:tcBorders>
          </w:tcPr>
          <w:p>
            <w:pPr>
              <w:spacing w:after="0" w:line="20" w:lineRule="exact"/>
              <w:rPr>
                <w:sz w:val="1"/>
                <w:szCs w:val="1"/>
                <w:color w:val="auto"/>
              </w:rPr>
            </w:pPr>
          </w:p>
        </w:tc>
        <w:tc>
          <w:tcPr>
            <w:tcW w:w="1120" w:type="dxa"/>
            <w:vAlign w:val="bottom"/>
            <w:tcBorders>
              <w:bottom w:val="single" w:sz="8" w:color="003B71"/>
            </w:tcBorders>
          </w:tcPr>
          <w:p>
            <w:pPr>
              <w:spacing w:after="0" w:line="20" w:lineRule="exact"/>
              <w:rPr>
                <w:sz w:val="1"/>
                <w:szCs w:val="1"/>
                <w:color w:val="auto"/>
              </w:rPr>
            </w:pPr>
          </w:p>
        </w:tc>
        <w:tc>
          <w:tcPr>
            <w:tcW w:w="220" w:type="dxa"/>
            <w:vAlign w:val="bottom"/>
            <w:tcBorders>
              <w:bottom w:val="single" w:sz="8" w:color="003B71"/>
            </w:tcBorders>
          </w:tcPr>
          <w:p>
            <w:pPr>
              <w:spacing w:after="0" w:line="20" w:lineRule="exact"/>
              <w:rPr>
                <w:sz w:val="1"/>
                <w:szCs w:val="1"/>
                <w:color w:val="auto"/>
              </w:rPr>
            </w:pPr>
          </w:p>
        </w:tc>
        <w:tc>
          <w:tcPr>
            <w:tcW w:w="1000" w:type="dxa"/>
            <w:vAlign w:val="bottom"/>
            <w:tcBorders>
              <w:bottom w:val="single" w:sz="8" w:color="003B71"/>
            </w:tcBorders>
          </w:tcPr>
          <w:p>
            <w:pPr>
              <w:spacing w:after="0" w:line="20" w:lineRule="exact"/>
              <w:rPr>
                <w:sz w:val="1"/>
                <w:szCs w:val="1"/>
                <w:color w:val="auto"/>
              </w:rPr>
            </w:pPr>
          </w:p>
        </w:tc>
        <w:tc>
          <w:tcPr>
            <w:tcW w:w="220" w:type="dxa"/>
            <w:vAlign w:val="bottom"/>
            <w:tcBorders>
              <w:bottom w:val="single" w:sz="8" w:color="003B71"/>
            </w:tcBorders>
          </w:tcPr>
          <w:p>
            <w:pPr>
              <w:spacing w:after="0" w:line="20" w:lineRule="exact"/>
              <w:rPr>
                <w:sz w:val="1"/>
                <w:szCs w:val="1"/>
                <w:color w:val="auto"/>
              </w:rPr>
            </w:pPr>
          </w:p>
        </w:tc>
        <w:tc>
          <w:tcPr>
            <w:tcW w:w="1000" w:type="dxa"/>
            <w:vAlign w:val="bottom"/>
            <w:tcBorders>
              <w:bottom w:val="single" w:sz="8" w:color="003B71"/>
            </w:tcBorders>
          </w:tcPr>
          <w:p>
            <w:pPr>
              <w:spacing w:after="0" w:line="20" w:lineRule="exact"/>
              <w:rPr>
                <w:sz w:val="1"/>
                <w:szCs w:val="1"/>
                <w:color w:val="auto"/>
              </w:rPr>
            </w:pPr>
          </w:p>
        </w:tc>
        <w:tc>
          <w:tcPr>
            <w:tcW w:w="240" w:type="dxa"/>
            <w:vAlign w:val="bottom"/>
            <w:tcBorders>
              <w:bottom w:val="single" w:sz="8" w:color="003B71"/>
            </w:tcBorders>
          </w:tcPr>
          <w:p>
            <w:pPr>
              <w:spacing w:after="0" w:line="20" w:lineRule="exact"/>
              <w:rPr>
                <w:sz w:val="1"/>
                <w:szCs w:val="1"/>
                <w:color w:val="auto"/>
              </w:rPr>
            </w:pPr>
          </w:p>
        </w:tc>
        <w:tc>
          <w:tcPr>
            <w:tcW w:w="960" w:type="dxa"/>
            <w:vAlign w:val="bottom"/>
            <w:tcBorders>
              <w:bottom w:val="single" w:sz="8" w:color="003B71"/>
            </w:tcBorders>
          </w:tcPr>
          <w:p>
            <w:pPr>
              <w:spacing w:after="0" w:line="20" w:lineRule="exact"/>
              <w:rPr>
                <w:sz w:val="1"/>
                <w:szCs w:val="1"/>
                <w:color w:val="auto"/>
              </w:rPr>
            </w:pPr>
          </w:p>
        </w:tc>
      </w:tr>
      <w:tr>
        <w:trPr>
          <w:trHeight w:val="168"/>
        </w:trPr>
        <w:tc>
          <w:tcPr>
            <w:tcW w:w="540" w:type="dxa"/>
            <w:vAlign w:val="bottom"/>
            <w:shd w:val="clear" w:color="auto" w:fill="E5E5E5"/>
          </w:tcPr>
          <w:p>
            <w:pPr>
              <w:ind w:left="20"/>
              <w:spacing w:after="0"/>
              <w:rPr>
                <w:sz w:val="20"/>
                <w:szCs w:val="20"/>
                <w:color w:val="auto"/>
              </w:rPr>
            </w:pPr>
            <w:r>
              <w:rPr>
                <w:rFonts w:ascii="Arial" w:cs="Arial" w:eastAsia="Arial" w:hAnsi="Arial"/>
                <w:sz w:val="13"/>
                <w:szCs w:val="13"/>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75,000</w:t>
            </w:r>
          </w:p>
        </w:tc>
        <w:tc>
          <w:tcPr>
            <w:tcW w:w="22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162,500</w:t>
            </w:r>
          </w:p>
        </w:tc>
        <w:tc>
          <w:tcPr>
            <w:tcW w:w="300" w:type="dxa"/>
            <w:vAlign w:val="bottom"/>
            <w:shd w:val="clear" w:color="auto" w:fill="E5E5E5"/>
          </w:tcPr>
          <w:p>
            <w:pPr>
              <w:jc w:val="right"/>
              <w:ind w:right="97"/>
              <w:spacing w:after="0"/>
              <w:rPr>
                <w:sz w:val="20"/>
                <w:szCs w:val="20"/>
                <w:color w:val="auto"/>
              </w:rPr>
            </w:pPr>
            <w:r>
              <w:rPr>
                <w:rFonts w:ascii="Arial" w:cs="Arial" w:eastAsia="Arial" w:hAnsi="Arial"/>
                <w:sz w:val="13"/>
                <w:szCs w:val="13"/>
                <w:color w:val="auto"/>
              </w:rPr>
              <w:t>$</w:t>
            </w:r>
          </w:p>
        </w:tc>
        <w:tc>
          <w:tcPr>
            <w:tcW w:w="92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137,500</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50,000</w:t>
            </w:r>
          </w:p>
        </w:tc>
        <w:tc>
          <w:tcPr>
            <w:tcW w:w="2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30,000</w:t>
            </w:r>
          </w:p>
        </w:tc>
        <w:tc>
          <w:tcPr>
            <w:tcW w:w="20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E5E5E5"/>
          </w:tcPr>
          <w:p>
            <w:pPr>
              <w:jc w:val="right"/>
              <w:ind w:right="37"/>
              <w:spacing w:after="0"/>
              <w:rPr>
                <w:sz w:val="20"/>
                <w:szCs w:val="20"/>
                <w:color w:val="auto"/>
              </w:rPr>
            </w:pPr>
            <w:r>
              <w:rPr>
                <w:rFonts w:ascii="Arial" w:cs="Arial" w:eastAsia="Arial" w:hAnsi="Arial"/>
                <w:sz w:val="13"/>
                <w:szCs w:val="13"/>
                <w:color w:val="auto"/>
              </w:rPr>
              <w:t>25,000</w:t>
            </w:r>
          </w:p>
        </w:tc>
        <w:tc>
          <w:tcPr>
            <w:tcW w:w="2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25,000</w:t>
            </w:r>
          </w:p>
        </w:tc>
        <w:tc>
          <w:tcPr>
            <w:tcW w:w="22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25,000</w:t>
            </w:r>
          </w:p>
        </w:tc>
        <w:tc>
          <w:tcPr>
            <w:tcW w:w="240" w:type="dxa"/>
            <w:vAlign w:val="bottom"/>
            <w:shd w:val="clear" w:color="auto" w:fill="E5E5E5"/>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12,500</w:t>
            </w:r>
          </w:p>
        </w:tc>
      </w:tr>
      <w:tr>
        <w:trPr>
          <w:trHeight w:val="27"/>
        </w:trPr>
        <w:tc>
          <w:tcPr>
            <w:tcW w:w="540" w:type="dxa"/>
            <w:vAlign w:val="bottom"/>
            <w:shd w:val="clear" w:color="auto" w:fill="E5E5E5"/>
          </w:tcPr>
          <w:p>
            <w:pPr>
              <w:spacing w:after="0"/>
              <w:rPr>
                <w:sz w:val="2"/>
                <w:szCs w:val="2"/>
                <w:color w:val="auto"/>
              </w:rPr>
            </w:pPr>
          </w:p>
        </w:tc>
        <w:tc>
          <w:tcPr>
            <w:tcW w:w="480" w:type="dxa"/>
            <w:vAlign w:val="bottom"/>
            <w:shd w:val="clear" w:color="auto" w:fill="E5E5E5"/>
          </w:tcPr>
          <w:p>
            <w:pPr>
              <w:spacing w:after="0"/>
              <w:rPr>
                <w:sz w:val="2"/>
                <w:szCs w:val="2"/>
                <w:color w:val="auto"/>
              </w:rPr>
            </w:pPr>
          </w:p>
        </w:tc>
        <w:tc>
          <w:tcPr>
            <w:tcW w:w="220" w:type="dxa"/>
            <w:vAlign w:val="bottom"/>
            <w:shd w:val="clear" w:color="auto" w:fill="E5E5E5"/>
          </w:tcPr>
          <w:p>
            <w:pPr>
              <w:spacing w:after="0"/>
              <w:rPr>
                <w:sz w:val="2"/>
                <w:szCs w:val="2"/>
                <w:color w:val="auto"/>
              </w:rPr>
            </w:pPr>
          </w:p>
        </w:tc>
        <w:tc>
          <w:tcPr>
            <w:tcW w:w="900" w:type="dxa"/>
            <w:vAlign w:val="bottom"/>
            <w:shd w:val="clear" w:color="auto" w:fill="E5E5E5"/>
          </w:tcPr>
          <w:p>
            <w:pPr>
              <w:spacing w:after="0"/>
              <w:rPr>
                <w:sz w:val="2"/>
                <w:szCs w:val="2"/>
                <w:color w:val="auto"/>
              </w:rPr>
            </w:pPr>
          </w:p>
        </w:tc>
        <w:tc>
          <w:tcPr>
            <w:tcW w:w="300" w:type="dxa"/>
            <w:vAlign w:val="bottom"/>
            <w:shd w:val="clear" w:color="auto" w:fill="E5E5E5"/>
          </w:tcPr>
          <w:p>
            <w:pPr>
              <w:spacing w:after="0"/>
              <w:rPr>
                <w:sz w:val="2"/>
                <w:szCs w:val="2"/>
                <w:color w:val="auto"/>
              </w:rPr>
            </w:pPr>
          </w:p>
        </w:tc>
        <w:tc>
          <w:tcPr>
            <w:tcW w:w="920" w:type="dxa"/>
            <w:vAlign w:val="bottom"/>
            <w:shd w:val="clear" w:color="auto" w:fill="E5E5E5"/>
          </w:tcPr>
          <w:p>
            <w:pPr>
              <w:spacing w:after="0"/>
              <w:rPr>
                <w:sz w:val="2"/>
                <w:szCs w:val="2"/>
                <w:color w:val="auto"/>
              </w:rPr>
            </w:pPr>
          </w:p>
        </w:tc>
        <w:tc>
          <w:tcPr>
            <w:tcW w:w="160" w:type="dxa"/>
            <w:vAlign w:val="bottom"/>
            <w:shd w:val="clear" w:color="auto" w:fill="E5E5E5"/>
          </w:tcPr>
          <w:p>
            <w:pPr>
              <w:spacing w:after="0"/>
              <w:rPr>
                <w:sz w:val="2"/>
                <w:szCs w:val="2"/>
                <w:color w:val="auto"/>
              </w:rPr>
            </w:pPr>
          </w:p>
        </w:tc>
        <w:tc>
          <w:tcPr>
            <w:tcW w:w="1060" w:type="dxa"/>
            <w:vAlign w:val="bottom"/>
            <w:shd w:val="clear" w:color="auto" w:fill="E5E5E5"/>
          </w:tcPr>
          <w:p>
            <w:pPr>
              <w:spacing w:after="0"/>
              <w:rPr>
                <w:sz w:val="2"/>
                <w:szCs w:val="2"/>
                <w:color w:val="auto"/>
              </w:rPr>
            </w:pPr>
          </w:p>
        </w:tc>
        <w:tc>
          <w:tcPr>
            <w:tcW w:w="220" w:type="dxa"/>
            <w:vAlign w:val="bottom"/>
            <w:shd w:val="clear" w:color="auto" w:fill="E5E5E5"/>
          </w:tcPr>
          <w:p>
            <w:pPr>
              <w:spacing w:after="0"/>
              <w:rPr>
                <w:sz w:val="2"/>
                <w:szCs w:val="2"/>
                <w:color w:val="auto"/>
              </w:rPr>
            </w:pPr>
          </w:p>
        </w:tc>
        <w:tc>
          <w:tcPr>
            <w:tcW w:w="1000" w:type="dxa"/>
            <w:vAlign w:val="bottom"/>
            <w:shd w:val="clear" w:color="auto" w:fill="E5E5E5"/>
          </w:tcPr>
          <w:p>
            <w:pPr>
              <w:spacing w:after="0"/>
              <w:rPr>
                <w:sz w:val="2"/>
                <w:szCs w:val="2"/>
                <w:color w:val="auto"/>
              </w:rPr>
            </w:pPr>
          </w:p>
        </w:tc>
        <w:tc>
          <w:tcPr>
            <w:tcW w:w="200" w:type="dxa"/>
            <w:vAlign w:val="bottom"/>
            <w:shd w:val="clear" w:color="auto" w:fill="E5E5E5"/>
          </w:tcPr>
          <w:p>
            <w:pPr>
              <w:spacing w:after="0"/>
              <w:rPr>
                <w:sz w:val="2"/>
                <w:szCs w:val="2"/>
                <w:color w:val="auto"/>
              </w:rPr>
            </w:pPr>
          </w:p>
        </w:tc>
        <w:tc>
          <w:tcPr>
            <w:tcW w:w="1120" w:type="dxa"/>
            <w:vAlign w:val="bottom"/>
            <w:shd w:val="clear" w:color="auto" w:fill="E5E5E5"/>
          </w:tcPr>
          <w:p>
            <w:pPr>
              <w:spacing w:after="0"/>
              <w:rPr>
                <w:sz w:val="2"/>
                <w:szCs w:val="2"/>
                <w:color w:val="auto"/>
              </w:rPr>
            </w:pPr>
          </w:p>
        </w:tc>
        <w:tc>
          <w:tcPr>
            <w:tcW w:w="220" w:type="dxa"/>
            <w:vAlign w:val="bottom"/>
            <w:shd w:val="clear" w:color="auto" w:fill="E5E5E5"/>
          </w:tcPr>
          <w:p>
            <w:pPr>
              <w:spacing w:after="0"/>
              <w:rPr>
                <w:sz w:val="2"/>
                <w:szCs w:val="2"/>
                <w:color w:val="auto"/>
              </w:rPr>
            </w:pPr>
          </w:p>
        </w:tc>
        <w:tc>
          <w:tcPr>
            <w:tcW w:w="1000" w:type="dxa"/>
            <w:vAlign w:val="bottom"/>
            <w:shd w:val="clear" w:color="auto" w:fill="E5E5E5"/>
          </w:tcPr>
          <w:p>
            <w:pPr>
              <w:spacing w:after="0"/>
              <w:rPr>
                <w:sz w:val="2"/>
                <w:szCs w:val="2"/>
                <w:color w:val="auto"/>
              </w:rPr>
            </w:pPr>
          </w:p>
        </w:tc>
        <w:tc>
          <w:tcPr>
            <w:tcW w:w="220" w:type="dxa"/>
            <w:vAlign w:val="bottom"/>
            <w:shd w:val="clear" w:color="auto" w:fill="E5E5E5"/>
          </w:tcPr>
          <w:p>
            <w:pPr>
              <w:spacing w:after="0"/>
              <w:rPr>
                <w:sz w:val="2"/>
                <w:szCs w:val="2"/>
                <w:color w:val="auto"/>
              </w:rPr>
            </w:pPr>
          </w:p>
        </w:tc>
        <w:tc>
          <w:tcPr>
            <w:tcW w:w="1000" w:type="dxa"/>
            <w:vAlign w:val="bottom"/>
            <w:shd w:val="clear" w:color="auto" w:fill="E5E5E5"/>
          </w:tcPr>
          <w:p>
            <w:pPr>
              <w:spacing w:after="0"/>
              <w:rPr>
                <w:sz w:val="2"/>
                <w:szCs w:val="2"/>
                <w:color w:val="auto"/>
              </w:rPr>
            </w:pPr>
          </w:p>
        </w:tc>
        <w:tc>
          <w:tcPr>
            <w:tcW w:w="240" w:type="dxa"/>
            <w:vAlign w:val="bottom"/>
            <w:shd w:val="clear" w:color="auto" w:fill="E5E5E5"/>
          </w:tcPr>
          <w:p>
            <w:pPr>
              <w:spacing w:after="0"/>
              <w:rPr>
                <w:sz w:val="2"/>
                <w:szCs w:val="2"/>
                <w:color w:val="auto"/>
              </w:rPr>
            </w:pPr>
          </w:p>
        </w:tc>
        <w:tc>
          <w:tcPr>
            <w:tcW w:w="960" w:type="dxa"/>
            <w:vAlign w:val="bottom"/>
            <w:shd w:val="clear" w:color="auto" w:fill="E5E5E5"/>
          </w:tcPr>
          <w:p>
            <w:pPr>
              <w:spacing w:after="0"/>
              <w:rPr>
                <w:sz w:val="2"/>
                <w:szCs w:val="2"/>
                <w:color w:val="auto"/>
              </w:rPr>
            </w:pPr>
          </w:p>
        </w:tc>
      </w:tr>
    </w:tbl>
    <w:p>
      <w:pPr>
        <w:spacing w:after="0" w:line="120" w:lineRule="exact"/>
        <w:rPr>
          <w:sz w:val="20"/>
          <w:szCs w:val="20"/>
          <w:color w:val="auto"/>
        </w:rPr>
      </w:pPr>
    </w:p>
    <w:p>
      <w:pPr>
        <w:ind w:left="400" w:hanging="393"/>
        <w:spacing w:after="0"/>
        <w:tabs>
          <w:tab w:leader="none" w:pos="4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Actual number of RSUs is determined based on the closing stock price on the day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293370</wp:posOffset>
            </wp:positionV>
            <wp:extent cx="71329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15</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21" w:name="page22"/>
    <w:bookmarkEnd w:id="21"/>
    <w:p>
      <w:pPr>
        <w:ind w:left="500" w:hanging="413"/>
        <w:spacing w:after="0" w:line="284" w:lineRule="auto"/>
        <w:tabs>
          <w:tab w:leader="none" w:pos="495" w:val="left"/>
        </w:tabs>
        <w:numPr>
          <w:ilvl w:val="0"/>
          <w:numId w:val="50"/>
        </w:numPr>
        <w:rPr>
          <w:rFonts w:ascii="Arial" w:cs="Arial" w:eastAsia="Arial" w:hAnsi="Arial"/>
          <w:sz w:val="16"/>
          <w:szCs w:val="16"/>
          <w:color w:val="auto"/>
        </w:rPr>
      </w:pPr>
      <w:r>
        <w:rPr>
          <w:rFonts w:ascii="Arial" w:cs="Arial" w:eastAsia="Arial" w:hAnsi="Arial"/>
          <w:sz w:val="16"/>
          <w:szCs w:val="16"/>
          <w:color w:val="auto"/>
        </w:rPr>
        <w:t>Lead Independent Director Fee is paid to the independent Chair of the Board, and if the Chair is not independent, then it is paid to the independent director designated as Lead Independent Director.</w:t>
      </w:r>
    </w:p>
    <w:p>
      <w:pPr>
        <w:spacing w:after="0" w:line="57" w:lineRule="exact"/>
        <w:rPr>
          <w:sz w:val="20"/>
          <w:szCs w:val="20"/>
          <w:color w:val="auto"/>
        </w:rPr>
      </w:pPr>
    </w:p>
    <w:p>
      <w:pPr>
        <w:jc w:val="both"/>
        <w:ind w:left="80"/>
        <w:spacing w:after="0" w:line="267" w:lineRule="auto"/>
        <w:rPr>
          <w:sz w:val="20"/>
          <w:szCs w:val="20"/>
          <w:color w:val="auto"/>
        </w:rPr>
      </w:pPr>
      <w:r>
        <w:rPr>
          <w:rFonts w:ascii="Arial" w:cs="Arial" w:eastAsia="Arial" w:hAnsi="Arial"/>
          <w:sz w:val="18"/>
          <w:szCs w:val="18"/>
          <w:color w:val="auto"/>
        </w:rPr>
        <w:t xml:space="preserve">The following table sets forth all compensation earned by our current and former non-employee directors during fiscal 2025 for service on our Board of Directors, other than Mr. Sheehan, who served as Interim Chief Executive Officer for a portion of fiscal 2025 and whose compensation is reported in the </w:t>
      </w:r>
      <w:r>
        <w:rPr>
          <w:rFonts w:ascii="Arial" w:cs="Arial" w:eastAsia="Arial" w:hAnsi="Arial"/>
          <w:sz w:val="18"/>
          <w:szCs w:val="18"/>
          <w:i w:val="1"/>
          <w:iCs w:val="1"/>
          <w:u w:val="single" w:color="auto"/>
          <w:color w:val="0000FF"/>
        </w:rPr>
        <w:t>2025 Summary Compensation Table</w:t>
      </w:r>
      <w:r>
        <w:rPr>
          <w:rFonts w:ascii="Arial" w:cs="Arial" w:eastAsia="Arial" w:hAnsi="Arial"/>
          <w:sz w:val="18"/>
          <w:szCs w:val="18"/>
          <w:i w:val="1"/>
          <w:iCs w:val="1"/>
          <w:color w:val="auto"/>
        </w:rPr>
        <w:t>:</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003B71"/>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37465</wp:posOffset>
            </wp:positionV>
            <wp:extent cx="71329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7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Arial" w:cs="Arial" w:eastAsia="Arial" w:hAnsi="Arial"/>
                <w:sz w:val="14"/>
                <w:szCs w:val="14"/>
                <w:b w:val="1"/>
                <w:bCs w:val="1"/>
                <w:color w:val="003B71"/>
                <w:w w:val="99"/>
              </w:rPr>
              <w:t>FEES EARNED OR</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3"/>
        </w:trPr>
        <w:tc>
          <w:tcPr>
            <w:tcW w:w="4020" w:type="dxa"/>
            <w:vAlign w:val="bottom"/>
            <w:tcBorders>
              <w:bottom w:val="single" w:sz="8" w:color="003B71"/>
            </w:tcBorders>
          </w:tcPr>
          <w:p>
            <w:pPr>
              <w:ind w:left="20"/>
              <w:spacing w:after="0"/>
              <w:rPr>
                <w:sz w:val="20"/>
                <w:szCs w:val="20"/>
                <w:color w:val="auto"/>
              </w:rPr>
            </w:pPr>
            <w:r>
              <w:rPr>
                <w:rFonts w:ascii="Arial" w:cs="Arial" w:eastAsia="Arial" w:hAnsi="Arial"/>
                <w:sz w:val="14"/>
                <w:szCs w:val="14"/>
                <w:b w:val="1"/>
                <w:bCs w:val="1"/>
                <w:color w:val="003B71"/>
              </w:rPr>
              <w:t xml:space="preserve">NAME </w:t>
            </w:r>
            <w:r>
              <w:rPr>
                <w:rFonts w:ascii="Arial" w:cs="Arial" w:eastAsia="Arial" w:hAnsi="Arial"/>
                <w:sz w:val="18"/>
                <w:szCs w:val="18"/>
                <w:b w:val="1"/>
                <w:bCs w:val="1"/>
                <w:color w:val="003B71"/>
                <w:vertAlign w:val="superscript"/>
              </w:rPr>
              <w:t>(1)</w:t>
            </w:r>
          </w:p>
        </w:tc>
        <w:tc>
          <w:tcPr>
            <w:tcW w:w="2660" w:type="dxa"/>
            <w:vAlign w:val="bottom"/>
            <w:tcBorders>
              <w:bottom w:val="single" w:sz="8" w:color="003B71"/>
            </w:tcBorders>
          </w:tcPr>
          <w:p>
            <w:pPr>
              <w:spacing w:after="0"/>
              <w:rPr>
                <w:sz w:val="18"/>
                <w:szCs w:val="18"/>
                <w:color w:val="auto"/>
              </w:rPr>
            </w:pPr>
          </w:p>
        </w:tc>
        <w:tc>
          <w:tcPr>
            <w:tcW w:w="1400" w:type="dxa"/>
            <w:vAlign w:val="bottom"/>
            <w:tcBorders>
              <w:bottom w:val="single" w:sz="8" w:color="003B71"/>
            </w:tcBorders>
          </w:tcPr>
          <w:p>
            <w:pPr>
              <w:jc w:val="right"/>
              <w:ind w:right="141"/>
              <w:spacing w:after="0"/>
              <w:rPr>
                <w:sz w:val="20"/>
                <w:szCs w:val="20"/>
                <w:color w:val="auto"/>
              </w:rPr>
            </w:pPr>
            <w:r>
              <w:rPr>
                <w:rFonts w:ascii="Arial" w:cs="Arial" w:eastAsia="Arial" w:hAnsi="Arial"/>
                <w:sz w:val="14"/>
                <w:szCs w:val="14"/>
                <w:b w:val="1"/>
                <w:bCs w:val="1"/>
                <w:color w:val="003B71"/>
              </w:rPr>
              <w:t xml:space="preserve">PAID IN CASH </w:t>
            </w:r>
            <w:r>
              <w:rPr>
                <w:rFonts w:ascii="Arial" w:cs="Arial" w:eastAsia="Arial" w:hAnsi="Arial"/>
                <w:sz w:val="18"/>
                <w:szCs w:val="18"/>
                <w:b w:val="1"/>
                <w:bCs w:val="1"/>
                <w:color w:val="003B71"/>
                <w:vertAlign w:val="superscript"/>
              </w:rPr>
              <w:t>(2)</w:t>
            </w:r>
          </w:p>
        </w:tc>
        <w:tc>
          <w:tcPr>
            <w:tcW w:w="1580" w:type="dxa"/>
            <w:vAlign w:val="bottom"/>
            <w:tcBorders>
              <w:bottom w:val="single" w:sz="8" w:color="003B71"/>
            </w:tcBorders>
            <w:gridSpan w:val="2"/>
          </w:tcPr>
          <w:p>
            <w:pPr>
              <w:jc w:val="right"/>
              <w:ind w:right="19"/>
              <w:spacing w:after="0"/>
              <w:rPr>
                <w:sz w:val="20"/>
                <w:szCs w:val="20"/>
                <w:color w:val="auto"/>
              </w:rPr>
            </w:pPr>
            <w:r>
              <w:rPr>
                <w:rFonts w:ascii="Arial" w:cs="Arial" w:eastAsia="Arial" w:hAnsi="Arial"/>
                <w:sz w:val="14"/>
                <w:szCs w:val="14"/>
                <w:b w:val="1"/>
                <w:bCs w:val="1"/>
                <w:color w:val="003B71"/>
              </w:rPr>
              <w:t xml:space="preserve">STOCK AWARDS </w:t>
            </w:r>
            <w:r>
              <w:rPr>
                <w:rFonts w:ascii="Arial" w:cs="Arial" w:eastAsia="Arial" w:hAnsi="Arial"/>
                <w:sz w:val="18"/>
                <w:szCs w:val="18"/>
                <w:b w:val="1"/>
                <w:bCs w:val="1"/>
                <w:color w:val="003B71"/>
                <w:vertAlign w:val="superscript"/>
              </w:rPr>
              <w:t>(3)</w:t>
            </w:r>
          </w:p>
        </w:tc>
        <w:tc>
          <w:tcPr>
            <w:tcW w:w="380" w:type="dxa"/>
            <w:vAlign w:val="bottom"/>
            <w:tcBorders>
              <w:bottom w:val="single" w:sz="8" w:color="003B71"/>
            </w:tcBorders>
          </w:tcPr>
          <w:p>
            <w:pPr>
              <w:spacing w:after="0"/>
              <w:rPr>
                <w:sz w:val="18"/>
                <w:szCs w:val="18"/>
                <w:color w:val="auto"/>
              </w:rPr>
            </w:pPr>
          </w:p>
        </w:tc>
        <w:tc>
          <w:tcPr>
            <w:tcW w:w="1200" w:type="dxa"/>
            <w:vAlign w:val="bottom"/>
            <w:tcBorders>
              <w:bottom w:val="single" w:sz="8" w:color="003B71"/>
            </w:tcBorders>
          </w:tcPr>
          <w:p>
            <w:pPr>
              <w:jc w:val="right"/>
              <w:ind w:right="440"/>
              <w:spacing w:after="0"/>
              <w:rPr>
                <w:sz w:val="20"/>
                <w:szCs w:val="20"/>
                <w:color w:val="auto"/>
              </w:rPr>
            </w:pPr>
            <w:r>
              <w:rPr>
                <w:rFonts w:ascii="Arial" w:cs="Arial" w:eastAsia="Arial" w:hAnsi="Arial"/>
                <w:sz w:val="14"/>
                <w:szCs w:val="14"/>
                <w:b w:val="1"/>
                <w:bCs w:val="1"/>
                <w:color w:val="003B71"/>
              </w:rPr>
              <w:t>TOTAL</w:t>
            </w:r>
          </w:p>
        </w:tc>
      </w:tr>
      <w:tr>
        <w:trPr>
          <w:trHeight w:val="235"/>
        </w:trPr>
        <w:tc>
          <w:tcPr>
            <w:tcW w:w="4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James P. Chambers</w:t>
            </w:r>
          </w:p>
        </w:tc>
        <w:tc>
          <w:tcPr>
            <w:tcW w:w="2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107,857</w:t>
            </w:r>
          </w:p>
        </w:tc>
        <w:tc>
          <w:tcPr>
            <w:tcW w:w="54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155,050</w:t>
            </w:r>
          </w:p>
        </w:tc>
        <w:tc>
          <w:tcPr>
            <w:tcW w:w="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262,907</w:t>
            </w:r>
          </w:p>
        </w:tc>
      </w:tr>
      <w:tr>
        <w:trPr>
          <w:trHeight w:val="234"/>
        </w:trPr>
        <w:tc>
          <w:tcPr>
            <w:tcW w:w="4020" w:type="dxa"/>
            <w:vAlign w:val="bottom"/>
          </w:tcPr>
          <w:p>
            <w:pPr>
              <w:ind w:left="20"/>
              <w:spacing w:after="0"/>
              <w:rPr>
                <w:sz w:val="20"/>
                <w:szCs w:val="20"/>
                <w:color w:val="auto"/>
              </w:rPr>
            </w:pPr>
            <w:r>
              <w:rPr>
                <w:rFonts w:ascii="Arial" w:cs="Arial" w:eastAsia="Arial" w:hAnsi="Arial"/>
                <w:sz w:val="16"/>
                <w:szCs w:val="16"/>
                <w:color w:val="auto"/>
              </w:rPr>
              <w:t>Hamish A. Dodds</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85,262</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153,719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238,981</w:t>
            </w:r>
          </w:p>
        </w:tc>
      </w:tr>
      <w:tr>
        <w:trPr>
          <w:trHeight w:val="249"/>
        </w:trPr>
        <w:tc>
          <w:tcPr>
            <w:tcW w:w="4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Nathaniel J. Lipman</w:t>
            </w:r>
          </w:p>
        </w:tc>
        <w:tc>
          <w:tcPr>
            <w:tcW w:w="2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60,027</w:t>
            </w:r>
          </w:p>
        </w:tc>
        <w:tc>
          <w:tcPr>
            <w:tcW w:w="54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153,680</w:t>
            </w:r>
          </w:p>
        </w:tc>
        <w:tc>
          <w:tcPr>
            <w:tcW w:w="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213,707</w:t>
            </w:r>
          </w:p>
        </w:tc>
      </w:tr>
      <w:tr>
        <w:trPr>
          <w:trHeight w:val="234"/>
        </w:trPr>
        <w:tc>
          <w:tcPr>
            <w:tcW w:w="4020" w:type="dxa"/>
            <w:vAlign w:val="bottom"/>
          </w:tcPr>
          <w:p>
            <w:pPr>
              <w:ind w:left="20"/>
              <w:spacing w:after="0"/>
              <w:rPr>
                <w:sz w:val="20"/>
                <w:szCs w:val="20"/>
                <w:color w:val="auto"/>
              </w:rPr>
            </w:pPr>
            <w:r>
              <w:rPr>
                <w:rFonts w:ascii="Arial" w:cs="Arial" w:eastAsia="Arial" w:hAnsi="Arial"/>
                <w:sz w:val="16"/>
                <w:szCs w:val="16"/>
                <w:color w:val="auto"/>
              </w:rPr>
              <w:t>Michael J. Griffith</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61,607</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61,607</w:t>
            </w:r>
          </w:p>
        </w:tc>
      </w:tr>
      <w:tr>
        <w:trPr>
          <w:trHeight w:val="249"/>
        </w:trPr>
        <w:tc>
          <w:tcPr>
            <w:tcW w:w="4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Gail Mandel</w:t>
            </w:r>
          </w:p>
        </w:tc>
        <w:tc>
          <w:tcPr>
            <w:tcW w:w="2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35,234</w:t>
            </w:r>
          </w:p>
        </w:tc>
        <w:tc>
          <w:tcPr>
            <w:tcW w:w="54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35,234</w:t>
            </w:r>
          </w:p>
        </w:tc>
      </w:tr>
      <w:tr>
        <w:trPr>
          <w:trHeight w:val="234"/>
        </w:trPr>
        <w:tc>
          <w:tcPr>
            <w:tcW w:w="4020" w:type="dxa"/>
            <w:vAlign w:val="bottom"/>
          </w:tcPr>
          <w:p>
            <w:pPr>
              <w:ind w:left="20"/>
              <w:spacing w:after="0"/>
              <w:rPr>
                <w:sz w:val="20"/>
                <w:szCs w:val="20"/>
                <w:color w:val="auto"/>
              </w:rPr>
            </w:pPr>
            <w:r>
              <w:rPr>
                <w:rFonts w:ascii="Arial" w:cs="Arial" w:eastAsia="Arial" w:hAnsi="Arial"/>
                <w:sz w:val="16"/>
                <w:szCs w:val="16"/>
                <w:color w:val="auto"/>
              </w:rPr>
              <w:t>Scott I. Ross</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99,066</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154,934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254,000</w:t>
            </w:r>
          </w:p>
        </w:tc>
      </w:tr>
      <w:tr>
        <w:trPr>
          <w:trHeight w:val="249"/>
        </w:trPr>
        <w:tc>
          <w:tcPr>
            <w:tcW w:w="4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Atish Shah</w:t>
            </w:r>
          </w:p>
        </w:tc>
        <w:tc>
          <w:tcPr>
            <w:tcW w:w="2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110,000</w:t>
            </w:r>
          </w:p>
        </w:tc>
        <w:tc>
          <w:tcPr>
            <w:tcW w:w="54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154,934</w:t>
            </w:r>
          </w:p>
        </w:tc>
        <w:tc>
          <w:tcPr>
            <w:tcW w:w="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264,934</w:t>
            </w:r>
          </w:p>
        </w:tc>
      </w:tr>
      <w:tr>
        <w:trPr>
          <w:trHeight w:val="234"/>
        </w:trPr>
        <w:tc>
          <w:tcPr>
            <w:tcW w:w="4020" w:type="dxa"/>
            <w:vAlign w:val="bottom"/>
          </w:tcPr>
          <w:p>
            <w:pPr>
              <w:ind w:left="20"/>
              <w:spacing w:after="0"/>
              <w:rPr>
                <w:sz w:val="20"/>
                <w:szCs w:val="20"/>
                <w:color w:val="auto"/>
              </w:rPr>
            </w:pPr>
            <w:r>
              <w:rPr>
                <w:rFonts w:ascii="Arial" w:cs="Arial" w:eastAsia="Arial" w:hAnsi="Arial"/>
                <w:sz w:val="16"/>
                <w:szCs w:val="16"/>
                <w:color w:val="auto"/>
              </w:rPr>
              <w:t>Jennifer Storms</w:t>
            </w:r>
          </w:p>
        </w:tc>
        <w:tc>
          <w:tcPr>
            <w:tcW w:w="26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38,942</w:t>
            </w:r>
          </w:p>
        </w:tc>
        <w:tc>
          <w:tcPr>
            <w:tcW w:w="54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38,942</w:t>
            </w:r>
          </w:p>
        </w:tc>
      </w:tr>
      <w:tr>
        <w:trPr>
          <w:trHeight w:val="249"/>
        </w:trPr>
        <w:tc>
          <w:tcPr>
            <w:tcW w:w="4020" w:type="dxa"/>
            <w:vAlign w:val="bottom"/>
            <w:shd w:val="clear" w:color="auto" w:fill="E5E5E5"/>
          </w:tcPr>
          <w:p>
            <w:pPr>
              <w:ind w:left="20"/>
              <w:spacing w:after="0"/>
              <w:rPr>
                <w:sz w:val="20"/>
                <w:szCs w:val="20"/>
                <w:color w:val="auto"/>
              </w:rPr>
            </w:pPr>
            <w:r>
              <w:rPr>
                <w:rFonts w:ascii="Arial" w:cs="Arial" w:eastAsia="Arial" w:hAnsi="Arial"/>
                <w:sz w:val="16"/>
                <w:szCs w:val="16"/>
                <w:color w:val="auto"/>
              </w:rPr>
              <w:t>Allen R. Weiss</w:t>
            </w:r>
          </w:p>
        </w:tc>
        <w:tc>
          <w:tcPr>
            <w:tcW w:w="2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E5E5E5"/>
          </w:tcPr>
          <w:p>
            <w:pPr>
              <w:jc w:val="right"/>
              <w:ind w:right="21"/>
              <w:spacing w:after="0"/>
              <w:rPr>
                <w:sz w:val="20"/>
                <w:szCs w:val="20"/>
                <w:color w:val="auto"/>
              </w:rPr>
            </w:pPr>
            <w:r>
              <w:rPr>
                <w:rFonts w:ascii="Arial" w:cs="Arial" w:eastAsia="Arial" w:hAnsi="Arial"/>
                <w:sz w:val="16"/>
                <w:szCs w:val="16"/>
                <w:color w:val="auto"/>
              </w:rPr>
              <w:t>62,857</w:t>
            </w:r>
          </w:p>
        </w:tc>
        <w:tc>
          <w:tcPr>
            <w:tcW w:w="540" w:type="dxa"/>
            <w:vAlign w:val="bottom"/>
            <w:shd w:val="clear" w:color="auto" w:fill="E5E5E5"/>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93,316</w:t>
            </w:r>
          </w:p>
        </w:tc>
        <w:tc>
          <w:tcPr>
            <w:tcW w:w="38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156,173</w:t>
            </w:r>
          </w:p>
        </w:tc>
      </w:tr>
    </w:tbl>
    <w:p>
      <w:pPr>
        <w:spacing w:after="0" w:line="125" w:lineRule="exact"/>
        <w:rPr>
          <w:sz w:val="20"/>
          <w:szCs w:val="20"/>
          <w:color w:val="auto"/>
        </w:rPr>
      </w:pPr>
    </w:p>
    <w:p>
      <w:pPr>
        <w:ind w:left="320" w:hanging="233"/>
        <w:spacing w:after="0" w:line="270" w:lineRule="auto"/>
        <w:tabs>
          <w:tab w:leader="none" w:pos="313" w:val="left"/>
        </w:tabs>
        <w:numPr>
          <w:ilvl w:val="0"/>
          <w:numId w:val="51"/>
        </w:numPr>
        <w:rPr>
          <w:rFonts w:ascii="Arial" w:cs="Arial" w:eastAsia="Arial" w:hAnsi="Arial"/>
          <w:sz w:val="9"/>
          <w:szCs w:val="9"/>
          <w:color w:val="auto"/>
        </w:rPr>
      </w:pPr>
      <w:r>
        <w:rPr>
          <w:rFonts w:ascii="Arial" w:cs="Arial" w:eastAsia="Arial" w:hAnsi="Arial"/>
          <w:sz w:val="14"/>
          <w:szCs w:val="14"/>
          <w:color w:val="auto"/>
        </w:rPr>
        <w:t>Ms. Storms, Ms. Mandel and Mr. Griffith resigned from the Board of Directors effective June 18, 2025, before the Company made its annual grant of equity awards to directors. Mr. Dodds resigned from the Board on December 8, 2025, and 2,608 RSUs with a grant date fair value of $79,414 were forfeited upon his resignation.</w:t>
      </w:r>
    </w:p>
    <w:p>
      <w:pPr>
        <w:spacing w:after="0" w:line="1" w:lineRule="exact"/>
        <w:rPr>
          <w:rFonts w:ascii="Arial" w:cs="Arial" w:eastAsia="Arial" w:hAnsi="Arial"/>
          <w:sz w:val="9"/>
          <w:szCs w:val="9"/>
          <w:color w:val="auto"/>
        </w:rPr>
      </w:pPr>
    </w:p>
    <w:p>
      <w:pPr>
        <w:jc w:val="both"/>
        <w:ind w:left="320" w:hanging="233"/>
        <w:spacing w:after="0"/>
        <w:tabs>
          <w:tab w:leader="none" w:pos="313"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The amounts shown in this column represent the cash fees earned by and, unless deferred, paid to each director. Pursuant to the Director Deferred Compensation Plan, each non-employee director has the option to defer the distribution of all or a portion of their cash fees. Fees deferred will be distributed upon death or disability of the director or over a period not to exceed five years, as elected by the director, following the date he or she leaves the Board of Directors. Payments to directors are made on a quarterly basis.</w:t>
      </w:r>
    </w:p>
    <w:p>
      <w:pPr>
        <w:spacing w:after="0" w:line="144" w:lineRule="exact"/>
        <w:rPr>
          <w:rFonts w:ascii="Arial" w:cs="Arial" w:eastAsia="Arial" w:hAnsi="Arial"/>
          <w:sz w:val="19"/>
          <w:szCs w:val="19"/>
          <w:color w:val="auto"/>
          <w:vertAlign w:val="superscript"/>
        </w:rPr>
      </w:pPr>
    </w:p>
    <w:p>
      <w:pPr>
        <w:jc w:val="both"/>
        <w:ind w:left="320" w:hanging="233"/>
        <w:spacing w:after="0" w:line="261" w:lineRule="auto"/>
        <w:tabs>
          <w:tab w:leader="none" w:pos="313" w:val="left"/>
        </w:tabs>
        <w:numPr>
          <w:ilvl w:val="0"/>
          <w:numId w:val="51"/>
        </w:numPr>
        <w:rPr>
          <w:rFonts w:ascii="Arial" w:cs="Arial" w:eastAsia="Arial" w:hAnsi="Arial"/>
          <w:sz w:val="9"/>
          <w:szCs w:val="9"/>
          <w:color w:val="003B71"/>
        </w:rPr>
      </w:pPr>
      <w:r>
        <w:rPr>
          <w:rFonts w:ascii="Arial" w:cs="Arial" w:eastAsia="Arial" w:hAnsi="Arial"/>
          <w:sz w:val="14"/>
          <w:szCs w:val="14"/>
          <w:color w:val="auto"/>
        </w:rPr>
        <w:t>The amounts shown in this column represent the aggregate grant date fair values of the time-based restricted stock units (“RSUs”) awarded on June 27, 2025 and January 27, 2026. The amounts above were calculated based on the closing share price on the date of grant. However, the number of underlying shares was calculated based on an average closing price over the ten day period ending on the date of the award grant. The RSUs vest in full on the one year anniversary of the award date. Pursuant to the Director Deferred Compensation Plan, each non-employee director has the option to defer the distribution of all or a portion of his or her RSUs. RSUs deferred will be distributed upon death or disability of the director or over a period not to exceed five years, as elected by the director, following the date he or she leaves the Board of Directors.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Directors’ Outstanding Equity Awards at 2025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170815</wp:posOffset>
            </wp:positionV>
            <wp:extent cx="69538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53885" cy="8255"/>
                    </a:xfrm>
                    <a:prstGeom prst="rect">
                      <a:avLst/>
                    </a:prstGeom>
                    <a:noFill/>
                  </pic:spPr>
                </pic:pic>
              </a:graphicData>
            </a:graphic>
          </wp:anchor>
        </w:drawing>
      </w:r>
    </w:p>
    <w:p>
      <w:pPr>
        <w:spacing w:after="0" w:line="280"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2580" w:type="dxa"/>
            <w:vAlign w:val="bottom"/>
          </w:tcPr>
          <w:p>
            <w:pPr>
              <w:spacing w:after="0"/>
              <w:rPr>
                <w:sz w:val="15"/>
                <w:szCs w:val="15"/>
                <w:color w:val="auto"/>
              </w:rPr>
            </w:pPr>
          </w:p>
        </w:tc>
        <w:tc>
          <w:tcPr>
            <w:tcW w:w="2260" w:type="dxa"/>
            <w:vAlign w:val="bottom"/>
          </w:tcPr>
          <w:p>
            <w:pPr>
              <w:jc w:val="center"/>
              <w:ind w:left="344"/>
              <w:spacing w:after="0"/>
              <w:rPr>
                <w:sz w:val="20"/>
                <w:szCs w:val="20"/>
                <w:color w:val="auto"/>
              </w:rPr>
            </w:pPr>
            <w:r>
              <w:rPr>
                <w:rFonts w:ascii="Arial" w:cs="Arial" w:eastAsia="Arial" w:hAnsi="Arial"/>
                <w:sz w:val="14"/>
                <w:szCs w:val="14"/>
                <w:b w:val="1"/>
                <w:bCs w:val="1"/>
                <w:color w:val="003B71"/>
              </w:rPr>
              <w:t>Number of</w:t>
            </w:r>
          </w:p>
        </w:tc>
        <w:tc>
          <w:tcPr>
            <w:tcW w:w="1540" w:type="dxa"/>
            <w:vAlign w:val="bottom"/>
          </w:tcPr>
          <w:p>
            <w:pPr>
              <w:jc w:val="center"/>
              <w:ind w:right="184"/>
              <w:spacing w:after="0"/>
              <w:rPr>
                <w:sz w:val="20"/>
                <w:szCs w:val="20"/>
                <w:color w:val="auto"/>
              </w:rPr>
            </w:pPr>
            <w:r>
              <w:rPr>
                <w:rFonts w:ascii="Arial" w:cs="Arial" w:eastAsia="Arial" w:hAnsi="Arial"/>
                <w:sz w:val="14"/>
                <w:szCs w:val="14"/>
                <w:b w:val="1"/>
                <w:bCs w:val="1"/>
                <w:color w:val="003B71"/>
              </w:rPr>
              <w:t>Number of</w:t>
            </w:r>
          </w:p>
        </w:tc>
        <w:tc>
          <w:tcPr>
            <w:tcW w:w="1520" w:type="dxa"/>
            <w:vAlign w:val="bottom"/>
          </w:tcPr>
          <w:p>
            <w:pPr>
              <w:jc w:val="center"/>
              <w:ind w:right="84"/>
              <w:spacing w:after="0"/>
              <w:rPr>
                <w:sz w:val="20"/>
                <w:szCs w:val="20"/>
                <w:color w:val="auto"/>
              </w:rPr>
            </w:pPr>
            <w:r>
              <w:rPr>
                <w:rFonts w:ascii="Arial" w:cs="Arial" w:eastAsia="Arial" w:hAnsi="Arial"/>
                <w:sz w:val="14"/>
                <w:szCs w:val="14"/>
                <w:b w:val="1"/>
                <w:bCs w:val="1"/>
                <w:color w:val="003B71"/>
              </w:rPr>
              <w:t>Number of</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2260" w:type="dxa"/>
            <w:vAlign w:val="bottom"/>
          </w:tcPr>
          <w:p>
            <w:pPr>
              <w:jc w:val="center"/>
              <w:ind w:left="324"/>
              <w:spacing w:after="0"/>
              <w:rPr>
                <w:sz w:val="20"/>
                <w:szCs w:val="20"/>
                <w:color w:val="auto"/>
              </w:rPr>
            </w:pPr>
            <w:r>
              <w:rPr>
                <w:rFonts w:ascii="Arial" w:cs="Arial" w:eastAsia="Arial" w:hAnsi="Arial"/>
                <w:sz w:val="14"/>
                <w:szCs w:val="14"/>
                <w:b w:val="1"/>
                <w:bCs w:val="1"/>
                <w:color w:val="003B71"/>
              </w:rPr>
              <w:t>Securities</w:t>
            </w:r>
          </w:p>
        </w:tc>
        <w:tc>
          <w:tcPr>
            <w:tcW w:w="1540" w:type="dxa"/>
            <w:vAlign w:val="bottom"/>
          </w:tcPr>
          <w:p>
            <w:pPr>
              <w:jc w:val="center"/>
              <w:ind w:right="184"/>
              <w:spacing w:after="0"/>
              <w:rPr>
                <w:sz w:val="20"/>
                <w:szCs w:val="20"/>
                <w:color w:val="auto"/>
              </w:rPr>
            </w:pPr>
            <w:r>
              <w:rPr>
                <w:rFonts w:ascii="Arial" w:cs="Arial" w:eastAsia="Arial" w:hAnsi="Arial"/>
                <w:sz w:val="14"/>
                <w:szCs w:val="14"/>
                <w:b w:val="1"/>
                <w:bCs w:val="1"/>
                <w:color w:val="003B71"/>
              </w:rPr>
              <w:t>Securities</w:t>
            </w:r>
          </w:p>
        </w:tc>
        <w:tc>
          <w:tcPr>
            <w:tcW w:w="1520" w:type="dxa"/>
            <w:vAlign w:val="bottom"/>
          </w:tcPr>
          <w:p>
            <w:pPr>
              <w:jc w:val="center"/>
              <w:ind w:right="84"/>
              <w:spacing w:after="0"/>
              <w:rPr>
                <w:sz w:val="20"/>
                <w:szCs w:val="20"/>
                <w:color w:val="auto"/>
              </w:rPr>
            </w:pPr>
            <w:r>
              <w:rPr>
                <w:rFonts w:ascii="Arial" w:cs="Arial" w:eastAsia="Arial" w:hAnsi="Arial"/>
                <w:sz w:val="14"/>
                <w:szCs w:val="14"/>
                <w:b w:val="1"/>
                <w:bCs w:val="1"/>
                <w:color w:val="003B71"/>
              </w:rPr>
              <w:t>Securities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580" w:type="dxa"/>
            <w:vAlign w:val="bottom"/>
          </w:tcPr>
          <w:p>
            <w:pPr>
              <w:spacing w:after="0"/>
              <w:rPr>
                <w:sz w:val="14"/>
                <w:szCs w:val="14"/>
                <w:color w:val="auto"/>
              </w:rPr>
            </w:pPr>
          </w:p>
        </w:tc>
        <w:tc>
          <w:tcPr>
            <w:tcW w:w="2260" w:type="dxa"/>
            <w:vAlign w:val="bottom"/>
          </w:tcPr>
          <w:p>
            <w:pPr>
              <w:jc w:val="center"/>
              <w:ind w:left="324"/>
              <w:spacing w:after="0"/>
              <w:rPr>
                <w:sz w:val="20"/>
                <w:szCs w:val="20"/>
                <w:color w:val="auto"/>
              </w:rPr>
            </w:pPr>
            <w:r>
              <w:rPr>
                <w:rFonts w:ascii="Arial" w:cs="Arial" w:eastAsia="Arial" w:hAnsi="Arial"/>
                <w:sz w:val="14"/>
                <w:szCs w:val="14"/>
                <w:b w:val="1"/>
                <w:bCs w:val="1"/>
                <w:color w:val="003B71"/>
              </w:rPr>
              <w:t>Underlying</w:t>
            </w:r>
          </w:p>
        </w:tc>
        <w:tc>
          <w:tcPr>
            <w:tcW w:w="1540" w:type="dxa"/>
            <w:vAlign w:val="bottom"/>
          </w:tcPr>
          <w:p>
            <w:pPr>
              <w:jc w:val="center"/>
              <w:ind w:right="164"/>
              <w:spacing w:after="0"/>
              <w:rPr>
                <w:sz w:val="20"/>
                <w:szCs w:val="20"/>
                <w:color w:val="auto"/>
              </w:rPr>
            </w:pPr>
            <w:r>
              <w:rPr>
                <w:rFonts w:ascii="Arial" w:cs="Arial" w:eastAsia="Arial" w:hAnsi="Arial"/>
                <w:sz w:val="14"/>
                <w:szCs w:val="14"/>
                <w:b w:val="1"/>
                <w:bCs w:val="1"/>
                <w:color w:val="003B71"/>
              </w:rPr>
              <w:t>Underlying</w:t>
            </w:r>
          </w:p>
        </w:tc>
        <w:tc>
          <w:tcPr>
            <w:tcW w:w="1520" w:type="dxa"/>
            <w:vAlign w:val="bottom"/>
          </w:tcPr>
          <w:p>
            <w:pPr>
              <w:jc w:val="center"/>
              <w:ind w:right="84"/>
              <w:spacing w:after="0"/>
              <w:rPr>
                <w:sz w:val="20"/>
                <w:szCs w:val="20"/>
                <w:color w:val="auto"/>
              </w:rPr>
            </w:pPr>
            <w:r>
              <w:rPr>
                <w:rFonts w:ascii="Arial" w:cs="Arial" w:eastAsia="Arial" w:hAnsi="Arial"/>
                <w:sz w:val="14"/>
                <w:szCs w:val="14"/>
                <w:b w:val="1"/>
                <w:bCs w:val="1"/>
                <w:color w:val="003B71"/>
              </w:rPr>
              <w:t>Underlying</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2260" w:type="dxa"/>
            <w:vAlign w:val="bottom"/>
          </w:tcPr>
          <w:p>
            <w:pPr>
              <w:jc w:val="center"/>
              <w:ind w:left="324"/>
              <w:spacing w:after="0"/>
              <w:rPr>
                <w:sz w:val="20"/>
                <w:szCs w:val="20"/>
                <w:color w:val="auto"/>
              </w:rPr>
            </w:pPr>
            <w:r>
              <w:rPr>
                <w:rFonts w:ascii="Arial" w:cs="Arial" w:eastAsia="Arial" w:hAnsi="Arial"/>
                <w:sz w:val="14"/>
                <w:szCs w:val="14"/>
                <w:b w:val="1"/>
                <w:bCs w:val="1"/>
                <w:color w:val="003B71"/>
              </w:rPr>
              <w:t>Unvested</w:t>
            </w:r>
          </w:p>
        </w:tc>
        <w:tc>
          <w:tcPr>
            <w:tcW w:w="1540" w:type="dxa"/>
            <w:vAlign w:val="bottom"/>
          </w:tcPr>
          <w:p>
            <w:pPr>
              <w:jc w:val="center"/>
              <w:ind w:right="164"/>
              <w:spacing w:after="0"/>
              <w:rPr>
                <w:sz w:val="20"/>
                <w:szCs w:val="20"/>
                <w:color w:val="auto"/>
              </w:rPr>
            </w:pPr>
            <w:r>
              <w:rPr>
                <w:rFonts w:ascii="Arial" w:cs="Arial" w:eastAsia="Arial" w:hAnsi="Arial"/>
                <w:sz w:val="14"/>
                <w:szCs w:val="14"/>
                <w:b w:val="1"/>
                <w:bCs w:val="1"/>
                <w:color w:val="003B71"/>
              </w:rPr>
              <w:t>Unexercised</w:t>
            </w:r>
          </w:p>
        </w:tc>
        <w:tc>
          <w:tcPr>
            <w:tcW w:w="1520" w:type="dxa"/>
            <w:vAlign w:val="bottom"/>
          </w:tcPr>
          <w:p>
            <w:pPr>
              <w:jc w:val="center"/>
              <w:ind w:right="84"/>
              <w:spacing w:after="0"/>
              <w:rPr>
                <w:sz w:val="20"/>
                <w:szCs w:val="20"/>
                <w:color w:val="auto"/>
              </w:rPr>
            </w:pPr>
            <w:r>
              <w:rPr>
                <w:rFonts w:ascii="Arial" w:cs="Arial" w:eastAsia="Arial" w:hAnsi="Arial"/>
                <w:sz w:val="14"/>
                <w:szCs w:val="14"/>
                <w:b w:val="1"/>
                <w:bCs w:val="1"/>
                <w:color w:val="003B71"/>
              </w:rPr>
              <w:t>Unexercised</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3B71"/>
              </w:rPr>
              <w:t>Option</w:t>
            </w:r>
          </w:p>
        </w:tc>
        <w:tc>
          <w:tcPr>
            <w:tcW w:w="0" w:type="dxa"/>
            <w:vAlign w:val="bottom"/>
          </w:tcPr>
          <w:p>
            <w:pPr>
              <w:spacing w:after="0"/>
              <w:rPr>
                <w:sz w:val="1"/>
                <w:szCs w:val="1"/>
                <w:color w:val="auto"/>
              </w:rPr>
            </w:pPr>
          </w:p>
        </w:tc>
      </w:tr>
      <w:tr>
        <w:trPr>
          <w:trHeight w:val="175"/>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003B71"/>
              </w:rPr>
              <w:t>NAME</w:t>
            </w:r>
            <w:r>
              <w:rPr>
                <w:rFonts w:ascii="Arial" w:cs="Arial" w:eastAsia="Arial" w:hAnsi="Arial"/>
                <w:sz w:val="18"/>
                <w:szCs w:val="18"/>
                <w:b w:val="1"/>
                <w:bCs w:val="1"/>
                <w:color w:val="003B71"/>
                <w:vertAlign w:val="superscript"/>
              </w:rPr>
              <w:t>(3)</w:t>
            </w:r>
          </w:p>
        </w:tc>
        <w:tc>
          <w:tcPr>
            <w:tcW w:w="2260" w:type="dxa"/>
            <w:vAlign w:val="bottom"/>
          </w:tcPr>
          <w:p>
            <w:pPr>
              <w:jc w:val="center"/>
              <w:ind w:left="324"/>
              <w:spacing w:after="0"/>
              <w:rPr>
                <w:sz w:val="20"/>
                <w:szCs w:val="20"/>
                <w:color w:val="auto"/>
              </w:rPr>
            </w:pPr>
            <w:r>
              <w:rPr>
                <w:rFonts w:ascii="Arial" w:cs="Arial" w:eastAsia="Arial" w:hAnsi="Arial"/>
                <w:sz w:val="14"/>
                <w:szCs w:val="14"/>
                <w:b w:val="1"/>
                <w:bCs w:val="1"/>
                <w:color w:val="003B71"/>
                <w:w w:val="99"/>
              </w:rPr>
              <w:t>Stock</w:t>
            </w:r>
          </w:p>
        </w:tc>
        <w:tc>
          <w:tcPr>
            <w:tcW w:w="1540" w:type="dxa"/>
            <w:vAlign w:val="bottom"/>
          </w:tcPr>
          <w:p>
            <w:pPr>
              <w:jc w:val="center"/>
              <w:ind w:right="164"/>
              <w:spacing w:after="0"/>
              <w:rPr>
                <w:sz w:val="20"/>
                <w:szCs w:val="20"/>
                <w:color w:val="auto"/>
              </w:rPr>
            </w:pPr>
            <w:r>
              <w:rPr>
                <w:rFonts w:ascii="Arial" w:cs="Arial" w:eastAsia="Arial" w:hAnsi="Arial"/>
                <w:sz w:val="14"/>
                <w:szCs w:val="14"/>
                <w:b w:val="1"/>
                <w:bCs w:val="1"/>
                <w:color w:val="003B71"/>
              </w:rPr>
              <w:t>Options -</w:t>
            </w:r>
          </w:p>
        </w:tc>
        <w:tc>
          <w:tcPr>
            <w:tcW w:w="1520" w:type="dxa"/>
            <w:vAlign w:val="bottom"/>
          </w:tcPr>
          <w:p>
            <w:pPr>
              <w:jc w:val="center"/>
              <w:ind w:right="84"/>
              <w:spacing w:after="0"/>
              <w:rPr>
                <w:sz w:val="20"/>
                <w:szCs w:val="20"/>
                <w:color w:val="auto"/>
              </w:rPr>
            </w:pPr>
            <w:r>
              <w:rPr>
                <w:rFonts w:ascii="Arial" w:cs="Arial" w:eastAsia="Arial" w:hAnsi="Arial"/>
                <w:sz w:val="14"/>
                <w:szCs w:val="14"/>
                <w:b w:val="1"/>
                <w:bCs w:val="1"/>
                <w:color w:val="003B71"/>
              </w:rPr>
              <w:t>Options -</w:t>
            </w:r>
          </w:p>
        </w:tc>
        <w:tc>
          <w:tcPr>
            <w:tcW w:w="160" w:type="dxa"/>
            <w:vAlign w:val="bottom"/>
          </w:tcPr>
          <w:p>
            <w:pPr>
              <w:spacing w:after="0"/>
              <w:rPr>
                <w:sz w:val="15"/>
                <w:szCs w:val="15"/>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003B71"/>
              </w:rPr>
              <w:t>Option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3B71"/>
              </w:rPr>
              <w:t>Expiration</w:t>
            </w:r>
          </w:p>
        </w:tc>
        <w:tc>
          <w:tcPr>
            <w:tcW w:w="0" w:type="dxa"/>
            <w:vAlign w:val="bottom"/>
          </w:tcPr>
          <w:p>
            <w:pPr>
              <w:spacing w:after="0"/>
              <w:rPr>
                <w:sz w:val="1"/>
                <w:szCs w:val="1"/>
                <w:color w:val="auto"/>
              </w:rPr>
            </w:pPr>
          </w:p>
        </w:tc>
      </w:tr>
      <w:tr>
        <w:trPr>
          <w:trHeight w:val="211"/>
        </w:trPr>
        <w:tc>
          <w:tcPr>
            <w:tcW w:w="2580" w:type="dxa"/>
            <w:vAlign w:val="bottom"/>
            <w:tcBorders>
              <w:bottom w:val="single" w:sz="8" w:color="003B71"/>
            </w:tcBorders>
            <w:vMerge w:val="continue"/>
          </w:tcPr>
          <w:p>
            <w:pPr>
              <w:spacing w:after="0"/>
              <w:rPr>
                <w:sz w:val="18"/>
                <w:szCs w:val="18"/>
                <w:color w:val="auto"/>
              </w:rPr>
            </w:pPr>
          </w:p>
        </w:tc>
        <w:tc>
          <w:tcPr>
            <w:tcW w:w="2260" w:type="dxa"/>
            <w:vAlign w:val="bottom"/>
            <w:tcBorders>
              <w:bottom w:val="single" w:sz="8" w:color="003B71"/>
            </w:tcBorders>
          </w:tcPr>
          <w:p>
            <w:pPr>
              <w:jc w:val="center"/>
              <w:ind w:left="324"/>
              <w:spacing w:after="0"/>
              <w:rPr>
                <w:sz w:val="20"/>
                <w:szCs w:val="20"/>
                <w:color w:val="auto"/>
              </w:rPr>
            </w:pPr>
            <w:r>
              <w:rPr>
                <w:rFonts w:ascii="Arial" w:cs="Arial" w:eastAsia="Arial" w:hAnsi="Arial"/>
                <w:sz w:val="14"/>
                <w:szCs w:val="14"/>
                <w:b w:val="1"/>
                <w:bCs w:val="1"/>
                <w:color w:val="003B71"/>
                <w:w w:val="98"/>
              </w:rPr>
              <w:t>Awards</w:t>
            </w:r>
          </w:p>
        </w:tc>
        <w:tc>
          <w:tcPr>
            <w:tcW w:w="1540" w:type="dxa"/>
            <w:vAlign w:val="bottom"/>
            <w:tcBorders>
              <w:bottom w:val="single" w:sz="8" w:color="003B71"/>
            </w:tcBorders>
          </w:tcPr>
          <w:p>
            <w:pPr>
              <w:jc w:val="center"/>
              <w:ind w:right="184"/>
              <w:spacing w:after="0"/>
              <w:rPr>
                <w:sz w:val="20"/>
                <w:szCs w:val="20"/>
                <w:color w:val="auto"/>
              </w:rPr>
            </w:pPr>
            <w:r>
              <w:rPr>
                <w:rFonts w:ascii="Arial" w:cs="Arial" w:eastAsia="Arial" w:hAnsi="Arial"/>
                <w:sz w:val="14"/>
                <w:szCs w:val="14"/>
                <w:b w:val="1"/>
                <w:bCs w:val="1"/>
                <w:color w:val="003B71"/>
              </w:rPr>
              <w:t>Exercisable</w:t>
            </w:r>
          </w:p>
        </w:tc>
        <w:tc>
          <w:tcPr>
            <w:tcW w:w="1520" w:type="dxa"/>
            <w:vAlign w:val="bottom"/>
            <w:tcBorders>
              <w:bottom w:val="single" w:sz="8" w:color="003B71"/>
            </w:tcBorders>
          </w:tcPr>
          <w:p>
            <w:pPr>
              <w:jc w:val="center"/>
              <w:ind w:right="84"/>
              <w:spacing w:after="0"/>
              <w:rPr>
                <w:sz w:val="20"/>
                <w:szCs w:val="20"/>
                <w:color w:val="auto"/>
              </w:rPr>
            </w:pPr>
            <w:r>
              <w:rPr>
                <w:rFonts w:ascii="Arial" w:cs="Arial" w:eastAsia="Arial" w:hAnsi="Arial"/>
                <w:sz w:val="14"/>
                <w:szCs w:val="14"/>
                <w:b w:val="1"/>
                <w:bCs w:val="1"/>
                <w:color w:val="003B71"/>
              </w:rPr>
              <w:t>Unexercisable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3B71"/>
              </w:rPr>
              <w:t>Exercise Price</w:t>
            </w:r>
          </w:p>
        </w:tc>
        <w:tc>
          <w:tcPr>
            <w:tcW w:w="80" w:type="dxa"/>
            <w:vAlign w:val="bottom"/>
            <w:tcBorders>
              <w:bottom w:val="single" w:sz="8" w:color="003B71"/>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3B71"/>
              </w:rPr>
              <w:t>Date</w:t>
            </w:r>
          </w:p>
        </w:tc>
        <w:tc>
          <w:tcPr>
            <w:tcW w:w="0" w:type="dxa"/>
            <w:vAlign w:val="bottom"/>
          </w:tcPr>
          <w:p>
            <w:pPr>
              <w:spacing w:after="0"/>
              <w:rPr>
                <w:sz w:val="1"/>
                <w:szCs w:val="1"/>
                <w:color w:val="auto"/>
              </w:rPr>
            </w:pPr>
          </w:p>
        </w:tc>
      </w:tr>
      <w:tr>
        <w:trPr>
          <w:trHeight w:val="235"/>
        </w:trPr>
        <w:tc>
          <w:tcPr>
            <w:tcW w:w="2580" w:type="dxa"/>
            <w:vAlign w:val="bottom"/>
            <w:shd w:val="clear" w:color="auto" w:fill="DBDBDB"/>
          </w:tcPr>
          <w:p>
            <w:pPr>
              <w:spacing w:after="0"/>
              <w:rPr>
                <w:sz w:val="20"/>
                <w:szCs w:val="20"/>
                <w:color w:val="auto"/>
              </w:rPr>
            </w:pPr>
            <w:r>
              <w:rPr>
                <w:rFonts w:ascii="Arial" w:cs="Arial" w:eastAsia="Arial" w:hAnsi="Arial"/>
                <w:sz w:val="16"/>
                <w:szCs w:val="16"/>
                <w:color w:val="auto"/>
              </w:rPr>
              <w:t xml:space="preserve">James P. Chambers </w:t>
            </w:r>
            <w:r>
              <w:rPr>
                <w:rFonts w:ascii="Arial" w:cs="Arial" w:eastAsia="Arial" w:hAnsi="Arial"/>
                <w:sz w:val="20"/>
                <w:szCs w:val="20"/>
                <w:color w:val="auto"/>
                <w:vertAlign w:val="superscript"/>
              </w:rPr>
              <w:t>(1)</w:t>
            </w:r>
          </w:p>
        </w:tc>
        <w:tc>
          <w:tcPr>
            <w:tcW w:w="2260" w:type="dxa"/>
            <w:vAlign w:val="bottom"/>
            <w:shd w:val="clear" w:color="auto" w:fill="DBDBDB"/>
          </w:tcPr>
          <w:p>
            <w:pPr>
              <w:jc w:val="right"/>
              <w:ind w:right="124"/>
              <w:spacing w:after="0"/>
              <w:rPr>
                <w:sz w:val="20"/>
                <w:szCs w:val="20"/>
                <w:color w:val="auto"/>
              </w:rPr>
            </w:pPr>
            <w:r>
              <w:rPr>
                <w:rFonts w:ascii="Arial" w:cs="Arial" w:eastAsia="Arial" w:hAnsi="Arial"/>
                <w:sz w:val="16"/>
                <w:szCs w:val="16"/>
                <w:color w:val="auto"/>
              </w:rPr>
              <w:t>5,284</w:t>
            </w:r>
          </w:p>
        </w:tc>
        <w:tc>
          <w:tcPr>
            <w:tcW w:w="1540" w:type="dxa"/>
            <w:vAlign w:val="bottom"/>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ind w:left="1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DBDBDB"/>
          </w:tcPr>
          <w:p>
            <w:pPr>
              <w:ind w:left="10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DBDBDB"/>
          </w:tcPr>
          <w:p>
            <w:pPr>
              <w:ind w:left="124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6"/>
                <w:szCs w:val="16"/>
                <w:color w:val="auto"/>
              </w:rPr>
              <w:t xml:space="preserve">Hamish A. Dodds </w:t>
            </w:r>
            <w:r>
              <w:rPr>
                <w:rFonts w:ascii="Arial" w:cs="Arial" w:eastAsia="Arial" w:hAnsi="Arial"/>
                <w:sz w:val="20"/>
                <w:szCs w:val="20"/>
                <w:color w:val="auto"/>
                <w:vertAlign w:val="superscript"/>
              </w:rPr>
              <w:t>(1)(2)</w:t>
            </w:r>
          </w:p>
        </w:tc>
        <w:tc>
          <w:tcPr>
            <w:tcW w:w="2260" w:type="dxa"/>
            <w:vAlign w:val="bottom"/>
          </w:tcPr>
          <w:p>
            <w:pPr>
              <w:jc w:val="right"/>
              <w:ind w:right="124"/>
              <w:spacing w:after="0"/>
              <w:rPr>
                <w:sz w:val="20"/>
                <w:szCs w:val="20"/>
                <w:color w:val="auto"/>
              </w:rPr>
            </w:pPr>
            <w:r>
              <w:rPr>
                <w:rFonts w:ascii="Arial" w:cs="Arial" w:eastAsia="Arial" w:hAnsi="Arial"/>
                <w:sz w:val="16"/>
                <w:szCs w:val="16"/>
                <w:color w:val="auto"/>
              </w:rPr>
              <w:t>2,607</w:t>
            </w:r>
          </w:p>
        </w:tc>
        <w:tc>
          <w:tcPr>
            <w:tcW w:w="1540" w:type="dxa"/>
            <w:vAlign w:val="bottom"/>
          </w:tcPr>
          <w:p>
            <w:pPr>
              <w:ind w:left="1200"/>
              <w:spacing w:after="0"/>
              <w:rPr>
                <w:sz w:val="20"/>
                <w:szCs w:val="20"/>
                <w:color w:val="auto"/>
              </w:rPr>
            </w:pPr>
            <w:r>
              <w:rPr>
                <w:rFonts w:ascii="Arial" w:cs="Arial" w:eastAsia="Arial" w:hAnsi="Arial"/>
                <w:sz w:val="16"/>
                <w:szCs w:val="16"/>
                <w:color w:val="auto"/>
              </w:rPr>
              <w:t>—</w:t>
            </w:r>
          </w:p>
        </w:tc>
        <w:tc>
          <w:tcPr>
            <w:tcW w:w="1520" w:type="dxa"/>
            <w:vAlign w:val="bottom"/>
          </w:tcPr>
          <w:p>
            <w:pPr>
              <w:ind w:left="1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80" w:type="dxa"/>
            <w:vAlign w:val="bottom"/>
          </w:tcPr>
          <w:p>
            <w:pPr>
              <w:ind w:left="124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42"/>
        </w:trPr>
        <w:tc>
          <w:tcPr>
            <w:tcW w:w="2580" w:type="dxa"/>
            <w:vAlign w:val="bottom"/>
            <w:shd w:val="clear" w:color="auto" w:fill="DBDBDB"/>
          </w:tcPr>
          <w:p>
            <w:pPr>
              <w:spacing w:after="0"/>
              <w:rPr>
                <w:sz w:val="20"/>
                <w:szCs w:val="20"/>
                <w:color w:val="auto"/>
              </w:rPr>
            </w:pPr>
            <w:r>
              <w:rPr>
                <w:rFonts w:ascii="Arial" w:cs="Arial" w:eastAsia="Arial" w:hAnsi="Arial"/>
                <w:sz w:val="16"/>
                <w:szCs w:val="16"/>
                <w:color w:val="auto"/>
              </w:rPr>
              <w:t xml:space="preserve">Nathaniel J. Lipman </w:t>
            </w:r>
            <w:r>
              <w:rPr>
                <w:rFonts w:ascii="Arial" w:cs="Arial" w:eastAsia="Arial" w:hAnsi="Arial"/>
                <w:sz w:val="20"/>
                <w:szCs w:val="20"/>
                <w:color w:val="auto"/>
                <w:vertAlign w:val="superscript"/>
              </w:rPr>
              <w:t>(1)</w:t>
            </w:r>
          </w:p>
        </w:tc>
        <w:tc>
          <w:tcPr>
            <w:tcW w:w="2260" w:type="dxa"/>
            <w:vAlign w:val="bottom"/>
            <w:shd w:val="clear" w:color="auto" w:fill="DBDBDB"/>
          </w:tcPr>
          <w:p>
            <w:pPr>
              <w:jc w:val="right"/>
              <w:ind w:right="124"/>
              <w:spacing w:after="0"/>
              <w:rPr>
                <w:sz w:val="20"/>
                <w:szCs w:val="20"/>
                <w:color w:val="auto"/>
              </w:rPr>
            </w:pPr>
            <w:r>
              <w:rPr>
                <w:rFonts w:ascii="Arial" w:cs="Arial" w:eastAsia="Arial" w:hAnsi="Arial"/>
                <w:sz w:val="16"/>
                <w:szCs w:val="16"/>
                <w:color w:val="auto"/>
              </w:rPr>
              <w:t>5,213</w:t>
            </w:r>
          </w:p>
        </w:tc>
        <w:tc>
          <w:tcPr>
            <w:tcW w:w="1540" w:type="dxa"/>
            <w:vAlign w:val="bottom"/>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ind w:left="1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DBDBDB"/>
          </w:tcPr>
          <w:p>
            <w:pPr>
              <w:ind w:left="10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DBDBDB"/>
          </w:tcPr>
          <w:p>
            <w:pPr>
              <w:ind w:left="124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42"/>
        </w:trPr>
        <w:tc>
          <w:tcPr>
            <w:tcW w:w="2580" w:type="dxa"/>
            <w:vAlign w:val="bottom"/>
          </w:tcPr>
          <w:p>
            <w:pPr>
              <w:spacing w:after="0"/>
              <w:rPr>
                <w:sz w:val="20"/>
                <w:szCs w:val="20"/>
                <w:color w:val="auto"/>
              </w:rPr>
            </w:pPr>
            <w:r>
              <w:rPr>
                <w:rFonts w:ascii="Arial" w:cs="Arial" w:eastAsia="Arial" w:hAnsi="Arial"/>
                <w:sz w:val="16"/>
                <w:szCs w:val="16"/>
                <w:color w:val="auto"/>
              </w:rPr>
              <w:t xml:space="preserve">Scott I. Ross </w:t>
            </w:r>
            <w:r>
              <w:rPr>
                <w:rFonts w:ascii="Arial" w:cs="Arial" w:eastAsia="Arial" w:hAnsi="Arial"/>
                <w:sz w:val="20"/>
                <w:szCs w:val="20"/>
                <w:color w:val="auto"/>
                <w:vertAlign w:val="superscript"/>
              </w:rPr>
              <w:t>(1)</w:t>
            </w:r>
          </w:p>
        </w:tc>
        <w:tc>
          <w:tcPr>
            <w:tcW w:w="2260" w:type="dxa"/>
            <w:vAlign w:val="bottom"/>
          </w:tcPr>
          <w:p>
            <w:pPr>
              <w:jc w:val="right"/>
              <w:ind w:right="124"/>
              <w:spacing w:after="0"/>
              <w:rPr>
                <w:sz w:val="20"/>
                <w:szCs w:val="20"/>
                <w:color w:val="auto"/>
              </w:rPr>
            </w:pPr>
            <w:r>
              <w:rPr>
                <w:rFonts w:ascii="Arial" w:cs="Arial" w:eastAsia="Arial" w:hAnsi="Arial"/>
                <w:sz w:val="16"/>
                <w:szCs w:val="16"/>
                <w:color w:val="auto"/>
              </w:rPr>
              <w:t>5,278</w:t>
            </w:r>
          </w:p>
        </w:tc>
        <w:tc>
          <w:tcPr>
            <w:tcW w:w="1540" w:type="dxa"/>
            <w:vAlign w:val="bottom"/>
          </w:tcPr>
          <w:p>
            <w:pPr>
              <w:ind w:left="1200"/>
              <w:spacing w:after="0"/>
              <w:rPr>
                <w:sz w:val="20"/>
                <w:szCs w:val="20"/>
                <w:color w:val="auto"/>
              </w:rPr>
            </w:pPr>
            <w:r>
              <w:rPr>
                <w:rFonts w:ascii="Arial" w:cs="Arial" w:eastAsia="Arial" w:hAnsi="Arial"/>
                <w:sz w:val="16"/>
                <w:szCs w:val="16"/>
                <w:color w:val="auto"/>
              </w:rPr>
              <w:t>—</w:t>
            </w:r>
          </w:p>
        </w:tc>
        <w:tc>
          <w:tcPr>
            <w:tcW w:w="1520" w:type="dxa"/>
            <w:vAlign w:val="bottom"/>
          </w:tcPr>
          <w:p>
            <w:pPr>
              <w:ind w:left="1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80" w:type="dxa"/>
            <w:vAlign w:val="bottom"/>
          </w:tcPr>
          <w:p>
            <w:pPr>
              <w:ind w:left="124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42"/>
        </w:trPr>
        <w:tc>
          <w:tcPr>
            <w:tcW w:w="2580" w:type="dxa"/>
            <w:vAlign w:val="bottom"/>
            <w:shd w:val="clear" w:color="auto" w:fill="DBDBDB"/>
          </w:tcPr>
          <w:p>
            <w:pPr>
              <w:spacing w:after="0"/>
              <w:rPr>
                <w:sz w:val="20"/>
                <w:szCs w:val="20"/>
                <w:color w:val="auto"/>
              </w:rPr>
            </w:pPr>
            <w:r>
              <w:rPr>
                <w:rFonts w:ascii="Arial" w:cs="Arial" w:eastAsia="Arial" w:hAnsi="Arial"/>
                <w:sz w:val="16"/>
                <w:szCs w:val="16"/>
                <w:color w:val="auto"/>
              </w:rPr>
              <w:t xml:space="preserve">Atish Shah </w:t>
            </w:r>
            <w:r>
              <w:rPr>
                <w:rFonts w:ascii="Arial" w:cs="Arial" w:eastAsia="Arial" w:hAnsi="Arial"/>
                <w:sz w:val="20"/>
                <w:szCs w:val="20"/>
                <w:color w:val="auto"/>
                <w:vertAlign w:val="superscript"/>
              </w:rPr>
              <w:t>(1)</w:t>
            </w:r>
          </w:p>
        </w:tc>
        <w:tc>
          <w:tcPr>
            <w:tcW w:w="2260" w:type="dxa"/>
            <w:vAlign w:val="bottom"/>
            <w:shd w:val="clear" w:color="auto" w:fill="DBDBDB"/>
          </w:tcPr>
          <w:p>
            <w:pPr>
              <w:jc w:val="right"/>
              <w:ind w:right="124"/>
              <w:spacing w:after="0"/>
              <w:rPr>
                <w:sz w:val="20"/>
                <w:szCs w:val="20"/>
                <w:color w:val="auto"/>
              </w:rPr>
            </w:pPr>
            <w:r>
              <w:rPr>
                <w:rFonts w:ascii="Arial" w:cs="Arial" w:eastAsia="Arial" w:hAnsi="Arial"/>
                <w:sz w:val="16"/>
                <w:szCs w:val="16"/>
                <w:color w:val="auto"/>
              </w:rPr>
              <w:t>5,278</w:t>
            </w:r>
          </w:p>
        </w:tc>
        <w:tc>
          <w:tcPr>
            <w:tcW w:w="1540" w:type="dxa"/>
            <w:vAlign w:val="bottom"/>
            <w:shd w:val="clear" w:color="auto" w:fill="DBDBDB"/>
          </w:tcPr>
          <w:p>
            <w:pPr>
              <w:ind w:left="12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DBDBDB"/>
          </w:tcPr>
          <w:p>
            <w:pPr>
              <w:ind w:left="1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DBDBDB"/>
          </w:tcPr>
          <w:p>
            <w:pPr>
              <w:ind w:left="10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DBDBDB"/>
          </w:tcPr>
          <w:p>
            <w:pPr>
              <w:ind w:left="124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95"/>
        </w:trPr>
        <w:tc>
          <w:tcPr>
            <w:tcW w:w="2580" w:type="dxa"/>
            <w:vAlign w:val="bottom"/>
          </w:tcPr>
          <w:p>
            <w:pPr>
              <w:spacing w:after="0"/>
              <w:rPr>
                <w:sz w:val="20"/>
                <w:szCs w:val="20"/>
                <w:color w:val="auto"/>
              </w:rPr>
            </w:pPr>
            <w:r>
              <w:rPr>
                <w:rFonts w:ascii="Arial" w:cs="Arial" w:eastAsia="Arial" w:hAnsi="Arial"/>
                <w:sz w:val="16"/>
                <w:szCs w:val="16"/>
                <w:color w:val="auto"/>
              </w:rPr>
              <w:t xml:space="preserve">Allen R. Weiss </w:t>
            </w:r>
            <w:r>
              <w:rPr>
                <w:rFonts w:ascii="Arial" w:cs="Arial" w:eastAsia="Arial" w:hAnsi="Arial"/>
                <w:sz w:val="20"/>
                <w:szCs w:val="20"/>
                <w:color w:val="auto"/>
                <w:vertAlign w:val="superscript"/>
              </w:rPr>
              <w:t>(1)</w:t>
            </w:r>
          </w:p>
        </w:tc>
        <w:tc>
          <w:tcPr>
            <w:tcW w:w="2260" w:type="dxa"/>
            <w:vAlign w:val="bottom"/>
          </w:tcPr>
          <w:p>
            <w:pPr>
              <w:jc w:val="right"/>
              <w:ind w:right="124"/>
              <w:spacing w:after="0"/>
              <w:rPr>
                <w:sz w:val="20"/>
                <w:szCs w:val="20"/>
                <w:color w:val="auto"/>
              </w:rPr>
            </w:pPr>
            <w:r>
              <w:rPr>
                <w:rFonts w:ascii="Arial" w:cs="Arial" w:eastAsia="Arial" w:hAnsi="Arial"/>
                <w:sz w:val="16"/>
                <w:szCs w:val="16"/>
                <w:color w:val="auto"/>
              </w:rPr>
              <w:t>5,220</w:t>
            </w:r>
          </w:p>
        </w:tc>
        <w:tc>
          <w:tcPr>
            <w:tcW w:w="1540" w:type="dxa"/>
            <w:vAlign w:val="bottom"/>
          </w:tcPr>
          <w:p>
            <w:pPr>
              <w:ind w:left="1200"/>
              <w:spacing w:after="0"/>
              <w:rPr>
                <w:sz w:val="20"/>
                <w:szCs w:val="20"/>
                <w:color w:val="auto"/>
              </w:rPr>
            </w:pPr>
            <w:r>
              <w:rPr>
                <w:rFonts w:ascii="Arial" w:cs="Arial" w:eastAsia="Arial" w:hAnsi="Arial"/>
                <w:sz w:val="16"/>
                <w:szCs w:val="16"/>
                <w:color w:val="auto"/>
              </w:rPr>
              <w:t>—</w:t>
            </w:r>
          </w:p>
        </w:tc>
        <w:tc>
          <w:tcPr>
            <w:tcW w:w="1520" w:type="dxa"/>
            <w:vAlign w:val="bottom"/>
          </w:tcPr>
          <w:p>
            <w:pPr>
              <w:ind w:left="1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1480" w:type="dxa"/>
            <w:vAlign w:val="bottom"/>
          </w:tcPr>
          <w:p>
            <w:pPr>
              <w:ind w:left="1240"/>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480" w:hanging="231"/>
        <w:spacing w:after="0"/>
        <w:tabs>
          <w:tab w:leader="none" w:pos="480"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Messrs. Chambers, Dodds, Lipman, Ross, Shah and Weiss do not hold any stock options.</w:t>
      </w:r>
    </w:p>
    <w:p>
      <w:pPr>
        <w:jc w:val="both"/>
        <w:ind w:left="500" w:hanging="251"/>
        <w:spacing w:after="0" w:line="227" w:lineRule="auto"/>
        <w:tabs>
          <w:tab w:leader="none" w:pos="493"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Mr. Dodds resigned from the Board of Directors effective December 8, 2025. Unvested shares are net of pro-rata shares forfeited. Ms. Storms, Ms. Mandel and Mr. Griffith resigned from the Board of Directors effective June 18, 2025, before the Company made its annual grant of equity awards to directors, and did not have any unvested shares outstanding at fiscal year end.</w:t>
      </w:r>
    </w:p>
    <w:p>
      <w:pPr>
        <w:spacing w:after="0" w:line="1" w:lineRule="exact"/>
        <w:rPr>
          <w:rFonts w:ascii="Arial" w:cs="Arial" w:eastAsia="Arial" w:hAnsi="Arial"/>
          <w:sz w:val="21"/>
          <w:szCs w:val="21"/>
          <w:color w:val="auto"/>
          <w:vertAlign w:val="superscript"/>
        </w:rPr>
      </w:pPr>
    </w:p>
    <w:p>
      <w:pPr>
        <w:ind w:left="500" w:right="20" w:hanging="251"/>
        <w:spacing w:after="0" w:line="225" w:lineRule="auto"/>
        <w:tabs>
          <w:tab w:leader="none" w:pos="493" w:val="left"/>
        </w:tabs>
        <w:numPr>
          <w:ilvl w:val="0"/>
          <w:numId w:val="52"/>
        </w:numPr>
        <w:rPr>
          <w:rFonts w:ascii="Arial" w:cs="Arial" w:eastAsia="Arial" w:hAnsi="Arial"/>
          <w:sz w:val="21"/>
          <w:szCs w:val="21"/>
          <w:color w:val="auto"/>
          <w:vertAlign w:val="superscript"/>
        </w:rPr>
      </w:pPr>
      <w:r>
        <w:rPr>
          <w:rFonts w:ascii="Arial" w:cs="Arial" w:eastAsia="Arial" w:hAnsi="Arial"/>
          <w:sz w:val="16"/>
          <w:szCs w:val="16"/>
          <w:color w:val="auto"/>
        </w:rPr>
        <w:t xml:space="preserve">For more information regarding Mr. Sheehan’s outstanding equity awards, see </w:t>
      </w:r>
      <w:r>
        <w:rPr>
          <w:rFonts w:ascii="Arial" w:cs="Arial" w:eastAsia="Arial" w:hAnsi="Arial"/>
          <w:sz w:val="16"/>
          <w:szCs w:val="16"/>
          <w:i w:val="1"/>
          <w:iCs w:val="1"/>
          <w:color w:val="auto"/>
        </w:rPr>
        <w:t>Executive Compensation—Outstanding Equity Awards at Fiscal Year</w:t>
      </w:r>
      <w:r>
        <w:rPr>
          <w:rFonts w:ascii="Arial" w:cs="Arial" w:eastAsia="Arial" w:hAnsi="Arial"/>
          <w:sz w:val="16"/>
          <w:szCs w:val="16"/>
          <w:color w:val="auto"/>
        </w:rPr>
        <w:t xml:space="preserve"> </w:t>
      </w:r>
      <w:r>
        <w:rPr>
          <w:rFonts w:ascii="Arial" w:cs="Arial" w:eastAsia="Arial" w:hAnsi="Arial"/>
          <w:sz w:val="16"/>
          <w:szCs w:val="16"/>
          <w:i w:val="1"/>
          <w:iCs w:val="1"/>
          <w:color w:val="auto"/>
        </w:rPr>
        <w:t>End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266065</wp:posOffset>
            </wp:positionV>
            <wp:extent cx="71329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16</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42545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20"/>
          </w:cols>
          <w:pgMar w:left="240" w:top="985" w:right="339" w:bottom="1440" w:gutter="0" w:footer="0" w:header="0"/>
        </w:sectPr>
      </w:pPr>
    </w:p>
    <w:bookmarkStart w:id="22" w:name="page23"/>
    <w:bookmarkEnd w:id="22"/>
    <w:p>
      <w:pPr>
        <w:ind w:left="20"/>
        <w:spacing w:after="0"/>
        <w:rPr>
          <w:sz w:val="20"/>
          <w:szCs w:val="20"/>
          <w:color w:val="auto"/>
        </w:rPr>
      </w:pPr>
      <w:r>
        <w:rPr>
          <w:rFonts w:ascii="Arial" w:cs="Arial" w:eastAsia="Arial" w:hAnsi="Arial"/>
          <w:sz w:val="25"/>
          <w:szCs w:val="25"/>
          <w:b w:val="1"/>
          <w:bCs w:val="1"/>
          <w:color w:val="4C4C4C"/>
        </w:rPr>
        <w:t>Director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 stock ownership requirement for non-employee directors to align the interests of its non- employee directors with the interests of the shareholders and to further promote the Company’s commitment to sound corporate governance. Under this requirement, a non-employee director must own shares of the Company’s stock with a fair market value equal to five (5) times the director’s annual cash retainer. Each non-employee director has five (5) years from the date of initial appointment or election to the Board to meet this requirement. If at the time of measurement, a director is not in compliance with this guideline, the director is prohibited from selling 50% of any new equity award issued to them (net of taxes) until such time as they come into compliance.</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Policy Regarding Shareholder Recommendations for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Company identifies new director candidates through a variety of sources. The Nominating and Corporate Governance Committee will consider director candidates recommended by shareholders in the same manner it considers other candidates, as described below. Shareholders seeking to recommend candidates for consideration by the Nominating and Corporate Governance Committee must submit a recommendation in compliance with the advance notice procedures in the Company’s bylaws, which are described under </w:t>
      </w:r>
      <w:r>
        <w:rPr>
          <w:rFonts w:ascii="Arial" w:cs="Arial" w:eastAsia="Arial" w:hAnsi="Arial"/>
          <w:sz w:val="18"/>
          <w:szCs w:val="18"/>
          <w:i w:val="1"/>
          <w:iCs w:val="1"/>
          <w:color w:val="0000FF"/>
        </w:rPr>
        <w:t>Shareholder</w:t>
      </w:r>
      <w:r>
        <w:rPr>
          <w:rFonts w:ascii="Arial" w:cs="Arial" w:eastAsia="Arial" w:hAnsi="Arial"/>
          <w:sz w:val="18"/>
          <w:szCs w:val="18"/>
          <w:color w:val="auto"/>
        </w:rPr>
        <w:t xml:space="preserve"> </w:t>
      </w:r>
      <w:r>
        <w:rPr>
          <w:rFonts w:ascii="Arial" w:cs="Arial" w:eastAsia="Arial" w:hAnsi="Arial"/>
          <w:sz w:val="18"/>
          <w:szCs w:val="18"/>
          <w:i w:val="1"/>
          <w:iCs w:val="1"/>
          <w:color w:val="0000FF"/>
        </w:rPr>
        <w:t xml:space="preserve">Proposals </w:t>
      </w:r>
      <w:r>
        <w:rPr>
          <w:rFonts w:ascii="Arial" w:cs="Arial" w:eastAsia="Arial" w:hAnsi="Arial"/>
          <w:sz w:val="18"/>
          <w:szCs w:val="18"/>
          <w:color w:val="000000"/>
        </w:rPr>
        <w:t>elsewhere in this Proxy Statement.</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Nominating and Corporate Governance Committee and the Board believe that candidates for director should have certain minimum qualifications, including, without limitation:</w:t>
      </w:r>
    </w:p>
    <w:p>
      <w:pPr>
        <w:spacing w:after="0" w:line="46" w:lineRule="exact"/>
        <w:rPr>
          <w:sz w:val="20"/>
          <w:szCs w:val="20"/>
          <w:color w:val="auto"/>
        </w:rPr>
      </w:pPr>
    </w:p>
    <w:p>
      <w:pPr>
        <w:ind w:left="400" w:hanging="312"/>
        <w:spacing w:after="0"/>
        <w:tabs>
          <w:tab w:leader="none" w:pos="400" w:val="left"/>
        </w:tabs>
        <w:numPr>
          <w:ilvl w:val="0"/>
          <w:numId w:val="53"/>
        </w:numPr>
        <w:rPr>
          <w:rFonts w:ascii="Arial" w:cs="Arial" w:eastAsia="Arial" w:hAnsi="Arial"/>
          <w:sz w:val="18"/>
          <w:szCs w:val="18"/>
          <w:b w:val="1"/>
          <w:bCs w:val="1"/>
          <w:color w:val="003B71"/>
        </w:rPr>
      </w:pPr>
      <w:r>
        <w:rPr>
          <w:rFonts w:ascii="Arial" w:cs="Arial" w:eastAsia="Arial" w:hAnsi="Arial"/>
          <w:sz w:val="18"/>
          <w:szCs w:val="18"/>
          <w:color w:val="auto"/>
        </w:rPr>
        <w:t>demonstrated business acumen and leadership, and high levels of accomplishment;</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53"/>
        </w:numPr>
        <w:rPr>
          <w:rFonts w:ascii="Arial" w:cs="Arial" w:eastAsia="Arial" w:hAnsi="Arial"/>
          <w:sz w:val="18"/>
          <w:szCs w:val="18"/>
          <w:b w:val="1"/>
          <w:bCs w:val="1"/>
          <w:color w:val="003B71"/>
        </w:rPr>
      </w:pPr>
      <w:r>
        <w:rPr>
          <w:rFonts w:ascii="Arial" w:cs="Arial" w:eastAsia="Arial" w:hAnsi="Arial"/>
          <w:sz w:val="18"/>
          <w:szCs w:val="18"/>
          <w:color w:val="auto"/>
        </w:rPr>
        <w:t>ability to exercise sound business judgment and to provide insight and practical wisdom based on experience;</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53"/>
        </w:numPr>
        <w:rPr>
          <w:rFonts w:ascii="Arial" w:cs="Arial" w:eastAsia="Arial" w:hAnsi="Arial"/>
          <w:sz w:val="18"/>
          <w:szCs w:val="18"/>
          <w:b w:val="1"/>
          <w:bCs w:val="1"/>
          <w:color w:val="003B71"/>
        </w:rPr>
      </w:pPr>
      <w:r>
        <w:rPr>
          <w:rFonts w:ascii="Arial" w:cs="Arial" w:eastAsia="Arial" w:hAnsi="Arial"/>
          <w:sz w:val="18"/>
          <w:szCs w:val="18"/>
          <w:color w:val="auto"/>
        </w:rPr>
        <w:t>commitment to understanding the Company and its business, industry and strategic objectives;</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53"/>
        </w:numPr>
        <w:rPr>
          <w:rFonts w:ascii="Arial" w:cs="Arial" w:eastAsia="Arial" w:hAnsi="Arial"/>
          <w:sz w:val="18"/>
          <w:szCs w:val="18"/>
          <w:b w:val="1"/>
          <w:bCs w:val="1"/>
          <w:color w:val="003B71"/>
        </w:rPr>
      </w:pPr>
      <w:r>
        <w:rPr>
          <w:rFonts w:ascii="Arial" w:cs="Arial" w:eastAsia="Arial" w:hAnsi="Arial"/>
          <w:sz w:val="18"/>
          <w:szCs w:val="18"/>
          <w:color w:val="auto"/>
        </w:rPr>
        <w:t>integrity and adherence to high personal ethics and values, consistent with our Code of Business Conduct and Ethics;</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53"/>
        </w:numPr>
        <w:rPr>
          <w:rFonts w:ascii="Arial" w:cs="Arial" w:eastAsia="Arial" w:hAnsi="Arial"/>
          <w:sz w:val="18"/>
          <w:szCs w:val="18"/>
          <w:b w:val="1"/>
          <w:bCs w:val="1"/>
          <w:color w:val="003B71"/>
        </w:rPr>
      </w:pPr>
      <w:r>
        <w:rPr>
          <w:rFonts w:ascii="Arial" w:cs="Arial" w:eastAsia="Arial" w:hAnsi="Arial"/>
          <w:sz w:val="18"/>
          <w:szCs w:val="18"/>
          <w:color w:val="auto"/>
        </w:rPr>
        <w:t>ability to read and understand financial statements and other financial information pertaining to the Company;</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53"/>
        </w:numPr>
        <w:rPr>
          <w:rFonts w:ascii="Arial" w:cs="Arial" w:eastAsia="Arial" w:hAnsi="Arial"/>
          <w:sz w:val="18"/>
          <w:szCs w:val="18"/>
          <w:b w:val="1"/>
          <w:bCs w:val="1"/>
          <w:color w:val="003B71"/>
        </w:rPr>
      </w:pPr>
      <w:r>
        <w:rPr>
          <w:rFonts w:ascii="Arial" w:cs="Arial" w:eastAsia="Arial" w:hAnsi="Arial"/>
          <w:sz w:val="18"/>
          <w:szCs w:val="18"/>
          <w:color w:val="auto"/>
        </w:rPr>
        <w:t>commitment to enhancing shareholder value; and</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53"/>
        </w:numPr>
        <w:rPr>
          <w:rFonts w:ascii="Arial" w:cs="Arial" w:eastAsia="Arial" w:hAnsi="Arial"/>
          <w:sz w:val="18"/>
          <w:szCs w:val="18"/>
          <w:b w:val="1"/>
          <w:bCs w:val="1"/>
          <w:color w:val="003B71"/>
        </w:rPr>
      </w:pPr>
      <w:r>
        <w:rPr>
          <w:rFonts w:ascii="Arial" w:cs="Arial" w:eastAsia="Arial" w:hAnsi="Arial"/>
          <w:sz w:val="18"/>
          <w:szCs w:val="18"/>
          <w:color w:val="auto"/>
        </w:rPr>
        <w:t>willingness to act in the long-term interest of all shareholders.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context of the Board’s existing composition, other requirements (such as prior Board experience, restaurant, hospitality, gaming, sports-related marketing and branding, or retail industry experience, or relevant senior level experience in finance, accounting, sales and marketing, organizational development, information technology, or public relations) that are expected to contribute to the Board’s overall effectiveness and meet the needs of the Board and its committees may be considered. The Committee also considers diversity of occupational, demographic and personal backgrounds in evaluating candidates for the Board and in connection with its periodic evaluation of the Board’s composition.</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Current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Nominating and Corporate Governance Committee conducted an evaluation and assessment of all of the current directors for purposes of determining whether to recommend them for nomination for re-election to the Board of Directors. After reviewing the assessment results, the Nominating and Corporate Governance Committee recommended that Messrs. Chambers, Lal, Lipman, Ross, Sheehan and Weiss be nominated for re-election to the Board of Directors. Following the Nominating and Corporate Governance Committee review, the Board appointed Mr. Protell to the Board and determined to nominate him for election by the shareholders at the Annual Meeting after reviewing his experience, skill set and qualifications. The Board accepted the committee’s recommendations and nominated all seven individuals for election by the shareholders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29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110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7"/>
          <w:szCs w:val="17"/>
          <w:b w:val="1"/>
          <w:bCs w:val="1"/>
          <w:color w:val="4C4C4C"/>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type w:val="continuous"/>
        </w:sectPr>
      </w:pPr>
    </w:p>
    <w:bookmarkStart w:id="23" w:name="page24"/>
    <w:bookmarkEnd w:id="23"/>
    <w:p>
      <w:pPr>
        <w:jc w:val="both"/>
        <w:spacing w:after="0" w:line="285" w:lineRule="auto"/>
        <w:rPr>
          <w:sz w:val="20"/>
          <w:szCs w:val="20"/>
          <w:color w:val="auto"/>
        </w:rPr>
      </w:pPr>
      <w:r>
        <w:rPr>
          <w:rFonts w:ascii="Arial" w:cs="Arial" w:eastAsia="Arial" w:hAnsi="Arial"/>
          <w:sz w:val="18"/>
          <w:szCs w:val="18"/>
          <w:color w:val="auto"/>
        </w:rPr>
        <w:t>The Nominating and Corporate Governance Committee did not receive any recommendations from shareholders proposing candidates for election to the Board at the Annual Meeting.</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Code of Business Conduct and Ethics and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Code of Business Conduct and Ethics applies to our directors, officers and other employees and is available on our website at </w:t>
      </w:r>
      <w:r>
        <w:rPr>
          <w:rFonts w:ascii="Arial" w:cs="Arial" w:eastAsia="Arial" w:hAnsi="Arial"/>
          <w:sz w:val="18"/>
          <w:szCs w:val="18"/>
          <w:i w:val="1"/>
          <w:iCs w:val="1"/>
          <w:color w:val="auto"/>
        </w:rPr>
        <w:t>http://ir.daveandbusters.com/corporate-governance</w:t>
      </w:r>
      <w:r>
        <w:rPr>
          <w:rFonts w:ascii="Arial" w:cs="Arial" w:eastAsia="Arial" w:hAnsi="Arial"/>
          <w:sz w:val="18"/>
          <w:szCs w:val="18"/>
          <w:color w:val="auto"/>
        </w:rPr>
        <w:t>. We intend to post any legally required disclosures regarding amendments to, or waivers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our Code of Business Conduct and Ethics on this website. In addition, our Whistleblower Policy is available on our website at </w:t>
      </w:r>
      <w:r>
        <w:rPr>
          <w:rFonts w:ascii="Arial" w:cs="Arial" w:eastAsia="Arial" w:hAnsi="Arial"/>
          <w:sz w:val="18"/>
          <w:szCs w:val="18"/>
          <w:i w:val="1"/>
          <w:iCs w:val="1"/>
          <w:color w:val="auto"/>
        </w:rPr>
        <w:t>http://ir.daveandbusters.com/corporate-governance</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From the beginning of fiscal 2025 to June 18, 2025, the members of the Compensation Committee were Mr. Chambers, Mr. Griffith, and Ms. Storms. From June 19, 2025 to the end of the fiscal year, the members of the committee were Mr. Chambers, Mr. Lipman, and Mr. Weiss. None of our executive officers serve on the compensation committee or board of directors of any other company of which any of the members of our Compensation Committee or any of our directors is an executive officer. None of the persons who served on the Compensation Committee during fiscal 2025 is or has been an officer or employee of the Company, and none had any relationship with the Company or any of its subsidiaries during fiscal 2025 that would be required to be disclosed as a transaction with a related person.</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Communications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shareholders wish to communicate with the Board of Directors or with an individual director, they may direct such communications in care of the Chief Legal Officer, 1221 S. Belt Line Road, #500, Coppell, Texas 75019. The communication must be clearly addressed to the Board of Directors or to a specific director. The Board of Directors has instructed the Chief Legal Officer to review and forward any such correspondence to the appropriate person or persons for response.</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94949"/>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insider trading policy governing the purchase, sale and disposition of our securities by our directors, officers, key leaders and employees, as well as their respective immediate family members. Such persons are also generally prohibited from engaging in speculative trading, such as trading on a short-term basis (purchasing stock on margin, pledging stock as collateral for loans, short selling stock and hedging transactions, such as trading in derivative securities relating to the Company’s securities). The insider trading policy is reasonably designed to promote compliance with insider trading laws, rules and regulations and applicable NASDAQ listing standards. While the Company is not subject to the insider trading policy, it does not trade in its securities when it is in possession of material nonpublic information other than pursuant to previously adopted Rule 10b5-1 trading arrangements.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94949"/>
        </w:rPr>
        <w:t>Arrangements and Family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On December 18, 2020, we entered into a cooperation agreement with Mr. Chambers and Hill Path Capital LP (“Hill Path”), pursuant to which we agreed to appoint Mr. Chambers to the Board and the Audit Committee, Finance Committee and Compensation Committee, effective December 22, 2020. The cooperation agreement was amended and restated on July 11, 2022 (the “A&amp;R Cooperation Agreement”).</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30, 2025, we entered into a letter agreement (the “Letter Agreement”) with Messrs. Chambers and Ross and Hill Path. Pursuant to the Letter Agreement, we agreed to (i) appoint Mr. Ross to the Board, effective January 30, 2025, (ii) nominate Messrs. Ross and Chambers (the “Hill Path Designees”) for election to the Board at our 2025 annual meeting of shareholders, and (iii) use our reasonable best efforts to cause the election of the Hill Path Designees to the Board at our 2025 annual meeting of shareholders, consistent with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267970</wp:posOffset>
            </wp:positionV>
            <wp:extent cx="71329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18</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24" w:name="page25"/>
    <w:bookmarkEnd w:id="24"/>
    <w:p>
      <w:pPr>
        <w:jc w:val="both"/>
        <w:spacing w:after="0" w:line="285" w:lineRule="auto"/>
        <w:rPr>
          <w:sz w:val="20"/>
          <w:szCs w:val="20"/>
          <w:color w:val="auto"/>
        </w:rPr>
      </w:pPr>
      <w:r>
        <w:rPr>
          <w:rFonts w:ascii="Arial" w:cs="Arial" w:eastAsia="Arial" w:hAnsi="Arial"/>
          <w:sz w:val="18"/>
          <w:szCs w:val="18"/>
          <w:color w:val="auto"/>
        </w:rPr>
        <w:t>efforts to elect other Company nominees. Concurrently with the appointment of Mr. Ross to the Board, we also agreed to appoint Mr. Ross to the Nominating and Corporate Governance Committee and Finance Committee.</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Letter Agreement and the A&amp;R Cooperation Agreement, Hill Path has agreed to various standstill provisions for the duration of a restricted period (as defined in the Letter Agreement and the A&amp;R Cooperation Agreement), including, among other things and subject to certain exceptions, that it will not, and will cause its affiliates to not (i) engage or participate in any solicitation of proxies with respect to the securities of the Company, (ii) acquire more than 20% of the outstanding securities of the Company, (iii) make or be the proponent of any shareholder proposal, (iv) seek Board representation other than as provided in the Cooperation Agreement or (v) influence third parties with respect to the voting or disposition of the securities of the Company.</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Other than the Letter Agreement and the A&amp;R Cooperation Agreement, there are no arrangements or understandings between any director and any other person pursuant to which he or she was selected as a director or nominee. There are no family relationships between or among any of our directors, director nominees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29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19</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25" w:name="page26"/>
    <w:bookmarkEnd w:id="25"/>
    <w:p>
      <w:pPr>
        <w:jc w:val="center"/>
        <w:spacing w:after="0" w:line="280" w:lineRule="auto"/>
        <w:rPr>
          <w:sz w:val="20"/>
          <w:szCs w:val="20"/>
          <w:color w:val="auto"/>
        </w:rPr>
      </w:pPr>
      <w:r>
        <w:rPr>
          <w:rFonts w:ascii="Arial" w:cs="Arial" w:eastAsia="Arial" w:hAnsi="Arial"/>
          <w:sz w:val="39"/>
          <w:szCs w:val="39"/>
          <w:color w:val="003B71"/>
        </w:rPr>
        <w:t>SECURITY OWNERSHIP OF CERTAIN BENEFICIAL OWNERS AND MANAGEMENT</w:t>
      </w:r>
    </w:p>
    <w:p>
      <w:pPr>
        <w:spacing w:after="0" w:line="1"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The following table shows the ownership of our common stock by (i) all persons known by us to beneficially own more than 5% of our common stock, (ii) each current director, (iii) the named executive officers, and (iv) all current executive officers and directors as a group.</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determined beneficial ownership in accordance with the rules of the SEC, and unless otherwise indicated below, to our knowledge, the persons and entities named in the table have sole voting and sole investment power with respect to all shares that they beneficially own, subject to community property laws where applicable.</w:t>
      </w:r>
    </w:p>
    <w:p>
      <w:pPr>
        <w:spacing w:after="0" w:line="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based our calculation of the percentage of beneficial ownership on 34,739,405 shares of our common stock outstanding as of April 23, 2026, unless otherwise indicated in the footnotes below. We have deemed shares of our common stock subject to stock options that are currently exercisable or exercisable within 60 days of April 23, 2026 to be outstanding and to be beneficially owned by the person holding the stock option for the purpose of computing the percentage ownership of that person, but have not deemed such shares to be outstanding for the purposes of computing the percentage ownership for any other person. Unless otherwise noted, the address of each beneficial owner is c/o Dave &amp; Buster’s Entertainment, Inc., 1221 S. Belt Line Road, #500, Coppell, Texas 75019.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29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80" w:type="dxa"/>
            <w:vAlign w:val="bottom"/>
          </w:tcPr>
          <w:p>
            <w:pPr>
              <w:spacing w:after="0"/>
              <w:rPr>
                <w:sz w:val="17"/>
                <w:szCs w:val="17"/>
                <w:color w:val="auto"/>
              </w:rPr>
            </w:pPr>
          </w:p>
        </w:tc>
        <w:tc>
          <w:tcPr>
            <w:tcW w:w="5160" w:type="dxa"/>
            <w:vAlign w:val="bottom"/>
          </w:tcPr>
          <w:p>
            <w:pPr>
              <w:jc w:val="right"/>
              <w:ind w:right="471"/>
              <w:spacing w:after="0"/>
              <w:rPr>
                <w:sz w:val="20"/>
                <w:szCs w:val="20"/>
                <w:color w:val="auto"/>
              </w:rPr>
            </w:pPr>
            <w:r>
              <w:rPr>
                <w:rFonts w:ascii="Arial" w:cs="Arial" w:eastAsia="Arial" w:hAnsi="Arial"/>
                <w:sz w:val="16"/>
                <w:szCs w:val="16"/>
                <w:b w:val="1"/>
                <w:bCs w:val="1"/>
                <w:color w:val="003B71"/>
              </w:rPr>
              <w:t>Number of Shares of Common Stock Beneficially</w:t>
            </w:r>
          </w:p>
        </w:tc>
        <w:tc>
          <w:tcPr>
            <w:tcW w:w="1400" w:type="dxa"/>
            <w:vAlign w:val="bottom"/>
          </w:tcPr>
          <w:p>
            <w:pPr>
              <w:spacing w:after="0"/>
              <w:rPr>
                <w:sz w:val="17"/>
                <w:szCs w:val="17"/>
                <w:color w:val="auto"/>
              </w:rPr>
            </w:pPr>
          </w:p>
        </w:tc>
      </w:tr>
      <w:tr>
        <w:trPr>
          <w:trHeight w:val="226"/>
        </w:trPr>
        <w:tc>
          <w:tcPr>
            <w:tcW w:w="4680" w:type="dxa"/>
            <w:vAlign w:val="bottom"/>
            <w:tcBorders>
              <w:bottom w:val="single" w:sz="8" w:color="003B71"/>
            </w:tcBorders>
          </w:tcPr>
          <w:p>
            <w:pPr>
              <w:ind w:left="20"/>
              <w:spacing w:after="0"/>
              <w:rPr>
                <w:sz w:val="20"/>
                <w:szCs w:val="20"/>
                <w:color w:val="auto"/>
              </w:rPr>
            </w:pPr>
            <w:r>
              <w:rPr>
                <w:rFonts w:ascii="Arial" w:cs="Arial" w:eastAsia="Arial" w:hAnsi="Arial"/>
                <w:sz w:val="16"/>
                <w:szCs w:val="16"/>
                <w:b w:val="1"/>
                <w:bCs w:val="1"/>
                <w:color w:val="003B71"/>
              </w:rPr>
              <w:t>Name of Beneficial Owner</w:t>
            </w:r>
          </w:p>
        </w:tc>
        <w:tc>
          <w:tcPr>
            <w:tcW w:w="5160" w:type="dxa"/>
            <w:vAlign w:val="bottom"/>
            <w:tcBorders>
              <w:bottom w:val="single" w:sz="8" w:color="003B71"/>
            </w:tcBorders>
          </w:tcPr>
          <w:p>
            <w:pPr>
              <w:jc w:val="right"/>
              <w:ind w:right="1311"/>
              <w:spacing w:after="0"/>
              <w:rPr>
                <w:sz w:val="20"/>
                <w:szCs w:val="20"/>
                <w:color w:val="auto"/>
              </w:rPr>
            </w:pPr>
            <w:r>
              <w:rPr>
                <w:rFonts w:ascii="Arial" w:cs="Arial" w:eastAsia="Arial" w:hAnsi="Arial"/>
                <w:sz w:val="16"/>
                <w:szCs w:val="16"/>
                <w:b w:val="1"/>
                <w:bCs w:val="1"/>
                <w:color w:val="003B71"/>
              </w:rPr>
              <w:t>Owned as of April 23, 2026</w:t>
            </w:r>
          </w:p>
        </w:tc>
        <w:tc>
          <w:tcPr>
            <w:tcW w:w="1400" w:type="dxa"/>
            <w:vAlign w:val="bottom"/>
            <w:tcBorders>
              <w:bottom w:val="single" w:sz="8" w:color="003B71"/>
            </w:tcBorders>
          </w:tcPr>
          <w:p>
            <w:pPr>
              <w:jc w:val="right"/>
              <w:ind w:right="432"/>
              <w:spacing w:after="0"/>
              <w:rPr>
                <w:sz w:val="20"/>
                <w:szCs w:val="20"/>
                <w:color w:val="auto"/>
              </w:rPr>
            </w:pPr>
            <w:r>
              <w:rPr>
                <w:rFonts w:ascii="Arial" w:cs="Arial" w:eastAsia="Arial" w:hAnsi="Arial"/>
                <w:sz w:val="16"/>
                <w:szCs w:val="16"/>
                <w:b w:val="1"/>
                <w:bCs w:val="1"/>
                <w:color w:val="003B71"/>
              </w:rPr>
              <w:t>Percent</w:t>
            </w:r>
          </w:p>
        </w:tc>
      </w:tr>
      <w:tr>
        <w:trPr>
          <w:trHeight w:val="187"/>
        </w:trPr>
        <w:tc>
          <w:tcPr>
            <w:tcW w:w="4680" w:type="dxa"/>
            <w:vAlign w:val="bottom"/>
          </w:tcPr>
          <w:p>
            <w:pPr>
              <w:ind w:left="20"/>
              <w:spacing w:after="0"/>
              <w:rPr>
                <w:sz w:val="20"/>
                <w:szCs w:val="20"/>
                <w:color w:val="auto"/>
              </w:rPr>
            </w:pPr>
            <w:r>
              <w:rPr>
                <w:rFonts w:ascii="Arial" w:cs="Arial" w:eastAsia="Arial" w:hAnsi="Arial"/>
                <w:sz w:val="13"/>
                <w:szCs w:val="13"/>
                <w:color w:val="auto"/>
              </w:rPr>
              <w:t>5% Shareholders</w:t>
            </w:r>
          </w:p>
        </w:tc>
        <w:tc>
          <w:tcPr>
            <w:tcW w:w="51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
        </w:trPr>
        <w:tc>
          <w:tcPr>
            <w:tcW w:w="46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75"/>
        </w:trPr>
        <w:tc>
          <w:tcPr>
            <w:tcW w:w="4680" w:type="dxa"/>
            <w:vAlign w:val="bottom"/>
            <w:shd w:val="clear" w:color="auto" w:fill="DBDBDB"/>
          </w:tcPr>
          <w:p>
            <w:pPr>
              <w:ind w:left="420"/>
              <w:spacing w:after="0" w:line="176" w:lineRule="exact"/>
              <w:rPr>
                <w:sz w:val="20"/>
                <w:szCs w:val="20"/>
                <w:color w:val="auto"/>
              </w:rPr>
            </w:pPr>
            <w:r>
              <w:rPr>
                <w:rFonts w:ascii="Arial" w:cs="Arial" w:eastAsia="Arial" w:hAnsi="Arial"/>
                <w:sz w:val="13"/>
                <w:szCs w:val="13"/>
                <w:color w:val="auto"/>
              </w:rPr>
              <w:t>Hill Path Capital LP</w:t>
            </w:r>
            <w:r>
              <w:rPr>
                <w:rFonts w:ascii="Arial" w:cs="Arial" w:eastAsia="Arial" w:hAnsi="Arial"/>
                <w:sz w:val="17"/>
                <w:szCs w:val="17"/>
                <w:color w:val="auto"/>
                <w:vertAlign w:val="superscript"/>
              </w:rPr>
              <w:t>(1)</w:t>
            </w:r>
          </w:p>
        </w:tc>
        <w:tc>
          <w:tcPr>
            <w:tcW w:w="516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r>
      <w:tr>
        <w:trPr>
          <w:trHeight w:val="161"/>
        </w:trPr>
        <w:tc>
          <w:tcPr>
            <w:tcW w:w="4680" w:type="dxa"/>
            <w:vAlign w:val="bottom"/>
            <w:shd w:val="clear" w:color="auto" w:fill="DBDBDB"/>
          </w:tcPr>
          <w:p>
            <w:pPr>
              <w:ind w:left="420"/>
              <w:spacing w:after="0" w:line="161" w:lineRule="exact"/>
              <w:rPr>
                <w:sz w:val="20"/>
                <w:szCs w:val="20"/>
                <w:color w:val="auto"/>
              </w:rPr>
            </w:pPr>
            <w:r>
              <w:rPr>
                <w:rFonts w:ascii="Arial" w:cs="Arial" w:eastAsia="Arial" w:hAnsi="Arial"/>
                <w:sz w:val="13"/>
                <w:szCs w:val="13"/>
                <w:color w:val="auto"/>
              </w:rPr>
              <w:t>150 East 58</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Street, 32</w:t>
            </w:r>
            <w:r>
              <w:rPr>
                <w:rFonts w:ascii="Arial" w:cs="Arial" w:eastAsia="Arial" w:hAnsi="Arial"/>
                <w:sz w:val="17"/>
                <w:szCs w:val="17"/>
                <w:color w:val="auto"/>
                <w:vertAlign w:val="superscript"/>
              </w:rPr>
              <w:t>nd</w:t>
            </w:r>
            <w:r>
              <w:rPr>
                <w:rFonts w:ascii="Arial" w:cs="Arial" w:eastAsia="Arial" w:hAnsi="Arial"/>
                <w:sz w:val="13"/>
                <w:szCs w:val="13"/>
                <w:color w:val="auto"/>
              </w:rPr>
              <w:t xml:space="preserve"> Floor</w:t>
            </w:r>
          </w:p>
        </w:tc>
        <w:tc>
          <w:tcPr>
            <w:tcW w:w="516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r>
      <w:tr>
        <w:trPr>
          <w:trHeight w:val="181"/>
        </w:trPr>
        <w:tc>
          <w:tcPr>
            <w:tcW w:w="4680" w:type="dxa"/>
            <w:vAlign w:val="bottom"/>
            <w:tcBorders>
              <w:bottom w:val="single" w:sz="8" w:color="DBDBDB"/>
            </w:tcBorders>
            <w:shd w:val="clear" w:color="auto" w:fill="DBDBDB"/>
          </w:tcPr>
          <w:p>
            <w:pPr>
              <w:ind w:left="420"/>
              <w:spacing w:after="0"/>
              <w:rPr>
                <w:sz w:val="20"/>
                <w:szCs w:val="20"/>
                <w:color w:val="auto"/>
              </w:rPr>
            </w:pPr>
            <w:r>
              <w:rPr>
                <w:rFonts w:ascii="Arial" w:cs="Arial" w:eastAsia="Arial" w:hAnsi="Arial"/>
                <w:sz w:val="13"/>
                <w:szCs w:val="13"/>
                <w:color w:val="auto"/>
              </w:rPr>
              <w:t>New York, NY 10155</w:t>
            </w:r>
          </w:p>
        </w:tc>
        <w:tc>
          <w:tcPr>
            <w:tcW w:w="516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3"/>
                <w:szCs w:val="13"/>
                <w:color w:val="auto"/>
              </w:rPr>
              <w:t>7,119,255</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20.47 %</w:t>
            </w:r>
          </w:p>
        </w:tc>
      </w:tr>
      <w:tr>
        <w:trPr>
          <w:trHeight w:val="175"/>
        </w:trPr>
        <w:tc>
          <w:tcPr>
            <w:tcW w:w="4680" w:type="dxa"/>
            <w:vAlign w:val="bottom"/>
          </w:tcPr>
          <w:p>
            <w:pPr>
              <w:ind w:left="420"/>
              <w:spacing w:after="0" w:line="176" w:lineRule="exact"/>
              <w:rPr>
                <w:sz w:val="20"/>
                <w:szCs w:val="20"/>
                <w:color w:val="auto"/>
              </w:rPr>
            </w:pPr>
            <w:r>
              <w:rPr>
                <w:rFonts w:ascii="Arial" w:cs="Arial" w:eastAsia="Arial" w:hAnsi="Arial"/>
                <w:sz w:val="13"/>
                <w:szCs w:val="13"/>
                <w:color w:val="auto"/>
              </w:rPr>
              <w:t>BlackRock, Inc.</w:t>
            </w:r>
            <w:r>
              <w:rPr>
                <w:rFonts w:ascii="Arial" w:cs="Arial" w:eastAsia="Arial" w:hAnsi="Arial"/>
                <w:sz w:val="17"/>
                <w:szCs w:val="17"/>
                <w:color w:val="auto"/>
                <w:vertAlign w:val="superscript"/>
              </w:rPr>
              <w:t>(2)</w:t>
            </w:r>
          </w:p>
        </w:tc>
        <w:tc>
          <w:tcPr>
            <w:tcW w:w="5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61"/>
        </w:trPr>
        <w:tc>
          <w:tcPr>
            <w:tcW w:w="4680" w:type="dxa"/>
            <w:vAlign w:val="bottom"/>
          </w:tcPr>
          <w:p>
            <w:pPr>
              <w:ind w:left="420"/>
              <w:spacing w:after="0" w:line="161" w:lineRule="exact"/>
              <w:rPr>
                <w:sz w:val="20"/>
                <w:szCs w:val="20"/>
                <w:color w:val="auto"/>
              </w:rPr>
            </w:pPr>
            <w:r>
              <w:rPr>
                <w:rFonts w:ascii="Arial" w:cs="Arial" w:eastAsia="Arial" w:hAnsi="Arial"/>
                <w:sz w:val="13"/>
                <w:szCs w:val="13"/>
                <w:color w:val="auto"/>
              </w:rPr>
              <w:t>55 East 52</w:t>
            </w:r>
            <w:r>
              <w:rPr>
                <w:rFonts w:ascii="Arial" w:cs="Arial" w:eastAsia="Arial" w:hAnsi="Arial"/>
                <w:sz w:val="17"/>
                <w:szCs w:val="17"/>
                <w:color w:val="auto"/>
                <w:vertAlign w:val="superscript"/>
              </w:rPr>
              <w:t>nd</w:t>
            </w:r>
            <w:r>
              <w:rPr>
                <w:rFonts w:ascii="Arial" w:cs="Arial" w:eastAsia="Arial" w:hAnsi="Arial"/>
                <w:sz w:val="13"/>
                <w:szCs w:val="13"/>
                <w:color w:val="auto"/>
              </w:rPr>
              <w:t xml:space="preserve"> Street</w:t>
            </w:r>
          </w:p>
        </w:tc>
        <w:tc>
          <w:tcPr>
            <w:tcW w:w="5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6"/>
        </w:trPr>
        <w:tc>
          <w:tcPr>
            <w:tcW w:w="4680" w:type="dxa"/>
            <w:vAlign w:val="bottom"/>
          </w:tcPr>
          <w:p>
            <w:pPr>
              <w:ind w:left="420"/>
              <w:spacing w:after="0"/>
              <w:rPr>
                <w:sz w:val="20"/>
                <w:szCs w:val="20"/>
                <w:color w:val="auto"/>
              </w:rPr>
            </w:pPr>
            <w:r>
              <w:rPr>
                <w:rFonts w:ascii="Arial" w:cs="Arial" w:eastAsia="Arial" w:hAnsi="Arial"/>
                <w:sz w:val="13"/>
                <w:szCs w:val="13"/>
                <w:color w:val="auto"/>
              </w:rPr>
              <w:t>New York, NY 10055</w:t>
            </w:r>
          </w:p>
        </w:tc>
        <w:tc>
          <w:tcPr>
            <w:tcW w:w="5160" w:type="dxa"/>
            <w:vAlign w:val="bottom"/>
          </w:tcPr>
          <w:p>
            <w:pPr>
              <w:jc w:val="right"/>
              <w:ind w:right="251"/>
              <w:spacing w:after="0"/>
              <w:rPr>
                <w:sz w:val="20"/>
                <w:szCs w:val="20"/>
                <w:color w:val="auto"/>
              </w:rPr>
            </w:pPr>
            <w:r>
              <w:rPr>
                <w:rFonts w:ascii="Arial" w:cs="Arial" w:eastAsia="Arial" w:hAnsi="Arial"/>
                <w:sz w:val="13"/>
                <w:szCs w:val="13"/>
                <w:color w:val="auto"/>
              </w:rPr>
              <w:t>2,084,177</w:t>
            </w:r>
          </w:p>
        </w:tc>
        <w:tc>
          <w:tcPr>
            <w:tcW w:w="1400" w:type="dxa"/>
            <w:vAlign w:val="bottom"/>
          </w:tcPr>
          <w:p>
            <w:pPr>
              <w:jc w:val="right"/>
              <w:spacing w:after="0"/>
              <w:rPr>
                <w:sz w:val="20"/>
                <w:szCs w:val="20"/>
                <w:color w:val="auto"/>
              </w:rPr>
            </w:pPr>
            <w:r>
              <w:rPr>
                <w:rFonts w:ascii="Arial" w:cs="Arial" w:eastAsia="Arial" w:hAnsi="Arial"/>
                <w:sz w:val="13"/>
                <w:szCs w:val="13"/>
                <w:color w:val="auto"/>
              </w:rPr>
              <w:t>5.99 %</w:t>
            </w:r>
          </w:p>
        </w:tc>
      </w:tr>
      <w:tr>
        <w:trPr>
          <w:trHeight w:val="25"/>
        </w:trPr>
        <w:tc>
          <w:tcPr>
            <w:tcW w:w="46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75"/>
        </w:trPr>
        <w:tc>
          <w:tcPr>
            <w:tcW w:w="4680" w:type="dxa"/>
            <w:vAlign w:val="bottom"/>
            <w:shd w:val="clear" w:color="auto" w:fill="DBDBDB"/>
          </w:tcPr>
          <w:p>
            <w:pPr>
              <w:ind w:left="420"/>
              <w:spacing w:after="0" w:line="176" w:lineRule="exact"/>
              <w:rPr>
                <w:sz w:val="20"/>
                <w:szCs w:val="20"/>
                <w:color w:val="auto"/>
              </w:rPr>
            </w:pPr>
            <w:r>
              <w:rPr>
                <w:rFonts w:ascii="Arial" w:cs="Arial" w:eastAsia="Arial" w:hAnsi="Arial"/>
                <w:sz w:val="13"/>
                <w:szCs w:val="13"/>
                <w:color w:val="auto"/>
              </w:rPr>
              <w:t>Patient Capital Management, LLC</w:t>
            </w:r>
            <w:r>
              <w:rPr>
                <w:rFonts w:ascii="Arial" w:cs="Arial" w:eastAsia="Arial" w:hAnsi="Arial"/>
                <w:sz w:val="17"/>
                <w:szCs w:val="17"/>
                <w:color w:val="auto"/>
                <w:vertAlign w:val="superscript"/>
              </w:rPr>
              <w:t>(3)</w:t>
            </w:r>
          </w:p>
        </w:tc>
        <w:tc>
          <w:tcPr>
            <w:tcW w:w="516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r>
      <w:tr>
        <w:trPr>
          <w:trHeight w:val="161"/>
        </w:trPr>
        <w:tc>
          <w:tcPr>
            <w:tcW w:w="4680" w:type="dxa"/>
            <w:vAlign w:val="bottom"/>
            <w:shd w:val="clear" w:color="auto" w:fill="DBDBDB"/>
          </w:tcPr>
          <w:p>
            <w:pPr>
              <w:ind w:left="420"/>
              <w:spacing w:after="0"/>
              <w:rPr>
                <w:sz w:val="20"/>
                <w:szCs w:val="20"/>
                <w:color w:val="auto"/>
              </w:rPr>
            </w:pPr>
            <w:r>
              <w:rPr>
                <w:rFonts w:ascii="Arial" w:cs="Arial" w:eastAsia="Arial" w:hAnsi="Arial"/>
                <w:sz w:val="13"/>
                <w:szCs w:val="13"/>
                <w:color w:val="auto"/>
              </w:rPr>
              <w:t>One South Street, Suite 2101</w:t>
            </w:r>
          </w:p>
        </w:tc>
        <w:tc>
          <w:tcPr>
            <w:tcW w:w="516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r>
      <w:tr>
        <w:trPr>
          <w:trHeight w:val="181"/>
        </w:trPr>
        <w:tc>
          <w:tcPr>
            <w:tcW w:w="4680" w:type="dxa"/>
            <w:vAlign w:val="bottom"/>
            <w:tcBorders>
              <w:bottom w:val="single" w:sz="8" w:color="DBDBDB"/>
            </w:tcBorders>
            <w:shd w:val="clear" w:color="auto" w:fill="DBDBDB"/>
          </w:tcPr>
          <w:p>
            <w:pPr>
              <w:ind w:left="420"/>
              <w:spacing w:after="0"/>
              <w:rPr>
                <w:sz w:val="20"/>
                <w:szCs w:val="20"/>
                <w:color w:val="auto"/>
              </w:rPr>
            </w:pPr>
            <w:r>
              <w:rPr>
                <w:rFonts w:ascii="Arial" w:cs="Arial" w:eastAsia="Arial" w:hAnsi="Arial"/>
                <w:sz w:val="13"/>
                <w:szCs w:val="13"/>
                <w:color w:val="auto"/>
              </w:rPr>
              <w:t>Baltimore, Maryland 21202</w:t>
            </w:r>
          </w:p>
        </w:tc>
        <w:tc>
          <w:tcPr>
            <w:tcW w:w="516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3"/>
                <w:szCs w:val="13"/>
                <w:color w:val="auto"/>
              </w:rPr>
              <w:t>2,201,507</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6.33 %</w:t>
            </w:r>
          </w:p>
        </w:tc>
      </w:tr>
      <w:tr>
        <w:trPr>
          <w:trHeight w:val="175"/>
        </w:trPr>
        <w:tc>
          <w:tcPr>
            <w:tcW w:w="4680" w:type="dxa"/>
            <w:vAlign w:val="bottom"/>
          </w:tcPr>
          <w:p>
            <w:pPr>
              <w:ind w:left="420"/>
              <w:spacing w:after="0" w:line="176" w:lineRule="exact"/>
              <w:rPr>
                <w:sz w:val="20"/>
                <w:szCs w:val="20"/>
                <w:color w:val="auto"/>
              </w:rPr>
            </w:pPr>
            <w:r>
              <w:rPr>
                <w:rFonts w:ascii="Arial" w:cs="Arial" w:eastAsia="Arial" w:hAnsi="Arial"/>
                <w:sz w:val="13"/>
                <w:szCs w:val="13"/>
                <w:color w:val="auto"/>
              </w:rPr>
              <w:t>Eminence Capital, LP</w:t>
            </w:r>
            <w:r>
              <w:rPr>
                <w:rFonts w:ascii="Arial" w:cs="Arial" w:eastAsia="Arial" w:hAnsi="Arial"/>
                <w:sz w:val="17"/>
                <w:szCs w:val="17"/>
                <w:color w:val="auto"/>
                <w:vertAlign w:val="superscript"/>
              </w:rPr>
              <w:t>(4)</w:t>
            </w:r>
          </w:p>
        </w:tc>
        <w:tc>
          <w:tcPr>
            <w:tcW w:w="5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61"/>
        </w:trPr>
        <w:tc>
          <w:tcPr>
            <w:tcW w:w="4680" w:type="dxa"/>
            <w:vAlign w:val="bottom"/>
          </w:tcPr>
          <w:p>
            <w:pPr>
              <w:ind w:left="420"/>
              <w:spacing w:after="0"/>
              <w:rPr>
                <w:sz w:val="20"/>
                <w:szCs w:val="20"/>
                <w:color w:val="auto"/>
              </w:rPr>
            </w:pPr>
            <w:r>
              <w:rPr>
                <w:rFonts w:ascii="Arial" w:cs="Arial" w:eastAsia="Arial" w:hAnsi="Arial"/>
                <w:sz w:val="13"/>
                <w:szCs w:val="13"/>
                <w:color w:val="auto"/>
              </w:rPr>
              <w:t>399 Park Avenue, 25th Floor</w:t>
            </w:r>
          </w:p>
        </w:tc>
        <w:tc>
          <w:tcPr>
            <w:tcW w:w="5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6"/>
        </w:trPr>
        <w:tc>
          <w:tcPr>
            <w:tcW w:w="4680" w:type="dxa"/>
            <w:vAlign w:val="bottom"/>
          </w:tcPr>
          <w:p>
            <w:pPr>
              <w:ind w:left="420"/>
              <w:spacing w:after="0"/>
              <w:rPr>
                <w:sz w:val="20"/>
                <w:szCs w:val="20"/>
                <w:color w:val="auto"/>
              </w:rPr>
            </w:pPr>
            <w:r>
              <w:rPr>
                <w:rFonts w:ascii="Arial" w:cs="Arial" w:eastAsia="Arial" w:hAnsi="Arial"/>
                <w:sz w:val="13"/>
                <w:szCs w:val="13"/>
                <w:color w:val="auto"/>
              </w:rPr>
              <w:t>New York, NY 10022</w:t>
            </w:r>
          </w:p>
        </w:tc>
        <w:tc>
          <w:tcPr>
            <w:tcW w:w="5160" w:type="dxa"/>
            <w:vAlign w:val="bottom"/>
          </w:tcPr>
          <w:p>
            <w:pPr>
              <w:jc w:val="right"/>
              <w:ind w:right="251"/>
              <w:spacing w:after="0"/>
              <w:rPr>
                <w:sz w:val="20"/>
                <w:szCs w:val="20"/>
                <w:color w:val="auto"/>
              </w:rPr>
            </w:pPr>
            <w:r>
              <w:rPr>
                <w:rFonts w:ascii="Arial" w:cs="Arial" w:eastAsia="Arial" w:hAnsi="Arial"/>
                <w:sz w:val="13"/>
                <w:szCs w:val="13"/>
                <w:color w:val="auto"/>
              </w:rPr>
              <w:t>2,905,454</w:t>
            </w:r>
          </w:p>
        </w:tc>
        <w:tc>
          <w:tcPr>
            <w:tcW w:w="1400" w:type="dxa"/>
            <w:vAlign w:val="bottom"/>
          </w:tcPr>
          <w:p>
            <w:pPr>
              <w:jc w:val="right"/>
              <w:spacing w:after="0"/>
              <w:rPr>
                <w:sz w:val="20"/>
                <w:szCs w:val="20"/>
                <w:color w:val="auto"/>
              </w:rPr>
            </w:pPr>
            <w:r>
              <w:rPr>
                <w:rFonts w:ascii="Arial" w:cs="Arial" w:eastAsia="Arial" w:hAnsi="Arial"/>
                <w:sz w:val="13"/>
                <w:szCs w:val="13"/>
                <w:color w:val="auto"/>
              </w:rPr>
              <w:t>8.35 %</w:t>
            </w:r>
          </w:p>
        </w:tc>
      </w:tr>
      <w:tr>
        <w:trPr>
          <w:trHeight w:val="215"/>
        </w:trPr>
        <w:tc>
          <w:tcPr>
            <w:tcW w:w="4680" w:type="dxa"/>
            <w:vAlign w:val="bottom"/>
          </w:tcPr>
          <w:p>
            <w:pPr>
              <w:ind w:left="20"/>
              <w:spacing w:after="0"/>
              <w:rPr>
                <w:sz w:val="20"/>
                <w:szCs w:val="20"/>
                <w:color w:val="auto"/>
              </w:rPr>
            </w:pPr>
            <w:r>
              <w:rPr>
                <w:rFonts w:ascii="Arial" w:cs="Arial" w:eastAsia="Arial" w:hAnsi="Arial"/>
                <w:sz w:val="13"/>
                <w:szCs w:val="13"/>
                <w:color w:val="auto"/>
              </w:rPr>
              <w:t>Non-employee Directors and Director Nominees</w:t>
            </w:r>
          </w:p>
        </w:tc>
        <w:tc>
          <w:tcPr>
            <w:tcW w:w="5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
        </w:trPr>
        <w:tc>
          <w:tcPr>
            <w:tcW w:w="46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5"/>
        </w:trPr>
        <w:tc>
          <w:tcPr>
            <w:tcW w:w="4680" w:type="dxa"/>
            <w:vAlign w:val="bottom"/>
            <w:tcBorders>
              <w:bottom w:val="single" w:sz="8" w:color="DBDBDB"/>
            </w:tcBorders>
            <w:shd w:val="clear" w:color="auto" w:fill="DBDBDB"/>
          </w:tcPr>
          <w:p>
            <w:pPr>
              <w:ind w:left="420"/>
              <w:spacing w:after="0"/>
              <w:rPr>
                <w:sz w:val="20"/>
                <w:szCs w:val="20"/>
                <w:color w:val="auto"/>
              </w:rPr>
            </w:pPr>
            <w:r>
              <w:rPr>
                <w:rFonts w:ascii="Arial" w:cs="Arial" w:eastAsia="Arial" w:hAnsi="Arial"/>
                <w:sz w:val="13"/>
                <w:szCs w:val="13"/>
                <w:color w:val="auto"/>
              </w:rPr>
              <w:t>James P. Chambers</w:t>
            </w:r>
          </w:p>
        </w:tc>
        <w:tc>
          <w:tcPr>
            <w:tcW w:w="516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3"/>
                <w:szCs w:val="13"/>
                <w:color w:val="auto"/>
              </w:rPr>
              <w:t>18,083</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4680" w:type="dxa"/>
            <w:vAlign w:val="bottom"/>
          </w:tcPr>
          <w:p>
            <w:pPr>
              <w:ind w:left="420"/>
              <w:spacing w:after="0"/>
              <w:rPr>
                <w:sz w:val="20"/>
                <w:szCs w:val="20"/>
                <w:color w:val="auto"/>
              </w:rPr>
            </w:pPr>
            <w:r>
              <w:rPr>
                <w:rFonts w:ascii="Arial" w:cs="Arial" w:eastAsia="Arial" w:hAnsi="Arial"/>
                <w:sz w:val="13"/>
                <w:szCs w:val="13"/>
                <w:color w:val="auto"/>
              </w:rPr>
              <w:t>Nathaniel J. Lipman</w:t>
            </w:r>
          </w:p>
        </w:tc>
        <w:tc>
          <w:tcPr>
            <w:tcW w:w="5160" w:type="dxa"/>
            <w:vAlign w:val="bottom"/>
          </w:tcPr>
          <w:p>
            <w:pPr>
              <w:jc w:val="right"/>
              <w:ind w:right="251"/>
              <w:spacing w:after="0"/>
              <w:rPr>
                <w:sz w:val="20"/>
                <w:szCs w:val="20"/>
                <w:color w:val="auto"/>
              </w:rPr>
            </w:pPr>
            <w:r>
              <w:rPr>
                <w:rFonts w:ascii="Arial" w:cs="Arial" w:eastAsia="Arial" w:hAnsi="Arial"/>
                <w:sz w:val="13"/>
                <w:szCs w:val="13"/>
                <w:color w:val="auto"/>
              </w:rPr>
              <w:t>5,666</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46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5"/>
        </w:trPr>
        <w:tc>
          <w:tcPr>
            <w:tcW w:w="4680" w:type="dxa"/>
            <w:vAlign w:val="bottom"/>
            <w:tcBorders>
              <w:bottom w:val="single" w:sz="8" w:color="DBDBDB"/>
            </w:tcBorders>
            <w:shd w:val="clear" w:color="auto" w:fill="DBDBDB"/>
          </w:tcPr>
          <w:p>
            <w:pPr>
              <w:ind w:left="420"/>
              <w:spacing w:after="0"/>
              <w:rPr>
                <w:sz w:val="20"/>
                <w:szCs w:val="20"/>
                <w:color w:val="auto"/>
              </w:rPr>
            </w:pPr>
            <w:r>
              <w:rPr>
                <w:rFonts w:ascii="Arial" w:cs="Arial" w:eastAsia="Arial" w:hAnsi="Arial"/>
                <w:sz w:val="13"/>
                <w:szCs w:val="13"/>
                <w:color w:val="auto"/>
              </w:rPr>
              <w:t>Charles H. Protell</w:t>
            </w:r>
          </w:p>
        </w:tc>
        <w:tc>
          <w:tcPr>
            <w:tcW w:w="5160" w:type="dxa"/>
            <w:vAlign w:val="bottom"/>
            <w:tcBorders>
              <w:bottom w:val="single" w:sz="8" w:color="DBDBDB"/>
            </w:tcBorders>
            <w:shd w:val="clear" w:color="auto" w:fill="DBDBDB"/>
          </w:tcPr>
          <w:p>
            <w:pPr>
              <w:jc w:val="right"/>
              <w:ind w:right="291"/>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tcPr>
          <w:p>
            <w:pPr>
              <w:ind w:left="420"/>
              <w:spacing w:after="0"/>
              <w:rPr>
                <w:sz w:val="20"/>
                <w:szCs w:val="20"/>
                <w:color w:val="auto"/>
              </w:rPr>
            </w:pPr>
            <w:r>
              <w:rPr>
                <w:rFonts w:ascii="Arial" w:cs="Arial" w:eastAsia="Arial" w:hAnsi="Arial"/>
                <w:sz w:val="13"/>
                <w:szCs w:val="13"/>
                <w:color w:val="auto"/>
              </w:rPr>
              <w:t xml:space="preserve">Scott I. Ross </w:t>
            </w:r>
            <w:r>
              <w:rPr>
                <w:rFonts w:ascii="Arial" w:cs="Arial" w:eastAsia="Arial" w:hAnsi="Arial"/>
                <w:sz w:val="17"/>
                <w:szCs w:val="17"/>
                <w:color w:val="auto"/>
                <w:vertAlign w:val="superscript"/>
              </w:rPr>
              <w:t>(1)</w:t>
            </w:r>
          </w:p>
        </w:tc>
        <w:tc>
          <w:tcPr>
            <w:tcW w:w="5160" w:type="dxa"/>
            <w:vAlign w:val="bottom"/>
          </w:tcPr>
          <w:p>
            <w:pPr>
              <w:jc w:val="right"/>
              <w:ind w:right="291"/>
              <w:spacing w:after="0"/>
              <w:rPr>
                <w:sz w:val="20"/>
                <w:szCs w:val="20"/>
                <w:color w:val="auto"/>
              </w:rPr>
            </w:pPr>
            <w:r>
              <w:rPr>
                <w:rFonts w:ascii="Arial" w:cs="Arial" w:eastAsia="Arial" w:hAnsi="Arial"/>
                <w:sz w:val="13"/>
                <w:szCs w:val="13"/>
                <w:color w:val="auto"/>
              </w:rPr>
              <w:t>5,796</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shd w:val="clear" w:color="auto" w:fill="DBDBDB"/>
          </w:tcPr>
          <w:p>
            <w:pPr>
              <w:ind w:left="420"/>
              <w:spacing w:after="0"/>
              <w:rPr>
                <w:sz w:val="20"/>
                <w:szCs w:val="20"/>
                <w:color w:val="auto"/>
              </w:rPr>
            </w:pPr>
            <w:r>
              <w:rPr>
                <w:rFonts w:ascii="Arial" w:cs="Arial" w:eastAsia="Arial" w:hAnsi="Arial"/>
                <w:sz w:val="13"/>
                <w:szCs w:val="13"/>
                <w:color w:val="auto"/>
              </w:rPr>
              <w:t>Kevin M. Sheehan</w:t>
            </w:r>
            <w:r>
              <w:rPr>
                <w:rFonts w:ascii="Arial" w:cs="Arial" w:eastAsia="Arial" w:hAnsi="Arial"/>
                <w:sz w:val="17"/>
                <w:szCs w:val="17"/>
                <w:color w:val="auto"/>
                <w:vertAlign w:val="superscript"/>
              </w:rPr>
              <w:t>(5)</w:t>
            </w:r>
          </w:p>
        </w:tc>
        <w:tc>
          <w:tcPr>
            <w:tcW w:w="5160" w:type="dxa"/>
            <w:vAlign w:val="bottom"/>
            <w:shd w:val="clear" w:color="auto" w:fill="DBDBDB"/>
          </w:tcPr>
          <w:p>
            <w:pPr>
              <w:jc w:val="right"/>
              <w:ind w:right="251"/>
              <w:spacing w:after="0"/>
              <w:rPr>
                <w:sz w:val="20"/>
                <w:szCs w:val="20"/>
                <w:color w:val="auto"/>
              </w:rPr>
            </w:pPr>
            <w:r>
              <w:rPr>
                <w:rFonts w:ascii="Arial" w:cs="Arial" w:eastAsia="Arial" w:hAnsi="Arial"/>
                <w:sz w:val="13"/>
                <w:szCs w:val="13"/>
                <w:color w:val="auto"/>
              </w:rPr>
              <w:t>191,069</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90"/>
        </w:trPr>
        <w:tc>
          <w:tcPr>
            <w:tcW w:w="4680" w:type="dxa"/>
            <w:vAlign w:val="bottom"/>
          </w:tcPr>
          <w:p>
            <w:pPr>
              <w:ind w:left="420"/>
              <w:spacing w:after="0"/>
              <w:rPr>
                <w:sz w:val="20"/>
                <w:szCs w:val="20"/>
                <w:color w:val="auto"/>
              </w:rPr>
            </w:pPr>
            <w:r>
              <w:rPr>
                <w:rFonts w:ascii="Arial" w:cs="Arial" w:eastAsia="Arial" w:hAnsi="Arial"/>
                <w:sz w:val="13"/>
                <w:szCs w:val="13"/>
                <w:color w:val="auto"/>
              </w:rPr>
              <w:t>Atish Shah</w:t>
            </w:r>
          </w:p>
        </w:tc>
        <w:tc>
          <w:tcPr>
            <w:tcW w:w="5160" w:type="dxa"/>
            <w:vAlign w:val="bottom"/>
          </w:tcPr>
          <w:p>
            <w:pPr>
              <w:jc w:val="right"/>
              <w:ind w:right="251"/>
              <w:spacing w:after="0"/>
              <w:rPr>
                <w:sz w:val="20"/>
                <w:szCs w:val="20"/>
                <w:color w:val="auto"/>
              </w:rPr>
            </w:pPr>
            <w:r>
              <w:rPr>
                <w:rFonts w:ascii="Arial" w:cs="Arial" w:eastAsia="Arial" w:hAnsi="Arial"/>
                <w:sz w:val="13"/>
                <w:szCs w:val="13"/>
                <w:color w:val="auto"/>
              </w:rPr>
              <w:t>17,439</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
        </w:trPr>
        <w:tc>
          <w:tcPr>
            <w:tcW w:w="46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5"/>
        </w:trPr>
        <w:tc>
          <w:tcPr>
            <w:tcW w:w="4680" w:type="dxa"/>
            <w:vAlign w:val="bottom"/>
            <w:tcBorders>
              <w:bottom w:val="single" w:sz="8" w:color="DBDBDB"/>
            </w:tcBorders>
            <w:shd w:val="clear" w:color="auto" w:fill="DBDBDB"/>
          </w:tcPr>
          <w:p>
            <w:pPr>
              <w:ind w:left="420"/>
              <w:spacing w:after="0"/>
              <w:rPr>
                <w:sz w:val="20"/>
                <w:szCs w:val="20"/>
                <w:color w:val="auto"/>
              </w:rPr>
            </w:pPr>
            <w:r>
              <w:rPr>
                <w:rFonts w:ascii="Arial" w:cs="Arial" w:eastAsia="Arial" w:hAnsi="Arial"/>
                <w:sz w:val="13"/>
                <w:szCs w:val="13"/>
                <w:color w:val="auto"/>
              </w:rPr>
              <w:t>Allen R. Weiss</w:t>
            </w:r>
          </w:p>
        </w:tc>
        <w:tc>
          <w:tcPr>
            <w:tcW w:w="516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3"/>
                <w:szCs w:val="13"/>
                <w:color w:val="auto"/>
              </w:rPr>
              <w:t>5,738</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tcPr>
          <w:p>
            <w:pPr>
              <w:ind w:left="20"/>
              <w:spacing w:after="0"/>
              <w:rPr>
                <w:sz w:val="20"/>
                <w:szCs w:val="20"/>
                <w:color w:val="auto"/>
              </w:rPr>
            </w:pPr>
            <w:r>
              <w:rPr>
                <w:rFonts w:ascii="Arial" w:cs="Arial" w:eastAsia="Arial" w:hAnsi="Arial"/>
                <w:sz w:val="13"/>
                <w:szCs w:val="13"/>
                <w:color w:val="auto"/>
              </w:rPr>
              <w:t>Named Executive Officers</w:t>
            </w:r>
            <w:r>
              <w:rPr>
                <w:rFonts w:ascii="Arial" w:cs="Arial" w:eastAsia="Arial" w:hAnsi="Arial"/>
                <w:sz w:val="17"/>
                <w:szCs w:val="17"/>
                <w:color w:val="auto"/>
                <w:vertAlign w:val="superscript"/>
              </w:rPr>
              <w:t>(6)</w:t>
            </w:r>
          </w:p>
        </w:tc>
        <w:tc>
          <w:tcPr>
            <w:tcW w:w="5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shd w:val="clear" w:color="auto" w:fill="DBDBDB"/>
          </w:tcPr>
          <w:p>
            <w:pPr>
              <w:ind w:left="420"/>
              <w:spacing w:after="0"/>
              <w:rPr>
                <w:sz w:val="20"/>
                <w:szCs w:val="20"/>
                <w:color w:val="auto"/>
              </w:rPr>
            </w:pPr>
            <w:r>
              <w:rPr>
                <w:rFonts w:ascii="Arial" w:cs="Arial" w:eastAsia="Arial" w:hAnsi="Arial"/>
                <w:sz w:val="13"/>
                <w:szCs w:val="13"/>
                <w:color w:val="auto"/>
              </w:rPr>
              <w:t>Tarun Lal</w:t>
            </w:r>
            <w:r>
              <w:rPr>
                <w:rFonts w:ascii="Arial" w:cs="Arial" w:eastAsia="Arial" w:hAnsi="Arial"/>
                <w:sz w:val="17"/>
                <w:szCs w:val="17"/>
                <w:color w:val="auto"/>
                <w:vertAlign w:val="superscript"/>
              </w:rPr>
              <w:t>(7)</w:t>
            </w:r>
          </w:p>
        </w:tc>
        <w:tc>
          <w:tcPr>
            <w:tcW w:w="5160" w:type="dxa"/>
            <w:vAlign w:val="bottom"/>
            <w:shd w:val="clear" w:color="auto" w:fill="DBDBDB"/>
          </w:tcPr>
          <w:p>
            <w:pPr>
              <w:jc w:val="right"/>
              <w:ind w:right="251"/>
              <w:spacing w:after="0"/>
              <w:rPr>
                <w:sz w:val="20"/>
                <w:szCs w:val="20"/>
                <w:color w:val="auto"/>
              </w:rPr>
            </w:pPr>
            <w:r>
              <w:rPr>
                <w:rFonts w:ascii="Arial" w:cs="Arial" w:eastAsia="Arial" w:hAnsi="Arial"/>
                <w:sz w:val="13"/>
                <w:szCs w:val="13"/>
                <w:color w:val="auto"/>
              </w:rPr>
              <w:t>11,560</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tcPr>
          <w:p>
            <w:pPr>
              <w:ind w:left="420"/>
              <w:spacing w:after="0"/>
              <w:rPr>
                <w:sz w:val="20"/>
                <w:szCs w:val="20"/>
                <w:color w:val="auto"/>
              </w:rPr>
            </w:pPr>
            <w:r>
              <w:rPr>
                <w:rFonts w:ascii="Arial" w:cs="Arial" w:eastAsia="Arial" w:hAnsi="Arial"/>
                <w:sz w:val="13"/>
                <w:szCs w:val="13"/>
                <w:color w:val="auto"/>
              </w:rPr>
              <w:t>Darin Harper</w:t>
            </w:r>
            <w:r>
              <w:rPr>
                <w:rFonts w:ascii="Arial" w:cs="Arial" w:eastAsia="Arial" w:hAnsi="Arial"/>
                <w:sz w:val="17"/>
                <w:szCs w:val="17"/>
                <w:color w:val="auto"/>
                <w:vertAlign w:val="superscript"/>
              </w:rPr>
              <w:t>(8)</w:t>
            </w:r>
          </w:p>
        </w:tc>
        <w:tc>
          <w:tcPr>
            <w:tcW w:w="5160" w:type="dxa"/>
            <w:vAlign w:val="bottom"/>
          </w:tcPr>
          <w:p>
            <w:pPr>
              <w:jc w:val="right"/>
              <w:ind w:right="251"/>
              <w:spacing w:after="0"/>
              <w:rPr>
                <w:sz w:val="20"/>
                <w:szCs w:val="20"/>
                <w:color w:val="auto"/>
              </w:rPr>
            </w:pPr>
            <w:r>
              <w:rPr>
                <w:rFonts w:ascii="Arial" w:cs="Arial" w:eastAsia="Arial" w:hAnsi="Arial"/>
                <w:sz w:val="13"/>
                <w:szCs w:val="13"/>
                <w:color w:val="auto"/>
              </w:rPr>
              <w:t>102,498</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shd w:val="clear" w:color="auto" w:fill="DBDBDB"/>
          </w:tcPr>
          <w:p>
            <w:pPr>
              <w:ind w:left="420"/>
              <w:spacing w:after="0"/>
              <w:rPr>
                <w:sz w:val="20"/>
                <w:szCs w:val="20"/>
                <w:color w:val="auto"/>
              </w:rPr>
            </w:pPr>
            <w:r>
              <w:rPr>
                <w:rFonts w:ascii="Arial" w:cs="Arial" w:eastAsia="Arial" w:hAnsi="Arial"/>
                <w:sz w:val="13"/>
                <w:szCs w:val="13"/>
                <w:color w:val="auto"/>
              </w:rPr>
              <w:t>Antonio Bautista</w:t>
            </w:r>
            <w:r>
              <w:rPr>
                <w:rFonts w:ascii="Arial" w:cs="Arial" w:eastAsia="Arial" w:hAnsi="Arial"/>
                <w:sz w:val="17"/>
                <w:szCs w:val="17"/>
                <w:color w:val="auto"/>
                <w:vertAlign w:val="superscript"/>
              </w:rPr>
              <w:t>(9)</w:t>
            </w:r>
          </w:p>
        </w:tc>
        <w:tc>
          <w:tcPr>
            <w:tcW w:w="5160" w:type="dxa"/>
            <w:vAlign w:val="bottom"/>
            <w:shd w:val="clear" w:color="auto" w:fill="DBDBDB"/>
          </w:tcPr>
          <w:p>
            <w:pPr>
              <w:jc w:val="right"/>
              <w:ind w:right="251"/>
              <w:spacing w:after="0"/>
              <w:rPr>
                <w:sz w:val="20"/>
                <w:szCs w:val="20"/>
                <w:color w:val="auto"/>
              </w:rPr>
            </w:pPr>
            <w:r>
              <w:rPr>
                <w:rFonts w:ascii="Arial" w:cs="Arial" w:eastAsia="Arial" w:hAnsi="Arial"/>
                <w:sz w:val="13"/>
                <w:szCs w:val="13"/>
                <w:color w:val="auto"/>
              </w:rPr>
              <w:t>58,099</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tcPr>
          <w:p>
            <w:pPr>
              <w:ind w:left="420"/>
              <w:spacing w:after="0"/>
              <w:rPr>
                <w:sz w:val="20"/>
                <w:szCs w:val="20"/>
                <w:color w:val="auto"/>
              </w:rPr>
            </w:pPr>
            <w:r>
              <w:rPr>
                <w:rFonts w:ascii="Arial" w:cs="Arial" w:eastAsia="Arial" w:hAnsi="Arial"/>
                <w:sz w:val="13"/>
                <w:szCs w:val="13"/>
                <w:color w:val="auto"/>
              </w:rPr>
              <w:t>Steve Klohn</w:t>
            </w:r>
            <w:r>
              <w:rPr>
                <w:rFonts w:ascii="Arial" w:cs="Arial" w:eastAsia="Arial" w:hAnsi="Arial"/>
                <w:sz w:val="17"/>
                <w:szCs w:val="17"/>
                <w:color w:val="auto"/>
                <w:vertAlign w:val="superscript"/>
              </w:rPr>
              <w:t>(10)</w:t>
            </w:r>
          </w:p>
        </w:tc>
        <w:tc>
          <w:tcPr>
            <w:tcW w:w="5160" w:type="dxa"/>
            <w:vAlign w:val="bottom"/>
          </w:tcPr>
          <w:p>
            <w:pPr>
              <w:jc w:val="right"/>
              <w:ind w:right="291"/>
              <w:spacing w:after="0"/>
              <w:rPr>
                <w:sz w:val="20"/>
                <w:szCs w:val="20"/>
                <w:color w:val="auto"/>
              </w:rPr>
            </w:pPr>
            <w:r>
              <w:rPr>
                <w:rFonts w:ascii="Arial" w:cs="Arial" w:eastAsia="Arial" w:hAnsi="Arial"/>
                <w:sz w:val="13"/>
                <w:szCs w:val="13"/>
                <w:color w:val="auto"/>
              </w:rPr>
              <w:t>23,176</w:t>
            </w: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shd w:val="clear" w:color="auto" w:fill="DBDBDB"/>
          </w:tcPr>
          <w:p>
            <w:pPr>
              <w:ind w:left="420"/>
              <w:spacing w:after="0"/>
              <w:rPr>
                <w:sz w:val="20"/>
                <w:szCs w:val="20"/>
                <w:color w:val="auto"/>
              </w:rPr>
            </w:pPr>
            <w:r>
              <w:rPr>
                <w:rFonts w:ascii="Arial" w:cs="Arial" w:eastAsia="Arial" w:hAnsi="Arial"/>
                <w:sz w:val="13"/>
                <w:szCs w:val="13"/>
                <w:color w:val="auto"/>
              </w:rPr>
              <w:t>Tony Wehner</w:t>
            </w:r>
            <w:r>
              <w:rPr>
                <w:rFonts w:ascii="Arial" w:cs="Arial" w:eastAsia="Arial" w:hAnsi="Arial"/>
                <w:sz w:val="17"/>
                <w:szCs w:val="17"/>
                <w:color w:val="auto"/>
                <w:vertAlign w:val="superscript"/>
              </w:rPr>
              <w:t>(11)</w:t>
            </w:r>
          </w:p>
        </w:tc>
        <w:tc>
          <w:tcPr>
            <w:tcW w:w="5160" w:type="dxa"/>
            <w:vAlign w:val="bottom"/>
            <w:shd w:val="clear" w:color="auto" w:fill="DBDBDB"/>
          </w:tcPr>
          <w:p>
            <w:pPr>
              <w:jc w:val="right"/>
              <w:ind w:right="251"/>
              <w:spacing w:after="0"/>
              <w:rPr>
                <w:sz w:val="20"/>
                <w:szCs w:val="20"/>
                <w:color w:val="auto"/>
              </w:rPr>
            </w:pPr>
            <w:r>
              <w:rPr>
                <w:rFonts w:ascii="Arial" w:cs="Arial" w:eastAsia="Arial" w:hAnsi="Arial"/>
                <w:sz w:val="13"/>
                <w:szCs w:val="13"/>
                <w:color w:val="auto"/>
              </w:rPr>
              <w:t>81,688</w:t>
            </w:r>
          </w:p>
        </w:tc>
        <w:tc>
          <w:tcPr>
            <w:tcW w:w="1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215"/>
        </w:trPr>
        <w:tc>
          <w:tcPr>
            <w:tcW w:w="4680" w:type="dxa"/>
            <w:vAlign w:val="bottom"/>
            <w:tcBorders>
              <w:bottom w:val="single" w:sz="8" w:color="003B71"/>
            </w:tcBorders>
          </w:tcPr>
          <w:p>
            <w:pPr>
              <w:ind w:left="20"/>
              <w:spacing w:after="0"/>
              <w:rPr>
                <w:sz w:val="20"/>
                <w:szCs w:val="20"/>
                <w:color w:val="auto"/>
              </w:rPr>
            </w:pPr>
            <w:r>
              <w:rPr>
                <w:rFonts w:ascii="Arial" w:cs="Arial" w:eastAsia="Arial" w:hAnsi="Arial"/>
                <w:sz w:val="13"/>
                <w:szCs w:val="13"/>
                <w:color w:val="auto"/>
              </w:rPr>
              <w:t>All Executive Officers and Directors as a Group (13 Persons)</w:t>
            </w:r>
            <w:r>
              <w:rPr>
                <w:rFonts w:ascii="Arial" w:cs="Arial" w:eastAsia="Arial" w:hAnsi="Arial"/>
                <w:sz w:val="17"/>
                <w:szCs w:val="17"/>
                <w:color w:val="auto"/>
                <w:vertAlign w:val="superscript"/>
              </w:rPr>
              <w:t>(12)</w:t>
            </w:r>
          </w:p>
        </w:tc>
        <w:tc>
          <w:tcPr>
            <w:tcW w:w="5160" w:type="dxa"/>
            <w:vAlign w:val="bottom"/>
            <w:tcBorders>
              <w:bottom w:val="single" w:sz="8" w:color="003B71"/>
            </w:tcBorders>
          </w:tcPr>
          <w:p>
            <w:pPr>
              <w:jc w:val="right"/>
              <w:ind w:right="251"/>
              <w:spacing w:after="0"/>
              <w:rPr>
                <w:sz w:val="20"/>
                <w:szCs w:val="20"/>
                <w:color w:val="auto"/>
              </w:rPr>
            </w:pPr>
            <w:r>
              <w:rPr>
                <w:rFonts w:ascii="Arial" w:cs="Arial" w:eastAsia="Arial" w:hAnsi="Arial"/>
                <w:sz w:val="13"/>
                <w:szCs w:val="13"/>
                <w:color w:val="auto"/>
              </w:rPr>
              <w:t>602,533</w:t>
            </w:r>
          </w:p>
        </w:tc>
        <w:tc>
          <w:tcPr>
            <w:tcW w:w="1400" w:type="dxa"/>
            <w:vAlign w:val="bottom"/>
            <w:tcBorders>
              <w:bottom w:val="single" w:sz="8" w:color="003B71"/>
            </w:tcBorders>
          </w:tcPr>
          <w:p>
            <w:pPr>
              <w:jc w:val="right"/>
              <w:spacing w:after="0"/>
              <w:rPr>
                <w:sz w:val="20"/>
                <w:szCs w:val="20"/>
                <w:color w:val="auto"/>
              </w:rPr>
            </w:pPr>
            <w:r>
              <w:rPr>
                <w:rFonts w:ascii="Arial" w:cs="Arial" w:eastAsia="Arial" w:hAnsi="Arial"/>
                <w:sz w:val="13"/>
                <w:szCs w:val="13"/>
                <w:color w:val="auto"/>
              </w:rPr>
              <w:t>1.73 %</w:t>
            </w:r>
          </w:p>
        </w:tc>
      </w:tr>
    </w:tbl>
    <w:p>
      <w:pPr>
        <w:spacing w:after="0" w:line="139" w:lineRule="exact"/>
        <w:rPr>
          <w:sz w:val="20"/>
          <w:szCs w:val="20"/>
          <w:color w:val="auto"/>
        </w:rPr>
      </w:pPr>
    </w:p>
    <w:p>
      <w:pPr>
        <w:ind w:left="400" w:hanging="393"/>
        <w:spacing w:after="0"/>
        <w:tabs>
          <w:tab w:leader="none" w:pos="4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29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20</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26" w:name="page27"/>
    <w:bookmarkEnd w:id="26"/>
    <w:p>
      <w:pPr>
        <w:jc w:val="both"/>
        <w:ind w:left="420" w:hanging="413"/>
        <w:spacing w:after="0" w:line="258" w:lineRule="auto"/>
        <w:tabs>
          <w:tab w:leader="none" w:pos="4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information contained in a Form 4 dated January 27, 2026, filed on March 13, 2026. The Form 4 reported that Hill Path Capital Partners LP (“HPCP”), Hill Path Capital Partners II LP (“HPCP-II”), Hill Path Capital Co-Investment Partners LP (“HPCCP”), Hill Path D Fund LP, Hill Path G Fund LP, Hill Path J Fund LP, Hill Path Capital Partners GP LLC, Hill Path Capital Partners II GP LLC, Hill Path Investment Holdings LLC, Hill Path Investment Holdings II LLC, Hill Path Capital LP, Hill Path Holdings LLC, HP D GP LLC, HP G GP LLC, HP J GP LLC, and Scott I. Ross are collectively the “HP Reporting Persons” thereunder. The HP Reporting Persons owned and had sole voting and dispositive power over 7,119,255 shares of common stock, including 2,095,246 shares of common stock held directly by HPCP, 2,869,527 shares of common stock held directly by HPCP-II, and 53,231 shares of common stock held by HPCCP, and no shared voting or dispositive power over shares of common stock. Additionally, the shares disclosed for Hill Path Capital LP in the table above excludes 5,796 unvested RSUs granted to Mr. Ross in connection with his service as a Director.</w:t>
      </w:r>
    </w:p>
    <w:p>
      <w:pPr>
        <w:spacing w:after="0" w:line="1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Mr. Ross disclaims beneficial ownership of the shares beneficially owned by the Hill Path entities except to the extent of his pecuniary interest therein.</w:t>
      </w:r>
    </w:p>
    <w:p>
      <w:pPr>
        <w:spacing w:after="0" w:line="29" w:lineRule="exact"/>
        <w:rPr>
          <w:rFonts w:ascii="Arial" w:cs="Arial" w:eastAsia="Arial" w:hAnsi="Arial"/>
          <w:sz w:val="16"/>
          <w:szCs w:val="16"/>
          <w:color w:val="auto"/>
        </w:rPr>
      </w:pPr>
    </w:p>
    <w:p>
      <w:pPr>
        <w:ind w:left="420" w:hanging="413"/>
        <w:spacing w:after="0" w:line="247" w:lineRule="auto"/>
        <w:tabs>
          <w:tab w:leader="none" w:pos="4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information contained in Schedule 13G dated March 31, 2026, filed on April 7, 2026. The Schedule 13G reported that BlackRock, Inc. owned and had sole dispositive power over 2,084,177 shares of common stock and had sole voting power over 2,053,554 shares of common stock.</w:t>
      </w:r>
    </w:p>
    <w:p>
      <w:pPr>
        <w:spacing w:after="0" w:line="1" w:lineRule="exact"/>
        <w:rPr>
          <w:rFonts w:ascii="Arial" w:cs="Arial" w:eastAsia="Arial" w:hAnsi="Arial"/>
          <w:sz w:val="16"/>
          <w:szCs w:val="16"/>
          <w:color w:val="auto"/>
        </w:rPr>
      </w:pPr>
    </w:p>
    <w:p>
      <w:pPr>
        <w:jc w:val="both"/>
        <w:ind w:left="420" w:hanging="413"/>
        <w:spacing w:after="0" w:line="251" w:lineRule="auto"/>
        <w:tabs>
          <w:tab w:leader="none" w:pos="4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information contained in Schedule 13G dated March 31, 2025 filed on April 30, 2025. The Schedule 13G reported that Patient Capital Management, LLC owned and had sole dispositive power over 2,201,507 shares of common stock, sole voting power over 2,201,507 shares of common stock, no shared voting or shared dispositive power over shares of common stock.</w:t>
      </w:r>
    </w:p>
    <w:p>
      <w:pPr>
        <w:ind w:left="420" w:hanging="413"/>
        <w:spacing w:after="0" w:line="254" w:lineRule="auto"/>
        <w:tabs>
          <w:tab w:leader="none" w:pos="4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information contained in Schedule 13G dated March 31, 2025, filed on May 15, 2025. The Schedule 13G reported that Eminence Capital, LP, owned and had shared dispositive power over 2,905,454 shares of common stock and shared voting power over 2,581,343 shares of common stock.</w:t>
      </w:r>
    </w:p>
    <w:p>
      <w:pPr>
        <w:jc w:val="both"/>
        <w:ind w:left="420" w:hanging="413"/>
        <w:spacing w:after="0" w:line="252" w:lineRule="auto"/>
        <w:tabs>
          <w:tab w:leader="none" w:pos="4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Shares reflected in the table include 80,564 shares owned by Mr. Sheehan and 110,505 shares held in a grantor retained annuity trust but do not include 69,025 shares owned by a family limited liability company (the “Family LLC”). Currently, Mr. Sheehan has no sole or shared voting and investment power in any of the shares in the Family LLC as an irrevocable trust is the managing member of the Family LLC. Mr. Sheehan does not have any shares issuable pursuant to outstanding stock options held that are exercisable within 60 days of April 23, 2026.</w:t>
      </w:r>
    </w:p>
    <w:p>
      <w:pPr>
        <w:spacing w:after="0" w:line="2" w:lineRule="exact"/>
        <w:rPr>
          <w:rFonts w:ascii="Arial" w:cs="Arial" w:eastAsia="Arial" w:hAnsi="Arial"/>
          <w:sz w:val="16"/>
          <w:szCs w:val="16"/>
          <w:color w:val="auto"/>
        </w:rPr>
      </w:pPr>
    </w:p>
    <w:p>
      <w:pPr>
        <w:ind w:left="400" w:hanging="393"/>
        <w:spacing w:after="0"/>
        <w:tabs>
          <w:tab w:leader="none" w:pos="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Sheehan’s compensation as Interim Chief Executive Officer until July 15, 2025 qualified him as a Named Executive Officer for fiscal 2025.</w:t>
      </w:r>
    </w:p>
    <w:p>
      <w:pPr>
        <w:spacing w:after="0" w:line="7" w:lineRule="exact"/>
        <w:rPr>
          <w:rFonts w:ascii="Arial" w:cs="Arial" w:eastAsia="Arial" w:hAnsi="Arial"/>
          <w:sz w:val="16"/>
          <w:szCs w:val="16"/>
          <w:color w:val="auto"/>
        </w:rPr>
      </w:pPr>
    </w:p>
    <w:p>
      <w:pPr>
        <w:ind w:left="400" w:hanging="393"/>
        <w:spacing w:after="0"/>
        <w:tabs>
          <w:tab w:leader="none" w:pos="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Lal does not have any shares issuable pursuant to outstanding stock options held that are exercisable within 60 days of April 23, 2026.</w:t>
      </w:r>
    </w:p>
    <w:p>
      <w:pPr>
        <w:spacing w:after="0" w:line="13" w:lineRule="exact"/>
        <w:rPr>
          <w:rFonts w:ascii="Arial" w:cs="Arial" w:eastAsia="Arial" w:hAnsi="Arial"/>
          <w:sz w:val="16"/>
          <w:szCs w:val="16"/>
          <w:color w:val="auto"/>
        </w:rPr>
      </w:pPr>
    </w:p>
    <w:p>
      <w:pPr>
        <w:ind w:left="400" w:hanging="393"/>
        <w:spacing w:after="0"/>
        <w:tabs>
          <w:tab w:leader="none" w:pos="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Harper does not have any shares issuable pursuant to outstanding stock options held that are exercisable within 60 days of April 23, 2026.</w:t>
      </w:r>
    </w:p>
    <w:p>
      <w:pPr>
        <w:spacing w:after="0" w:line="7" w:lineRule="exact"/>
        <w:rPr>
          <w:rFonts w:ascii="Arial" w:cs="Arial" w:eastAsia="Arial" w:hAnsi="Arial"/>
          <w:sz w:val="16"/>
          <w:szCs w:val="16"/>
          <w:color w:val="auto"/>
        </w:rPr>
      </w:pPr>
    </w:p>
    <w:p>
      <w:pPr>
        <w:ind w:left="420" w:right="20" w:hanging="413"/>
        <w:spacing w:after="0" w:line="251" w:lineRule="auto"/>
        <w:tabs>
          <w:tab w:leader="none" w:pos="4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Shares reflected in the table include 4,903 shares issuable pursuant to outstanding stock options held by Mr. Bautista that are exercisable within 60 days of April 23, 2026.</w:t>
      </w:r>
    </w:p>
    <w:p>
      <w:pPr>
        <w:spacing w:after="0" w:line="1" w:lineRule="exact"/>
        <w:rPr>
          <w:rFonts w:ascii="Arial" w:cs="Arial" w:eastAsia="Arial" w:hAnsi="Arial"/>
          <w:sz w:val="16"/>
          <w:szCs w:val="16"/>
          <w:color w:val="auto"/>
        </w:rPr>
      </w:pPr>
    </w:p>
    <w:p>
      <w:pPr>
        <w:ind w:left="400" w:hanging="393"/>
        <w:spacing w:after="0"/>
        <w:tabs>
          <w:tab w:leader="none" w:pos="4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Klohn does not have any shares issuable pursuant to outstanding stock options held that are exercisable within 60 days of April 23, 2026.</w:t>
      </w:r>
    </w:p>
    <w:p>
      <w:pPr>
        <w:spacing w:after="0" w:line="7" w:lineRule="exact"/>
        <w:rPr>
          <w:rFonts w:ascii="Arial" w:cs="Arial" w:eastAsia="Arial" w:hAnsi="Arial"/>
          <w:sz w:val="16"/>
          <w:szCs w:val="16"/>
          <w:color w:val="auto"/>
        </w:rPr>
      </w:pPr>
    </w:p>
    <w:p>
      <w:pPr>
        <w:ind w:left="420" w:right="20" w:hanging="413"/>
        <w:spacing w:after="0" w:line="254" w:lineRule="auto"/>
        <w:tabs>
          <w:tab w:leader="none" w:pos="399"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Shares reflected in the table include 12,341 shares issuable pursuant to outstanding stock options held by Mr. Wehner that are exercisable within 60 days of April 23, 2026.</w:t>
      </w:r>
    </w:p>
    <w:p>
      <w:pPr>
        <w:ind w:left="420" w:hanging="413"/>
        <w:spacing w:after="0" w:line="263" w:lineRule="auto"/>
        <w:tabs>
          <w:tab w:leader="none" w:pos="4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Shares reflected in the table include a total of 45,144 shares issuable pursuant to outstanding stock options held by our Executive Officers and Directors as a group that are exercisable within 60 days of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71329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21</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521"/>
        </w:trPr>
        <w:tc>
          <w:tcPr>
            <w:tcW w:w="11240" w:type="dxa"/>
            <w:vAlign w:val="bottom"/>
            <w:gridSpan w:val="3"/>
          </w:tcPr>
          <w:p>
            <w:pPr>
              <w:ind w:left="3460"/>
              <w:spacing w:after="0"/>
              <w:rPr>
                <w:sz w:val="20"/>
                <w:szCs w:val="20"/>
                <w:color w:val="auto"/>
              </w:rPr>
            </w:pPr>
            <w:r>
              <w:rPr>
                <w:rFonts w:ascii="Arial" w:cs="Arial" w:eastAsia="Arial" w:hAnsi="Arial"/>
                <w:sz w:val="39"/>
                <w:szCs w:val="39"/>
                <w:color w:val="003B71"/>
              </w:rPr>
              <w:t>EXECUTIVE OFFICERS</w:t>
            </w:r>
          </w:p>
        </w:tc>
        <w:tc>
          <w:tcPr>
            <w:tcW w:w="20" w:type="dxa"/>
            <w:vAlign w:val="bottom"/>
          </w:tcPr>
          <w:p>
            <w:pPr>
              <w:spacing w:after="0"/>
              <w:rPr>
                <w:sz w:val="24"/>
                <w:szCs w:val="24"/>
                <w:color w:val="auto"/>
              </w:rPr>
            </w:pPr>
          </w:p>
        </w:tc>
      </w:tr>
      <w:tr>
        <w:trPr>
          <w:trHeight w:val="295"/>
        </w:trPr>
        <w:tc>
          <w:tcPr>
            <w:tcW w:w="11240" w:type="dxa"/>
            <w:vAlign w:val="bottom"/>
            <w:gridSpan w:val="3"/>
          </w:tcPr>
          <w:p>
            <w:pPr>
              <w:spacing w:after="0"/>
              <w:rPr>
                <w:sz w:val="20"/>
                <w:szCs w:val="20"/>
                <w:color w:val="auto"/>
              </w:rPr>
            </w:pPr>
            <w:r>
              <w:rPr>
                <w:rFonts w:ascii="Arial" w:cs="Arial" w:eastAsia="Arial" w:hAnsi="Arial"/>
                <w:sz w:val="18"/>
                <w:szCs w:val="18"/>
                <w:color w:val="auto"/>
              </w:rPr>
              <w:t>We are furnishing below certain biographical information about our executive officers.</w:t>
            </w:r>
          </w:p>
        </w:tc>
        <w:tc>
          <w:tcPr>
            <w:tcW w:w="20" w:type="dxa"/>
            <w:vAlign w:val="bottom"/>
          </w:tcPr>
          <w:p>
            <w:pPr>
              <w:spacing w:after="0"/>
              <w:rPr>
                <w:sz w:val="24"/>
                <w:szCs w:val="24"/>
                <w:color w:val="auto"/>
              </w:rPr>
            </w:pPr>
          </w:p>
        </w:tc>
      </w:tr>
      <w:tr>
        <w:trPr>
          <w:trHeight w:val="238"/>
        </w:trPr>
        <w:tc>
          <w:tcPr>
            <w:tcW w:w="5600" w:type="dxa"/>
            <w:vAlign w:val="bottom"/>
            <w:tcBorders>
              <w:bottom w:val="single" w:sz="8" w:color="003B71"/>
            </w:tcBorders>
          </w:tcPr>
          <w:p>
            <w:pPr>
              <w:spacing w:after="0"/>
              <w:rPr>
                <w:sz w:val="20"/>
                <w:szCs w:val="20"/>
                <w:color w:val="auto"/>
              </w:rPr>
            </w:pPr>
          </w:p>
        </w:tc>
        <w:tc>
          <w:tcPr>
            <w:tcW w:w="5640" w:type="dxa"/>
            <w:vAlign w:val="bottom"/>
            <w:tcBorders>
              <w:bottom w:val="single" w:sz="8" w:color="003B71"/>
            </w:tcBorders>
            <w:gridSpan w:val="2"/>
          </w:tcPr>
          <w:p>
            <w:pPr>
              <w:spacing w:after="0"/>
              <w:rPr>
                <w:sz w:val="20"/>
                <w:szCs w:val="20"/>
                <w:color w:val="auto"/>
              </w:rPr>
            </w:pPr>
          </w:p>
        </w:tc>
        <w:tc>
          <w:tcPr>
            <w:tcW w:w="20" w:type="dxa"/>
            <w:vAlign w:val="bottom"/>
            <w:tcBorders>
              <w:bottom w:val="single" w:sz="8" w:color="003B71"/>
            </w:tcBorders>
          </w:tcPr>
          <w:p>
            <w:pPr>
              <w:spacing w:after="0"/>
              <w:rPr>
                <w:sz w:val="20"/>
                <w:szCs w:val="20"/>
                <w:color w:val="auto"/>
              </w:rPr>
            </w:pPr>
          </w:p>
        </w:tc>
      </w:tr>
      <w:tr>
        <w:trPr>
          <w:trHeight w:val="235"/>
        </w:trPr>
        <w:tc>
          <w:tcPr>
            <w:tcW w:w="5600" w:type="dxa"/>
            <w:vAlign w:val="bottom"/>
            <w:shd w:val="clear" w:color="auto" w:fill="003B71"/>
          </w:tcPr>
          <w:p>
            <w:pPr>
              <w:ind w:left="40"/>
              <w:spacing w:after="0"/>
              <w:rPr>
                <w:sz w:val="20"/>
                <w:szCs w:val="20"/>
                <w:color w:val="auto"/>
              </w:rPr>
            </w:pPr>
            <w:r>
              <w:rPr>
                <w:rFonts w:ascii="Arial" w:cs="Arial" w:eastAsia="Arial" w:hAnsi="Arial"/>
                <w:sz w:val="16"/>
                <w:szCs w:val="16"/>
                <w:b w:val="1"/>
                <w:bCs w:val="1"/>
                <w:color w:val="FFFFFF"/>
              </w:rPr>
              <w:t>Antonio Bautista</w:t>
            </w:r>
          </w:p>
        </w:tc>
        <w:tc>
          <w:tcPr>
            <w:tcW w:w="5640" w:type="dxa"/>
            <w:vAlign w:val="bottom"/>
            <w:gridSpan w:val="2"/>
            <w:shd w:val="clear" w:color="auto" w:fill="003B71"/>
          </w:tcPr>
          <w:p>
            <w:pPr>
              <w:ind w:left="60"/>
              <w:spacing w:after="0"/>
              <w:rPr>
                <w:sz w:val="20"/>
                <w:szCs w:val="20"/>
                <w:color w:val="auto"/>
              </w:rPr>
            </w:pPr>
            <w:r>
              <w:rPr>
                <w:rFonts w:ascii="Arial" w:cs="Arial" w:eastAsia="Arial" w:hAnsi="Arial"/>
                <w:sz w:val="16"/>
                <w:szCs w:val="16"/>
                <w:b w:val="1"/>
                <w:bCs w:val="1"/>
                <w:color w:val="FFFFFF"/>
              </w:rPr>
              <w:t>Darin Harper</w:t>
            </w:r>
          </w:p>
        </w:tc>
        <w:tc>
          <w:tcPr>
            <w:tcW w:w="20" w:type="dxa"/>
            <w:vAlign w:val="bottom"/>
          </w:tcPr>
          <w:p>
            <w:pPr>
              <w:spacing w:after="0"/>
              <w:rPr>
                <w:sz w:val="20"/>
                <w:szCs w:val="20"/>
                <w:color w:val="auto"/>
              </w:rPr>
            </w:pPr>
          </w:p>
        </w:tc>
      </w:tr>
      <w:tr>
        <w:trPr>
          <w:trHeight w:val="227"/>
        </w:trPr>
        <w:tc>
          <w:tcPr>
            <w:tcW w:w="5600" w:type="dxa"/>
            <w:vAlign w:val="bottom"/>
          </w:tcPr>
          <w:p>
            <w:pPr>
              <w:ind w:left="40"/>
              <w:spacing w:after="0"/>
              <w:rPr>
                <w:sz w:val="20"/>
                <w:szCs w:val="20"/>
                <w:color w:val="auto"/>
              </w:rPr>
            </w:pPr>
            <w:r>
              <w:rPr>
                <w:rFonts w:ascii="Arial" w:cs="Arial" w:eastAsia="Arial" w:hAnsi="Arial"/>
                <w:sz w:val="16"/>
                <w:szCs w:val="16"/>
                <w:color w:val="auto"/>
              </w:rPr>
              <w:t>Dave &amp; Buster’s Since: 2022</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Dave &amp; Buster’s Since: 2024</w:t>
            </w:r>
          </w:p>
        </w:tc>
        <w:tc>
          <w:tcPr>
            <w:tcW w:w="20" w:type="dxa"/>
            <w:vAlign w:val="bottom"/>
          </w:tcPr>
          <w:p>
            <w:pPr>
              <w:spacing w:after="0"/>
              <w:rPr>
                <w:sz w:val="19"/>
                <w:szCs w:val="19"/>
                <w:color w:val="auto"/>
              </w:rPr>
            </w:pPr>
          </w:p>
        </w:tc>
      </w:tr>
      <w:tr>
        <w:trPr>
          <w:trHeight w:val="242"/>
        </w:trPr>
        <w:tc>
          <w:tcPr>
            <w:tcW w:w="5600" w:type="dxa"/>
            <w:vAlign w:val="bottom"/>
          </w:tcPr>
          <w:p>
            <w:pPr>
              <w:ind w:left="40"/>
              <w:spacing w:after="0"/>
              <w:rPr>
                <w:sz w:val="20"/>
                <w:szCs w:val="20"/>
                <w:color w:val="auto"/>
              </w:rPr>
            </w:pPr>
            <w:r>
              <w:rPr>
                <w:rFonts w:ascii="Arial" w:cs="Arial" w:eastAsia="Arial" w:hAnsi="Arial"/>
                <w:sz w:val="16"/>
                <w:szCs w:val="16"/>
                <w:color w:val="auto"/>
              </w:rPr>
              <w:t>Age: 61</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Age: 51</w:t>
            </w:r>
          </w:p>
        </w:tc>
        <w:tc>
          <w:tcPr>
            <w:tcW w:w="20" w:type="dxa"/>
            <w:vAlign w:val="bottom"/>
          </w:tcPr>
          <w:p>
            <w:pPr>
              <w:spacing w:after="0"/>
              <w:rPr>
                <w:sz w:val="21"/>
                <w:szCs w:val="21"/>
                <w:color w:val="auto"/>
              </w:rPr>
            </w:pPr>
          </w:p>
        </w:tc>
      </w:tr>
      <w:tr>
        <w:trPr>
          <w:trHeight w:val="242"/>
        </w:trPr>
        <w:tc>
          <w:tcPr>
            <w:tcW w:w="5600" w:type="dxa"/>
            <w:vAlign w:val="bottom"/>
          </w:tcPr>
          <w:p>
            <w:pPr>
              <w:ind w:left="4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33 yrs</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Food &amp; Beverage Experience: 19 yrs</w:t>
            </w:r>
          </w:p>
        </w:tc>
        <w:tc>
          <w:tcPr>
            <w:tcW w:w="20" w:type="dxa"/>
            <w:vAlign w:val="bottom"/>
          </w:tcPr>
          <w:p>
            <w:pPr>
              <w:spacing w:after="0"/>
              <w:rPr>
                <w:sz w:val="21"/>
                <w:szCs w:val="21"/>
                <w:color w:val="auto"/>
              </w:rPr>
            </w:pPr>
          </w:p>
        </w:tc>
      </w:tr>
      <w:tr>
        <w:trPr>
          <w:trHeight w:val="242"/>
        </w:trPr>
        <w:tc>
          <w:tcPr>
            <w:tcW w:w="5600" w:type="dxa"/>
            <w:vAlign w:val="bottom"/>
          </w:tcPr>
          <w:p>
            <w:pPr>
              <w:ind w:left="40"/>
              <w:spacing w:after="0"/>
              <w:rPr>
                <w:sz w:val="20"/>
                <w:szCs w:val="20"/>
                <w:color w:val="auto"/>
              </w:rPr>
            </w:pPr>
            <w:r>
              <w:rPr>
                <w:rFonts w:ascii="Arial" w:cs="Arial" w:eastAsia="Arial" w:hAnsi="Arial"/>
                <w:sz w:val="16"/>
                <w:szCs w:val="16"/>
                <w:i w:val="1"/>
                <w:iCs w:val="1"/>
                <w:color w:val="auto"/>
              </w:rPr>
              <w:t xml:space="preserve">Retail and late-night entertainment: </w:t>
            </w:r>
            <w:r>
              <w:rPr>
                <w:rFonts w:ascii="Arial" w:cs="Arial" w:eastAsia="Arial" w:hAnsi="Arial"/>
                <w:sz w:val="16"/>
                <w:szCs w:val="16"/>
                <w:color w:val="auto"/>
              </w:rPr>
              <w:t>28 yrs</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Entertainment Experience: 14 yrs</w:t>
            </w:r>
          </w:p>
        </w:tc>
        <w:tc>
          <w:tcPr>
            <w:tcW w:w="20" w:type="dxa"/>
            <w:vAlign w:val="bottom"/>
          </w:tcPr>
          <w:p>
            <w:pPr>
              <w:spacing w:after="0"/>
              <w:rPr>
                <w:sz w:val="21"/>
                <w:szCs w:val="21"/>
                <w:color w:val="auto"/>
              </w:rPr>
            </w:pPr>
          </w:p>
        </w:tc>
      </w:tr>
      <w:tr>
        <w:trPr>
          <w:trHeight w:val="242"/>
        </w:trPr>
        <w:tc>
          <w:tcPr>
            <w:tcW w:w="5600" w:type="dxa"/>
            <w:vAlign w:val="bottom"/>
          </w:tcPr>
          <w:p>
            <w:pPr>
              <w:ind w:left="40"/>
              <w:spacing w:after="0"/>
              <w:rPr>
                <w:sz w:val="20"/>
                <w:szCs w:val="20"/>
                <w:color w:val="auto"/>
              </w:rPr>
            </w:pPr>
            <w:r>
              <w:rPr>
                <w:rFonts w:ascii="Arial" w:cs="Arial" w:eastAsia="Arial" w:hAnsi="Arial"/>
                <w:sz w:val="16"/>
                <w:szCs w:val="16"/>
                <w:i w:val="1"/>
                <w:iCs w:val="1"/>
                <w:color w:val="auto"/>
              </w:rPr>
              <w:t xml:space="preserve">Entertainment (arcade based) Experience: </w:t>
            </w:r>
            <w:r>
              <w:rPr>
                <w:rFonts w:ascii="Arial" w:cs="Arial" w:eastAsia="Arial" w:hAnsi="Arial"/>
                <w:sz w:val="16"/>
                <w:szCs w:val="16"/>
                <w:color w:val="auto"/>
              </w:rPr>
              <w:t>4 yrs</w:t>
            </w:r>
          </w:p>
        </w:tc>
        <w:tc>
          <w:tcPr>
            <w:tcW w:w="3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00" w:type="dxa"/>
            <w:vAlign w:val="bottom"/>
          </w:tcPr>
          <w:p>
            <w:pPr>
              <w:ind w:left="40"/>
              <w:spacing w:after="0"/>
              <w:rPr>
                <w:sz w:val="20"/>
                <w:szCs w:val="20"/>
                <w:color w:val="auto"/>
              </w:rPr>
            </w:pPr>
            <w:r>
              <w:rPr>
                <w:rFonts w:ascii="Arial" w:cs="Arial" w:eastAsia="Arial" w:hAnsi="Arial"/>
                <w:sz w:val="16"/>
                <w:szCs w:val="16"/>
                <w:i w:val="1"/>
                <w:iCs w:val="1"/>
                <w:color w:val="auto"/>
              </w:rPr>
              <w:t>Current Position:</w:t>
            </w:r>
          </w:p>
        </w:tc>
        <w:tc>
          <w:tcPr>
            <w:tcW w:w="5640" w:type="dxa"/>
            <w:vAlign w:val="bottom"/>
            <w:gridSpan w:val="2"/>
          </w:tcPr>
          <w:p>
            <w:pPr>
              <w:ind w:left="60"/>
              <w:spacing w:after="0"/>
              <w:rPr>
                <w:sz w:val="20"/>
                <w:szCs w:val="20"/>
                <w:color w:val="auto"/>
              </w:rPr>
            </w:pPr>
            <w:r>
              <w:rPr>
                <w:rFonts w:ascii="Arial" w:cs="Arial" w:eastAsia="Arial" w:hAnsi="Arial"/>
                <w:sz w:val="16"/>
                <w:szCs w:val="16"/>
                <w:i w:val="1"/>
                <w:iCs w:val="1"/>
                <w:color w:val="auto"/>
              </w:rPr>
              <w:t>Current Position:</w:t>
            </w:r>
          </w:p>
        </w:tc>
        <w:tc>
          <w:tcPr>
            <w:tcW w:w="20" w:type="dxa"/>
            <w:vAlign w:val="bottom"/>
          </w:tcPr>
          <w:p>
            <w:pPr>
              <w:spacing w:after="0"/>
              <w:rPr>
                <w:sz w:val="21"/>
                <w:szCs w:val="2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6"/>
                <w:szCs w:val="16"/>
                <w:color w:val="auto"/>
              </w:rPr>
              <w:t>– President, International since January 2026; Chief International</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 Chief Financial Officer since June 2024</w:t>
            </w:r>
          </w:p>
        </w:tc>
        <w:tc>
          <w:tcPr>
            <w:tcW w:w="20" w:type="dxa"/>
            <w:vAlign w:val="bottom"/>
          </w:tcPr>
          <w:p>
            <w:pPr>
              <w:spacing w:after="0"/>
              <w:rPr>
                <w:sz w:val="19"/>
                <w:szCs w:val="19"/>
                <w:color w:val="auto"/>
              </w:rPr>
            </w:pPr>
          </w:p>
        </w:tc>
      </w:tr>
      <w:tr>
        <w:trPr>
          <w:trHeight w:val="214"/>
        </w:trPr>
        <w:tc>
          <w:tcPr>
            <w:tcW w:w="5600" w:type="dxa"/>
            <w:vAlign w:val="bottom"/>
          </w:tcPr>
          <w:p>
            <w:pPr>
              <w:ind w:left="200"/>
              <w:spacing w:after="0"/>
              <w:rPr>
                <w:sz w:val="20"/>
                <w:szCs w:val="20"/>
                <w:color w:val="auto"/>
              </w:rPr>
            </w:pPr>
            <w:r>
              <w:rPr>
                <w:rFonts w:ascii="Arial" w:cs="Arial" w:eastAsia="Arial" w:hAnsi="Arial"/>
                <w:sz w:val="16"/>
                <w:szCs w:val="16"/>
                <w:color w:val="auto"/>
              </w:rPr>
              <w:t>Development Officer from July 2022 to January 2026</w:t>
            </w:r>
          </w:p>
        </w:tc>
        <w:tc>
          <w:tcPr>
            <w:tcW w:w="3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96"/>
        </w:trPr>
        <w:tc>
          <w:tcPr>
            <w:tcW w:w="5600" w:type="dxa"/>
            <w:vAlign w:val="bottom"/>
          </w:tcPr>
          <w:p>
            <w:pPr>
              <w:ind w:left="40"/>
              <w:spacing w:after="0"/>
              <w:rPr>
                <w:sz w:val="20"/>
                <w:szCs w:val="20"/>
                <w:color w:val="auto"/>
              </w:rPr>
            </w:pPr>
            <w:r>
              <w:rPr>
                <w:rFonts w:ascii="Arial" w:cs="Arial" w:eastAsia="Arial" w:hAnsi="Arial"/>
                <w:sz w:val="16"/>
                <w:szCs w:val="16"/>
                <w:i w:val="1"/>
                <w:iCs w:val="1"/>
                <w:color w:val="auto"/>
              </w:rPr>
              <w:t>Prior Business Experience:</w:t>
            </w:r>
          </w:p>
        </w:tc>
        <w:tc>
          <w:tcPr>
            <w:tcW w:w="5640" w:type="dxa"/>
            <w:vAlign w:val="bottom"/>
            <w:gridSpan w:val="2"/>
          </w:tcPr>
          <w:p>
            <w:pPr>
              <w:ind w:left="60"/>
              <w:spacing w:after="0"/>
              <w:rPr>
                <w:sz w:val="20"/>
                <w:szCs w:val="20"/>
                <w:color w:val="auto"/>
              </w:rPr>
            </w:pPr>
            <w:r>
              <w:rPr>
                <w:rFonts w:ascii="Arial" w:cs="Arial" w:eastAsia="Arial" w:hAnsi="Arial"/>
                <w:sz w:val="16"/>
                <w:szCs w:val="16"/>
                <w:i w:val="1"/>
                <w:iCs w:val="1"/>
                <w:color w:val="auto"/>
              </w:rPr>
              <w:t>Prior Business Experience:</w:t>
            </w:r>
          </w:p>
        </w:tc>
        <w:tc>
          <w:tcPr>
            <w:tcW w:w="20" w:type="dxa"/>
            <w:vAlign w:val="bottom"/>
          </w:tcPr>
          <w:p>
            <w:pPr>
              <w:spacing w:after="0"/>
              <w:rPr>
                <w:sz w:val="24"/>
                <w:szCs w:val="24"/>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Dave &amp; Buster's Entertainment, Inc.</w:t>
            </w:r>
            <w:r>
              <w:rPr>
                <w:rFonts w:ascii="Arial" w:cs="Arial" w:eastAsia="Arial" w:hAnsi="Arial"/>
                <w:sz w:val="16"/>
                <w:szCs w:val="16"/>
                <w:color w:val="auto"/>
              </w:rPr>
              <w:t>:</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World Choice Investments, LLC</w:t>
            </w:r>
            <w:r>
              <w:rPr>
                <w:rFonts w:ascii="Arial" w:cs="Arial" w:eastAsia="Arial" w:hAnsi="Arial"/>
                <w:sz w:val="16"/>
                <w:szCs w:val="16"/>
                <w:color w:val="auto"/>
              </w:rPr>
              <w:t>, a leading operator of large themed, family</w:t>
            </w:r>
          </w:p>
        </w:tc>
        <w:tc>
          <w:tcPr>
            <w:tcW w:w="20" w:type="dxa"/>
            <w:vAlign w:val="bottom"/>
          </w:tcPr>
          <w:p>
            <w:pPr>
              <w:spacing w:after="0"/>
              <w:rPr>
                <w:sz w:val="19"/>
                <w:szCs w:val="19"/>
                <w:color w:val="auto"/>
              </w:rPr>
            </w:pPr>
          </w:p>
        </w:tc>
      </w:tr>
      <w:tr>
        <w:trPr>
          <w:trHeight w:val="188"/>
        </w:trPr>
        <w:tc>
          <w:tcPr>
            <w:tcW w:w="5600" w:type="dxa"/>
            <w:vAlign w:val="bottom"/>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SVP and Head of International Development (Jan 2022-July 2022)</w:t>
            </w: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entertainment attractions:</w:t>
            </w:r>
          </w:p>
        </w:tc>
        <w:tc>
          <w:tcPr>
            <w:tcW w:w="20" w:type="dxa"/>
            <w:vAlign w:val="bottom"/>
          </w:tcPr>
          <w:p>
            <w:pPr>
              <w:spacing w:after="0"/>
              <w:rPr>
                <w:sz w:val="16"/>
                <w:szCs w:val="16"/>
                <w:color w:val="auto"/>
              </w:rPr>
            </w:pPr>
          </w:p>
        </w:tc>
      </w:tr>
      <w:tr>
        <w:trPr>
          <w:trHeight w:val="188"/>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ALBP Global Hospitality Solutions,</w:t>
            </w:r>
            <w:r>
              <w:rPr>
                <w:rFonts w:ascii="Arial" w:cs="Arial" w:eastAsia="Arial" w:hAnsi="Arial"/>
                <w:sz w:val="16"/>
                <w:szCs w:val="16"/>
                <w:color w:val="auto"/>
              </w:rPr>
              <w:t xml:space="preserve"> a consulting company supporting global</w:t>
            </w:r>
          </w:p>
        </w:tc>
        <w:tc>
          <w:tcPr>
            <w:tcW w:w="5640" w:type="dxa"/>
            <w:vAlign w:val="bottom"/>
            <w:gridSpan w:val="2"/>
          </w:tcPr>
          <w:p>
            <w:pPr>
              <w:ind w:left="220"/>
              <w:spacing w:after="0"/>
              <w:rPr>
                <w:sz w:val="20"/>
                <w:szCs w:val="20"/>
                <w:color w:val="auto"/>
              </w:rPr>
            </w:pPr>
            <w:r>
              <w:rPr>
                <w:rFonts w:ascii="Arial" w:cs="Arial" w:eastAsia="Arial" w:hAnsi="Arial"/>
                <w:sz w:val="16"/>
                <w:szCs w:val="16"/>
                <w:color w:val="auto"/>
              </w:rPr>
              <w:t>•  Chief Financial Officer (May 2023-Jun. 2024)</w:t>
            </w:r>
          </w:p>
        </w:tc>
        <w:tc>
          <w:tcPr>
            <w:tcW w:w="20" w:type="dxa"/>
            <w:vAlign w:val="bottom"/>
          </w:tcPr>
          <w:p>
            <w:pPr>
              <w:spacing w:after="0"/>
              <w:rPr>
                <w:sz w:val="16"/>
                <w:szCs w:val="16"/>
                <w:color w:val="auto"/>
              </w:rPr>
            </w:pPr>
          </w:p>
        </w:tc>
      </w:tr>
      <w:tr>
        <w:trPr>
          <w:trHeight w:val="202"/>
        </w:trPr>
        <w:tc>
          <w:tcPr>
            <w:tcW w:w="5600" w:type="dxa"/>
            <w:vAlign w:val="bottom"/>
          </w:tcPr>
          <w:p>
            <w:pPr>
              <w:ind w:left="200"/>
              <w:spacing w:after="0"/>
              <w:rPr>
                <w:sz w:val="20"/>
                <w:szCs w:val="20"/>
                <w:color w:val="auto"/>
              </w:rPr>
            </w:pPr>
            <w:r>
              <w:rPr>
                <w:rFonts w:ascii="Arial" w:cs="Arial" w:eastAsia="Arial" w:hAnsi="Arial"/>
                <w:sz w:val="16"/>
                <w:szCs w:val="16"/>
                <w:color w:val="auto"/>
              </w:rPr>
              <w:t>hospitality companies:</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Dave &amp; Buster’s Entertainment, Inc.:</w:t>
            </w:r>
          </w:p>
        </w:tc>
        <w:tc>
          <w:tcPr>
            <w:tcW w:w="20" w:type="dxa"/>
            <w:vAlign w:val="bottom"/>
          </w:tcPr>
          <w:p>
            <w:pPr>
              <w:spacing w:after="0"/>
              <w:rPr>
                <w:sz w:val="17"/>
                <w:szCs w:val="17"/>
                <w:color w:val="auto"/>
              </w:rPr>
            </w:pPr>
          </w:p>
        </w:tc>
      </w:tr>
      <w:tr>
        <w:trPr>
          <w:trHeight w:val="188"/>
        </w:trPr>
        <w:tc>
          <w:tcPr>
            <w:tcW w:w="5600" w:type="dxa"/>
            <w:vAlign w:val="bottom"/>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CEO (Sept 2020-Dec 2021)</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Transitional Chief Financial Officer (Jul. 2022-Dec. 2022)</w:t>
            </w:r>
          </w:p>
        </w:tc>
        <w:tc>
          <w:tcPr>
            <w:tcW w:w="20" w:type="dxa"/>
            <w:vAlign w:val="bottom"/>
          </w:tcPr>
          <w:p>
            <w:pPr>
              <w:spacing w:after="0"/>
              <w:rPr>
                <w:sz w:val="16"/>
                <w:szCs w:val="16"/>
                <w:color w:val="auto"/>
              </w:rPr>
            </w:pPr>
          </w:p>
        </w:tc>
      </w:tr>
      <w:tr>
        <w:trPr>
          <w:trHeight w:val="202"/>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Fogo De Chao, Inc.</w:t>
            </w:r>
            <w:r>
              <w:rPr>
                <w:rFonts w:ascii="Arial" w:cs="Arial" w:eastAsia="Arial" w:hAnsi="Arial"/>
                <w:sz w:val="16"/>
                <w:szCs w:val="16"/>
                <w:color w:val="auto"/>
              </w:rPr>
              <w:t>, an international chain of rodizio-style Brazilian</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Main Event Entertainment, Inc.:</w:t>
            </w:r>
          </w:p>
        </w:tc>
        <w:tc>
          <w:tcPr>
            <w:tcW w:w="20" w:type="dxa"/>
            <w:vAlign w:val="bottom"/>
          </w:tcPr>
          <w:p>
            <w:pPr>
              <w:spacing w:after="0"/>
              <w:rPr>
                <w:sz w:val="17"/>
                <w:szCs w:val="17"/>
                <w:color w:val="auto"/>
              </w:rPr>
            </w:pPr>
          </w:p>
        </w:tc>
      </w:tr>
      <w:tr>
        <w:trPr>
          <w:trHeight w:val="188"/>
        </w:trPr>
        <w:tc>
          <w:tcPr>
            <w:tcW w:w="5600" w:type="dxa"/>
            <w:vAlign w:val="bottom"/>
          </w:tcPr>
          <w:p>
            <w:pPr>
              <w:ind w:left="200"/>
              <w:spacing w:after="0"/>
              <w:rPr>
                <w:sz w:val="20"/>
                <w:szCs w:val="20"/>
                <w:color w:val="auto"/>
              </w:rPr>
            </w:pPr>
            <w:r>
              <w:rPr>
                <w:rFonts w:ascii="Arial" w:cs="Arial" w:eastAsia="Arial" w:hAnsi="Arial"/>
                <w:sz w:val="16"/>
                <w:szCs w:val="16"/>
                <w:color w:val="auto"/>
              </w:rPr>
              <w:t>steakhouse restaurants:</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EVP and Chief Financial Officer (Mar. 2017-Jun. 2022)</w:t>
            </w:r>
          </w:p>
        </w:tc>
        <w:tc>
          <w:tcPr>
            <w:tcW w:w="20" w:type="dxa"/>
            <w:vAlign w:val="bottom"/>
          </w:tcPr>
          <w:p>
            <w:pPr>
              <w:spacing w:after="0"/>
              <w:rPr>
                <w:sz w:val="16"/>
                <w:szCs w:val="16"/>
                <w:color w:val="auto"/>
              </w:rPr>
            </w:pPr>
          </w:p>
        </w:tc>
      </w:tr>
      <w:tr>
        <w:trPr>
          <w:trHeight w:val="188"/>
        </w:trPr>
        <w:tc>
          <w:tcPr>
            <w:tcW w:w="5600" w:type="dxa"/>
            <w:vAlign w:val="bottom"/>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COO (July 2019-July 2020)</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Ardent Leisure</w:t>
            </w:r>
            <w:r>
              <w:rPr>
                <w:rFonts w:ascii="Arial" w:cs="Arial" w:eastAsia="Arial" w:hAnsi="Arial"/>
                <w:sz w:val="16"/>
                <w:szCs w:val="16"/>
                <w:color w:val="auto"/>
              </w:rPr>
              <w:t>, then Main Event’s parent company:</w:t>
            </w:r>
          </w:p>
        </w:tc>
        <w:tc>
          <w:tcPr>
            <w:tcW w:w="20" w:type="dxa"/>
            <w:vAlign w:val="bottom"/>
          </w:tcPr>
          <w:p>
            <w:pPr>
              <w:spacing w:after="0"/>
              <w:rPr>
                <w:sz w:val="16"/>
                <w:szCs w:val="16"/>
                <w:color w:val="auto"/>
              </w:rPr>
            </w:pPr>
          </w:p>
        </w:tc>
      </w:tr>
      <w:tr>
        <w:trPr>
          <w:trHeight w:val="202"/>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Hard Rock International</w:t>
            </w: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Group Chief Financial Officer (Jun. 2018-Jun. 2022)</w:t>
            </w:r>
          </w:p>
        </w:tc>
        <w:tc>
          <w:tcPr>
            <w:tcW w:w="20" w:type="dxa"/>
            <w:vAlign w:val="bottom"/>
          </w:tcPr>
          <w:p>
            <w:pPr>
              <w:spacing w:after="0"/>
              <w:rPr>
                <w:sz w:val="17"/>
                <w:szCs w:val="17"/>
                <w:color w:val="auto"/>
              </w:rPr>
            </w:pPr>
          </w:p>
        </w:tc>
      </w:tr>
      <w:tr>
        <w:trPr>
          <w:trHeight w:val="188"/>
        </w:trPr>
        <w:tc>
          <w:tcPr>
            <w:tcW w:w="5600" w:type="dxa"/>
            <w:vAlign w:val="bottom"/>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Various positions including SVP of cafe and retail operations and SVP of</w:t>
            </w:r>
          </w:p>
        </w:tc>
        <w:tc>
          <w:tcPr>
            <w:tcW w:w="5640" w:type="dxa"/>
            <w:vAlign w:val="bottom"/>
            <w:gridSpan w:val="2"/>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On the Border Mexican Grill &amp; Cantina</w:t>
            </w:r>
            <w:r>
              <w:rPr>
                <w:rFonts w:ascii="Arial" w:cs="Arial" w:eastAsia="Arial" w:hAnsi="Arial"/>
                <w:sz w:val="16"/>
                <w:szCs w:val="16"/>
                <w:color w:val="auto"/>
              </w:rPr>
              <w:t>, a family dining concept:</w:t>
            </w:r>
          </w:p>
        </w:tc>
        <w:tc>
          <w:tcPr>
            <w:tcW w:w="20" w:type="dxa"/>
            <w:vAlign w:val="bottom"/>
          </w:tcPr>
          <w:p>
            <w:pPr>
              <w:spacing w:after="0"/>
              <w:rPr>
                <w:sz w:val="16"/>
                <w:szCs w:val="16"/>
                <w:color w:val="auto"/>
              </w:rPr>
            </w:pPr>
          </w:p>
        </w:tc>
      </w:tr>
      <w:tr>
        <w:trPr>
          <w:trHeight w:val="188"/>
        </w:trPr>
        <w:tc>
          <w:tcPr>
            <w:tcW w:w="5600" w:type="dxa"/>
            <w:vAlign w:val="bottom"/>
          </w:tcPr>
          <w:p>
            <w:pPr>
              <w:ind w:left="360"/>
              <w:spacing w:after="0"/>
              <w:rPr>
                <w:sz w:val="20"/>
                <w:szCs w:val="20"/>
                <w:color w:val="auto"/>
              </w:rPr>
            </w:pPr>
            <w:r>
              <w:rPr>
                <w:rFonts w:ascii="Arial" w:cs="Arial" w:eastAsia="Arial" w:hAnsi="Arial"/>
                <w:sz w:val="16"/>
                <w:szCs w:val="16"/>
                <w:color w:val="auto"/>
              </w:rPr>
              <w:t>franchise development and operations (Dec 2010-June 2019)</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Chief Financial Officer (Aug. 2014-Mar. 2017)</w:t>
            </w:r>
          </w:p>
        </w:tc>
        <w:tc>
          <w:tcPr>
            <w:tcW w:w="20" w:type="dxa"/>
            <w:vAlign w:val="bottom"/>
          </w:tcPr>
          <w:p>
            <w:pPr>
              <w:spacing w:after="0"/>
              <w:rPr>
                <w:sz w:val="16"/>
                <w:szCs w:val="16"/>
                <w:color w:val="auto"/>
              </w:rPr>
            </w:pPr>
          </w:p>
        </w:tc>
      </w:tr>
      <w:tr>
        <w:trPr>
          <w:trHeight w:val="202"/>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Gourmet Gulf LLC,</w:t>
            </w:r>
            <w:r>
              <w:rPr>
                <w:rFonts w:ascii="Arial" w:cs="Arial" w:eastAsia="Arial" w:hAnsi="Arial"/>
                <w:sz w:val="16"/>
                <w:szCs w:val="16"/>
                <w:color w:val="auto"/>
              </w:rPr>
              <w:t xml:space="preserve"> a UAE-based food and beverage company:</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VP Finance (Oct. 2011-Aug. 2014)</w:t>
            </w:r>
          </w:p>
        </w:tc>
        <w:tc>
          <w:tcPr>
            <w:tcW w:w="20" w:type="dxa"/>
            <w:vAlign w:val="bottom"/>
          </w:tcPr>
          <w:p>
            <w:pPr>
              <w:spacing w:after="0"/>
              <w:rPr>
                <w:sz w:val="17"/>
                <w:szCs w:val="17"/>
                <w:color w:val="auto"/>
              </w:rPr>
            </w:pPr>
          </w:p>
        </w:tc>
      </w:tr>
      <w:tr>
        <w:trPr>
          <w:trHeight w:val="188"/>
        </w:trPr>
        <w:tc>
          <w:tcPr>
            <w:tcW w:w="5600" w:type="dxa"/>
            <w:vAlign w:val="bottom"/>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President and COO (2007-2010)</w:t>
            </w:r>
          </w:p>
        </w:tc>
        <w:tc>
          <w:tcPr>
            <w:tcW w:w="5640" w:type="dxa"/>
            <w:vAlign w:val="bottom"/>
            <w:gridSpan w:val="2"/>
          </w:tcPr>
          <w:p>
            <w:pPr>
              <w:ind w:left="60"/>
              <w:spacing w:after="0"/>
              <w:rPr>
                <w:sz w:val="20"/>
                <w:szCs w:val="20"/>
                <w:color w:val="auto"/>
              </w:rPr>
            </w:pPr>
            <w:r>
              <w:rPr>
                <w:rFonts w:ascii="Arial" w:cs="Arial" w:eastAsia="Arial" w:hAnsi="Arial"/>
                <w:sz w:val="16"/>
                <w:szCs w:val="16"/>
                <w:i w:val="1"/>
                <w:iCs w:val="1"/>
                <w:color w:val="auto"/>
              </w:rPr>
              <w:t xml:space="preserve">– CEC Entertainment, Inc., </w:t>
            </w:r>
            <w:r>
              <w:rPr>
                <w:rFonts w:ascii="Arial" w:cs="Arial" w:eastAsia="Arial" w:hAnsi="Arial"/>
                <w:sz w:val="16"/>
                <w:szCs w:val="16"/>
                <w:color w:val="auto"/>
              </w:rPr>
              <w:t>a dining and family entertainment enterprise:</w:t>
            </w:r>
          </w:p>
        </w:tc>
        <w:tc>
          <w:tcPr>
            <w:tcW w:w="20" w:type="dxa"/>
            <w:vAlign w:val="bottom"/>
          </w:tcPr>
          <w:p>
            <w:pPr>
              <w:spacing w:after="0"/>
              <w:rPr>
                <w:sz w:val="16"/>
                <w:szCs w:val="16"/>
                <w:color w:val="auto"/>
              </w:rPr>
            </w:pPr>
          </w:p>
        </w:tc>
      </w:tr>
      <w:tr>
        <w:trPr>
          <w:trHeight w:val="202"/>
        </w:trPr>
        <w:tc>
          <w:tcPr>
            <w:tcW w:w="5600" w:type="dxa"/>
            <w:vAlign w:val="bottom"/>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Hard Rock International</w:t>
            </w:r>
            <w:r>
              <w:rPr>
                <w:rFonts w:ascii="Arial" w:cs="Arial" w:eastAsia="Arial" w:hAnsi="Arial"/>
                <w:sz w:val="16"/>
                <w:szCs w:val="16"/>
                <w:color w:val="auto"/>
              </w:rPr>
              <w:t>:</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Principal Accounting Officer (2007-2011)</w:t>
            </w:r>
          </w:p>
        </w:tc>
        <w:tc>
          <w:tcPr>
            <w:tcW w:w="20" w:type="dxa"/>
            <w:vAlign w:val="bottom"/>
          </w:tcPr>
          <w:p>
            <w:pPr>
              <w:spacing w:after="0"/>
              <w:rPr>
                <w:sz w:val="17"/>
                <w:szCs w:val="17"/>
                <w:color w:val="auto"/>
              </w:rPr>
            </w:pPr>
          </w:p>
        </w:tc>
      </w:tr>
      <w:tr>
        <w:trPr>
          <w:trHeight w:val="188"/>
        </w:trPr>
        <w:tc>
          <w:tcPr>
            <w:tcW w:w="5600" w:type="dxa"/>
            <w:vAlign w:val="bottom"/>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Various positions including Director of Franchise Development and</w:t>
            </w:r>
          </w:p>
        </w:tc>
        <w:tc>
          <w:tcPr>
            <w:tcW w:w="3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4"/>
        </w:trPr>
        <w:tc>
          <w:tcPr>
            <w:tcW w:w="5600" w:type="dxa"/>
            <w:vAlign w:val="bottom"/>
          </w:tcPr>
          <w:p>
            <w:pPr>
              <w:ind w:left="360"/>
              <w:spacing w:after="0"/>
              <w:rPr>
                <w:sz w:val="20"/>
                <w:szCs w:val="20"/>
                <w:color w:val="auto"/>
              </w:rPr>
            </w:pPr>
            <w:r>
              <w:rPr>
                <w:rFonts w:ascii="Arial" w:cs="Arial" w:eastAsia="Arial" w:hAnsi="Arial"/>
                <w:sz w:val="16"/>
                <w:szCs w:val="16"/>
                <w:color w:val="auto"/>
              </w:rPr>
              <w:t>Operations and General Manager (1994-2007)</w:t>
            </w:r>
          </w:p>
        </w:tc>
        <w:tc>
          <w:tcPr>
            <w:tcW w:w="3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-3538855</wp:posOffset>
            </wp:positionV>
            <wp:extent cx="7141210" cy="38735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3873500"/>
                    </a:xfrm>
                    <a:prstGeom prst="rect">
                      <a:avLst/>
                    </a:prstGeom>
                    <a:noFill/>
                  </pic:spPr>
                </pic:pic>
              </a:graphicData>
            </a:graphic>
          </wp:anchor>
        </w:drawing>
      </w:r>
    </w:p>
    <w:p>
      <w:pPr>
        <w:spacing w:after="0" w:line="64" w:lineRule="exact"/>
        <w:rPr>
          <w:sz w:val="20"/>
          <w:szCs w:val="20"/>
          <w:color w:val="auto"/>
        </w:rPr>
      </w:pPr>
    </w:p>
    <w:p>
      <w:pPr>
        <w:ind w:left="5660"/>
        <w:spacing w:after="0"/>
        <w:rPr>
          <w:sz w:val="20"/>
          <w:szCs w:val="20"/>
          <w:color w:val="auto"/>
        </w:rPr>
      </w:pPr>
      <w:r>
        <w:rPr>
          <w:rFonts w:ascii="Arial" w:cs="Arial" w:eastAsia="Arial" w:hAnsi="Arial"/>
          <w:sz w:val="16"/>
          <w:szCs w:val="16"/>
          <w:i w:val="1"/>
          <w:iCs w:val="1"/>
          <w:color w:val="auto"/>
        </w:rPr>
        <w:t>Education:</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 BBA Accounting, Evangel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387985</wp:posOffset>
            </wp:positionV>
            <wp:extent cx="71329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22</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42" w:right="31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255"/>
        </w:trPr>
        <w:tc>
          <w:tcPr>
            <w:tcW w:w="5640" w:type="dxa"/>
            <w:vAlign w:val="bottom"/>
            <w:tcBorders>
              <w:left w:val="single" w:sz="8" w:color="00497F"/>
              <w:right w:val="single" w:sz="8" w:color="00497F"/>
            </w:tcBorders>
            <w:shd w:val="clear" w:color="auto" w:fill="003B71"/>
          </w:tcPr>
          <w:p>
            <w:pPr>
              <w:ind w:left="40"/>
              <w:spacing w:after="0"/>
              <w:rPr>
                <w:sz w:val="20"/>
                <w:szCs w:val="20"/>
                <w:color w:val="auto"/>
              </w:rPr>
            </w:pPr>
            <w:r>
              <w:rPr>
                <w:rFonts w:ascii="Arial" w:cs="Arial" w:eastAsia="Arial" w:hAnsi="Arial"/>
                <w:sz w:val="16"/>
                <w:szCs w:val="16"/>
                <w:b w:val="1"/>
                <w:bCs w:val="1"/>
                <w:color w:val="FFFFFF"/>
              </w:rPr>
              <w:t>Steve Klohn*</w:t>
            </w:r>
          </w:p>
        </w:tc>
        <w:tc>
          <w:tcPr>
            <w:tcW w:w="5600" w:type="dxa"/>
            <w:vAlign w:val="bottom"/>
            <w:gridSpan w:val="2"/>
            <w:shd w:val="clear" w:color="auto" w:fill="003B71"/>
          </w:tcPr>
          <w:p>
            <w:pPr>
              <w:ind w:left="20"/>
              <w:spacing w:after="0"/>
              <w:rPr>
                <w:sz w:val="20"/>
                <w:szCs w:val="20"/>
                <w:color w:val="auto"/>
              </w:rPr>
            </w:pPr>
            <w:r>
              <w:rPr>
                <w:rFonts w:ascii="Arial" w:cs="Arial" w:eastAsia="Arial" w:hAnsi="Arial"/>
                <w:sz w:val="16"/>
                <w:szCs w:val="16"/>
                <w:b w:val="1"/>
                <w:bCs w:val="1"/>
                <w:color w:val="FFFFFF"/>
              </w:rPr>
              <w:t>Tarun Lal</w:t>
            </w:r>
          </w:p>
        </w:tc>
        <w:tc>
          <w:tcPr>
            <w:tcW w:w="20" w:type="dxa"/>
            <w:vAlign w:val="bottom"/>
            <w:shd w:val="clear" w:color="auto" w:fill="00497F"/>
          </w:tcPr>
          <w:p>
            <w:pPr>
              <w:spacing w:after="0"/>
              <w:rPr>
                <w:sz w:val="22"/>
                <w:szCs w:val="22"/>
                <w:color w:val="auto"/>
              </w:rPr>
            </w:pPr>
          </w:p>
        </w:tc>
      </w:tr>
      <w:tr>
        <w:trPr>
          <w:trHeight w:val="227"/>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Dave &amp; Buster’s Since: 2022</w:t>
            </w:r>
          </w:p>
        </w:tc>
        <w:tc>
          <w:tcPr>
            <w:tcW w:w="5600" w:type="dxa"/>
            <w:vAlign w:val="bottom"/>
            <w:gridSpan w:val="2"/>
          </w:tcPr>
          <w:p>
            <w:pPr>
              <w:ind w:left="20"/>
              <w:spacing w:after="0"/>
              <w:rPr>
                <w:sz w:val="20"/>
                <w:szCs w:val="20"/>
                <w:color w:val="auto"/>
              </w:rPr>
            </w:pPr>
            <w:r>
              <w:rPr>
                <w:rFonts w:ascii="Arial" w:cs="Arial" w:eastAsia="Arial" w:hAnsi="Arial"/>
                <w:sz w:val="16"/>
                <w:szCs w:val="16"/>
                <w:color w:val="auto"/>
              </w:rPr>
              <w:t>Dave &amp; Buster’s Since: 2025</w:t>
            </w:r>
          </w:p>
        </w:tc>
        <w:tc>
          <w:tcPr>
            <w:tcW w:w="20" w:type="dxa"/>
            <w:vAlign w:val="bottom"/>
            <w:shd w:val="clear" w:color="auto" w:fill="00497F"/>
          </w:tcPr>
          <w:p>
            <w:pPr>
              <w:spacing w:after="0"/>
              <w:rPr>
                <w:sz w:val="19"/>
                <w:szCs w:val="19"/>
                <w:color w:val="auto"/>
              </w:rPr>
            </w:pPr>
          </w:p>
        </w:tc>
      </w:tr>
      <w:tr>
        <w:trPr>
          <w:trHeight w:val="24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Age: 51</w:t>
            </w:r>
          </w:p>
        </w:tc>
        <w:tc>
          <w:tcPr>
            <w:tcW w:w="5600" w:type="dxa"/>
            <w:vAlign w:val="bottom"/>
            <w:gridSpan w:val="2"/>
          </w:tcPr>
          <w:p>
            <w:pPr>
              <w:ind w:left="20"/>
              <w:spacing w:after="0"/>
              <w:rPr>
                <w:sz w:val="20"/>
                <w:szCs w:val="20"/>
                <w:color w:val="auto"/>
              </w:rPr>
            </w:pPr>
            <w:r>
              <w:rPr>
                <w:rFonts w:ascii="Arial" w:cs="Arial" w:eastAsia="Arial" w:hAnsi="Arial"/>
                <w:sz w:val="16"/>
                <w:szCs w:val="16"/>
                <w:color w:val="auto"/>
              </w:rPr>
              <w:t>Age: 57</w:t>
            </w:r>
          </w:p>
        </w:tc>
        <w:tc>
          <w:tcPr>
            <w:tcW w:w="20" w:type="dxa"/>
            <w:vAlign w:val="bottom"/>
            <w:shd w:val="clear" w:color="auto" w:fill="00497F"/>
          </w:tcPr>
          <w:p>
            <w:pPr>
              <w:spacing w:after="0"/>
              <w:rPr>
                <w:sz w:val="21"/>
                <w:szCs w:val="21"/>
                <w:color w:val="auto"/>
              </w:rPr>
            </w:pPr>
          </w:p>
        </w:tc>
      </w:tr>
      <w:tr>
        <w:trPr>
          <w:trHeight w:val="24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11 yrs</w:t>
            </w:r>
          </w:p>
        </w:tc>
        <w:tc>
          <w:tcPr>
            <w:tcW w:w="5600" w:type="dxa"/>
            <w:vAlign w:val="bottom"/>
            <w:gridSpan w:val="2"/>
          </w:tcPr>
          <w:p>
            <w:pPr>
              <w:ind w:left="2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25 yrs</w:t>
            </w:r>
          </w:p>
        </w:tc>
        <w:tc>
          <w:tcPr>
            <w:tcW w:w="20" w:type="dxa"/>
            <w:vAlign w:val="bottom"/>
            <w:shd w:val="clear" w:color="auto" w:fill="00497F"/>
          </w:tcPr>
          <w:p>
            <w:pPr>
              <w:spacing w:after="0"/>
              <w:rPr>
                <w:sz w:val="21"/>
                <w:szCs w:val="21"/>
                <w:color w:val="auto"/>
              </w:rPr>
            </w:pPr>
          </w:p>
        </w:tc>
      </w:tr>
      <w:tr>
        <w:trPr>
          <w:trHeight w:val="24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9 yrs</w:t>
            </w:r>
          </w:p>
        </w:tc>
        <w:tc>
          <w:tcPr>
            <w:tcW w:w="2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0" w:type="dxa"/>
            <w:vAlign w:val="bottom"/>
            <w:shd w:val="clear" w:color="auto" w:fill="00497F"/>
          </w:tcPr>
          <w:p>
            <w:pPr>
              <w:spacing w:after="0"/>
              <w:rPr>
                <w:sz w:val="21"/>
                <w:szCs w:val="21"/>
                <w:color w:val="auto"/>
              </w:rPr>
            </w:pPr>
          </w:p>
        </w:tc>
      </w:tr>
      <w:tr>
        <w:trPr>
          <w:trHeight w:val="403"/>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i w:val="1"/>
                <w:iCs w:val="1"/>
                <w:color w:val="auto"/>
              </w:rPr>
              <w:t>Current Position:</w:t>
            </w:r>
          </w:p>
        </w:tc>
        <w:tc>
          <w:tcPr>
            <w:tcW w:w="5600" w:type="dxa"/>
            <w:vAlign w:val="bottom"/>
            <w:gridSpan w:val="2"/>
          </w:tcPr>
          <w:p>
            <w:pPr>
              <w:ind w:left="20"/>
              <w:spacing w:after="0"/>
              <w:rPr>
                <w:sz w:val="20"/>
                <w:szCs w:val="20"/>
                <w:color w:val="auto"/>
              </w:rPr>
            </w:pPr>
            <w:r>
              <w:rPr>
                <w:rFonts w:ascii="Arial" w:cs="Arial" w:eastAsia="Arial" w:hAnsi="Arial"/>
                <w:sz w:val="16"/>
                <w:szCs w:val="16"/>
                <w:i w:val="1"/>
                <w:iCs w:val="1"/>
                <w:color w:val="auto"/>
              </w:rPr>
              <w:t>Current Position:</w:t>
            </w:r>
          </w:p>
        </w:tc>
        <w:tc>
          <w:tcPr>
            <w:tcW w:w="20" w:type="dxa"/>
            <w:vAlign w:val="bottom"/>
            <w:shd w:val="clear" w:color="auto" w:fill="00497F"/>
          </w:tcPr>
          <w:p>
            <w:pPr>
              <w:spacing w:after="0"/>
              <w:rPr>
                <w:sz w:val="24"/>
                <w:szCs w:val="24"/>
                <w:color w:val="auto"/>
              </w:rPr>
            </w:pPr>
          </w:p>
        </w:tc>
      </w:tr>
      <w:tr>
        <w:trPr>
          <w:trHeight w:val="24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 Chief Information Officer July 2022-Sept 2024; Dec 2024 to present</w:t>
            </w:r>
          </w:p>
        </w:tc>
        <w:tc>
          <w:tcPr>
            <w:tcW w:w="5600" w:type="dxa"/>
            <w:vAlign w:val="bottom"/>
            <w:gridSpan w:val="2"/>
          </w:tcPr>
          <w:p>
            <w:pPr>
              <w:ind w:left="20"/>
              <w:spacing w:after="0"/>
              <w:rPr>
                <w:sz w:val="20"/>
                <w:szCs w:val="20"/>
                <w:color w:val="auto"/>
              </w:rPr>
            </w:pPr>
            <w:r>
              <w:rPr>
                <w:rFonts w:ascii="Arial" w:cs="Arial" w:eastAsia="Arial" w:hAnsi="Arial"/>
                <w:sz w:val="16"/>
                <w:szCs w:val="16"/>
                <w:color w:val="auto"/>
              </w:rPr>
              <w:t>– Chief Executive Officer July 2025 to present</w:t>
            </w:r>
          </w:p>
        </w:tc>
        <w:tc>
          <w:tcPr>
            <w:tcW w:w="20" w:type="dxa"/>
            <w:vAlign w:val="bottom"/>
            <w:shd w:val="clear" w:color="auto" w:fill="00497F"/>
          </w:tcPr>
          <w:p>
            <w:pPr>
              <w:spacing w:after="0"/>
              <w:rPr>
                <w:sz w:val="21"/>
                <w:szCs w:val="21"/>
                <w:color w:val="auto"/>
              </w:rPr>
            </w:pPr>
          </w:p>
        </w:tc>
      </w:tr>
      <w:tr>
        <w:trPr>
          <w:trHeight w:val="296"/>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i w:val="1"/>
                <w:iCs w:val="1"/>
                <w:color w:val="auto"/>
              </w:rPr>
              <w:t>Prior Business Experience:</w:t>
            </w:r>
          </w:p>
        </w:tc>
        <w:tc>
          <w:tcPr>
            <w:tcW w:w="5600" w:type="dxa"/>
            <w:vAlign w:val="bottom"/>
            <w:gridSpan w:val="2"/>
          </w:tcPr>
          <w:p>
            <w:pPr>
              <w:ind w:left="20"/>
              <w:spacing w:after="0"/>
              <w:rPr>
                <w:sz w:val="20"/>
                <w:szCs w:val="20"/>
                <w:color w:val="auto"/>
              </w:rPr>
            </w:pPr>
            <w:r>
              <w:rPr>
                <w:rFonts w:ascii="Arial" w:cs="Arial" w:eastAsia="Arial" w:hAnsi="Arial"/>
                <w:sz w:val="16"/>
                <w:szCs w:val="16"/>
                <w:i w:val="1"/>
                <w:iCs w:val="1"/>
                <w:color w:val="auto"/>
              </w:rPr>
              <w:t>Prior Business Experience:</w:t>
            </w:r>
          </w:p>
        </w:tc>
        <w:tc>
          <w:tcPr>
            <w:tcW w:w="20" w:type="dxa"/>
            <w:vAlign w:val="bottom"/>
            <w:shd w:val="clear" w:color="auto" w:fill="00497F"/>
          </w:tcPr>
          <w:p>
            <w:pPr>
              <w:spacing w:after="0"/>
              <w:rPr>
                <w:sz w:val="24"/>
                <w:szCs w:val="24"/>
                <w:color w:val="auto"/>
              </w:rPr>
            </w:pPr>
          </w:p>
        </w:tc>
      </w:tr>
      <w:tr>
        <w:trPr>
          <w:trHeight w:val="216"/>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Legends</w:t>
            </w:r>
            <w:r>
              <w:rPr>
                <w:rFonts w:ascii="Arial" w:cs="Arial" w:eastAsia="Arial" w:hAnsi="Arial"/>
                <w:sz w:val="16"/>
                <w:szCs w:val="16"/>
                <w:color w:val="auto"/>
              </w:rPr>
              <w:t>, a food, beverage, merchandise, retail, and stadium operations</w:t>
            </w:r>
          </w:p>
        </w:tc>
        <w:tc>
          <w:tcPr>
            <w:tcW w:w="5600" w:type="dxa"/>
            <w:vAlign w:val="bottom"/>
            <w:gridSpan w:val="2"/>
          </w:tcPr>
          <w:p>
            <w:pPr>
              <w:ind w:left="20"/>
              <w:spacing w:after="0"/>
              <w:rPr>
                <w:sz w:val="20"/>
                <w:szCs w:val="20"/>
                <w:color w:val="auto"/>
              </w:rPr>
            </w:pPr>
            <w:r>
              <w:rPr>
                <w:rFonts w:ascii="Arial" w:cs="Arial" w:eastAsia="Arial" w:hAnsi="Arial"/>
                <w:sz w:val="16"/>
                <w:szCs w:val="16"/>
                <w:i w:val="1"/>
                <w:iCs w:val="1"/>
                <w:color w:val="auto"/>
              </w:rPr>
              <w:t>– Yum! Brands, a brand which includes KFC, Taco Bell, and Pizza Hut</w:t>
            </w:r>
            <w:r>
              <w:rPr>
                <w:rFonts w:ascii="Arial" w:cs="Arial" w:eastAsia="Arial" w:hAnsi="Arial"/>
                <w:sz w:val="16"/>
                <w:szCs w:val="16"/>
                <w:color w:val="auto"/>
              </w:rPr>
              <w:t>, a</w:t>
            </w:r>
          </w:p>
        </w:tc>
        <w:tc>
          <w:tcPr>
            <w:tcW w:w="20" w:type="dxa"/>
            <w:vAlign w:val="bottom"/>
            <w:shd w:val="clear" w:color="auto" w:fill="00497F"/>
          </w:tcPr>
          <w:p>
            <w:pPr>
              <w:spacing w:after="0"/>
              <w:rPr>
                <w:sz w:val="18"/>
                <w:szCs w:val="18"/>
                <w:color w:val="auto"/>
              </w:rPr>
            </w:pPr>
          </w:p>
        </w:tc>
      </w:tr>
      <w:tr>
        <w:trPr>
          <w:trHeight w:val="202"/>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auto"/>
              </w:rPr>
              <w:t>corporation:</w:t>
            </w:r>
          </w:p>
        </w:tc>
        <w:tc>
          <w:tcPr>
            <w:tcW w:w="5600" w:type="dxa"/>
            <w:vAlign w:val="bottom"/>
            <w:gridSpan w:val="2"/>
          </w:tcPr>
          <w:p>
            <w:pPr>
              <w:ind w:left="180"/>
              <w:spacing w:after="0"/>
              <w:rPr>
                <w:sz w:val="20"/>
                <w:szCs w:val="20"/>
                <w:color w:val="auto"/>
              </w:rPr>
            </w:pPr>
            <w:r>
              <w:rPr>
                <w:rFonts w:ascii="Arial" w:cs="Arial" w:eastAsia="Arial" w:hAnsi="Arial"/>
                <w:sz w:val="16"/>
                <w:szCs w:val="16"/>
                <w:color w:val="auto"/>
              </w:rPr>
              <w:t>global leader of the chicken, Mexican-inspired food and pizza, operating</w:t>
            </w:r>
          </w:p>
        </w:tc>
        <w:tc>
          <w:tcPr>
            <w:tcW w:w="20" w:type="dxa"/>
            <w:vAlign w:val="bottom"/>
            <w:shd w:val="clear" w:color="auto" w:fill="00497F"/>
          </w:tcPr>
          <w:p>
            <w:pPr>
              <w:spacing w:after="0"/>
              <w:rPr>
                <w:sz w:val="17"/>
                <w:szCs w:val="17"/>
                <w:color w:val="auto"/>
              </w:rPr>
            </w:pPr>
          </w:p>
        </w:tc>
      </w:tr>
      <w:tr>
        <w:trPr>
          <w:trHeight w:val="188"/>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auto"/>
              </w:rPr>
              <w:t>• Chief Technology Officer (Sept 2024-Dec 2024)</w:t>
            </w:r>
          </w:p>
        </w:tc>
        <w:tc>
          <w:tcPr>
            <w:tcW w:w="5600" w:type="dxa"/>
            <w:vAlign w:val="bottom"/>
            <w:gridSpan w:val="2"/>
          </w:tcPr>
          <w:p>
            <w:pPr>
              <w:ind w:left="180"/>
              <w:spacing w:after="0"/>
              <w:rPr>
                <w:sz w:val="20"/>
                <w:szCs w:val="20"/>
                <w:color w:val="auto"/>
              </w:rPr>
            </w:pPr>
            <w:r>
              <w:rPr>
                <w:rFonts w:ascii="Arial" w:cs="Arial" w:eastAsia="Arial" w:hAnsi="Arial"/>
                <w:sz w:val="16"/>
                <w:szCs w:val="16"/>
                <w:color w:val="auto"/>
              </w:rPr>
              <w:t>over 61,000 locations</w:t>
            </w:r>
            <w:r>
              <w:rPr>
                <w:rFonts w:ascii="Arial" w:cs="Arial" w:eastAsia="Arial" w:hAnsi="Arial"/>
                <w:sz w:val="16"/>
                <w:szCs w:val="16"/>
                <w:i w:val="1"/>
                <w:iCs w:val="1"/>
                <w:color w:val="auto"/>
              </w:rPr>
              <w:t>:</w:t>
            </w:r>
          </w:p>
        </w:tc>
        <w:tc>
          <w:tcPr>
            <w:tcW w:w="20" w:type="dxa"/>
            <w:vAlign w:val="bottom"/>
            <w:shd w:val="clear" w:color="auto" w:fill="00497F"/>
          </w:tcPr>
          <w:p>
            <w:pPr>
              <w:spacing w:after="0"/>
              <w:rPr>
                <w:sz w:val="16"/>
                <w:szCs w:val="16"/>
                <w:color w:val="auto"/>
              </w:rPr>
            </w:pPr>
          </w:p>
        </w:tc>
      </w:tr>
      <w:tr>
        <w:trPr>
          <w:trHeight w:val="20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i w:val="1"/>
                <w:iCs w:val="1"/>
                <w:color w:val="auto"/>
              </w:rPr>
              <w:t>– Main Event Entertainment, Inc.</w:t>
            </w:r>
            <w:r>
              <w:rPr>
                <w:rFonts w:ascii="Arial" w:cs="Arial" w:eastAsia="Arial" w:hAnsi="Arial"/>
                <w:sz w:val="16"/>
                <w:szCs w:val="16"/>
                <w:color w:val="auto"/>
              </w:rPr>
              <w:t>, an American chain of family entertainment</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Managing Director KFC META, Pakistan, India, CIS (Oct 2021-Jan 2023)</w:t>
            </w:r>
          </w:p>
        </w:tc>
        <w:tc>
          <w:tcPr>
            <w:tcW w:w="20" w:type="dxa"/>
            <w:vAlign w:val="bottom"/>
            <w:shd w:val="clear" w:color="auto" w:fill="00497F"/>
          </w:tcPr>
          <w:p>
            <w:pPr>
              <w:spacing w:after="0"/>
              <w:rPr>
                <w:sz w:val="17"/>
                <w:szCs w:val="17"/>
                <w:color w:val="auto"/>
              </w:rPr>
            </w:pPr>
          </w:p>
        </w:tc>
      </w:tr>
      <w:tr>
        <w:trPr>
          <w:trHeight w:val="188"/>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auto"/>
              </w:rPr>
              <w:t>centers:</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Managing Director KFC Middle East, Africa, Turkey, Pakistan (Jan 2020-</w:t>
            </w:r>
          </w:p>
        </w:tc>
        <w:tc>
          <w:tcPr>
            <w:tcW w:w="20" w:type="dxa"/>
            <w:vAlign w:val="bottom"/>
            <w:shd w:val="clear" w:color="auto" w:fill="00497F"/>
          </w:tcPr>
          <w:p>
            <w:pPr>
              <w:spacing w:after="0"/>
              <w:rPr>
                <w:sz w:val="16"/>
                <w:szCs w:val="16"/>
                <w:color w:val="auto"/>
              </w:rPr>
            </w:pPr>
          </w:p>
        </w:tc>
      </w:tr>
      <w:tr>
        <w:trPr>
          <w:trHeight w:val="188"/>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Chief Information Officer (Sept 2016-July 2022)</w:t>
            </w:r>
          </w:p>
        </w:tc>
        <w:tc>
          <w:tcPr>
            <w:tcW w:w="280" w:type="dxa"/>
            <w:vAlign w:val="bottom"/>
          </w:tcPr>
          <w:p>
            <w:pPr>
              <w:spacing w:after="0"/>
              <w:rPr>
                <w:sz w:val="16"/>
                <w:szCs w:val="16"/>
                <w:color w:val="auto"/>
              </w:rPr>
            </w:pPr>
          </w:p>
        </w:tc>
        <w:tc>
          <w:tcPr>
            <w:tcW w:w="5320" w:type="dxa"/>
            <w:vAlign w:val="bottom"/>
          </w:tcPr>
          <w:p>
            <w:pPr>
              <w:ind w:left="60"/>
              <w:spacing w:after="0"/>
              <w:rPr>
                <w:sz w:val="20"/>
                <w:szCs w:val="20"/>
                <w:color w:val="auto"/>
              </w:rPr>
            </w:pPr>
            <w:r>
              <w:rPr>
                <w:rFonts w:ascii="Arial" w:cs="Arial" w:eastAsia="Arial" w:hAnsi="Arial"/>
                <w:sz w:val="16"/>
                <w:szCs w:val="16"/>
                <w:color w:val="auto"/>
              </w:rPr>
              <w:t>Jun 2022)</w:t>
            </w:r>
          </w:p>
        </w:tc>
        <w:tc>
          <w:tcPr>
            <w:tcW w:w="20" w:type="dxa"/>
            <w:vAlign w:val="bottom"/>
            <w:shd w:val="clear" w:color="auto" w:fill="00497F"/>
          </w:tcPr>
          <w:p>
            <w:pPr>
              <w:spacing w:after="0"/>
              <w:rPr>
                <w:sz w:val="16"/>
                <w:szCs w:val="16"/>
                <w:color w:val="auto"/>
              </w:rPr>
            </w:pPr>
          </w:p>
        </w:tc>
      </w:tr>
      <w:tr>
        <w:trPr>
          <w:trHeight w:val="20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Intelemedia Communications, Inc.</w:t>
            </w:r>
            <w:r>
              <w:rPr>
                <w:rFonts w:ascii="Arial" w:cs="Arial" w:eastAsia="Arial" w:hAnsi="Arial"/>
                <w:sz w:val="16"/>
                <w:szCs w:val="16"/>
                <w:color w:val="auto"/>
              </w:rPr>
              <w:t>, a telecommunications service provider:</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General Manager KFC Africa (Jul 2018-Dec 2019)</w:t>
            </w:r>
          </w:p>
        </w:tc>
        <w:tc>
          <w:tcPr>
            <w:tcW w:w="20" w:type="dxa"/>
            <w:vAlign w:val="bottom"/>
            <w:shd w:val="clear" w:color="auto" w:fill="00497F"/>
          </w:tcPr>
          <w:p>
            <w:pPr>
              <w:spacing w:after="0"/>
              <w:rPr>
                <w:sz w:val="17"/>
                <w:szCs w:val="17"/>
                <w:color w:val="auto"/>
              </w:rPr>
            </w:pPr>
          </w:p>
        </w:tc>
      </w:tr>
      <w:tr>
        <w:trPr>
          <w:trHeight w:val="188"/>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CIO Consultant (2012-2016)</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Global COO, KFC (Jan 2014-Jul 2018)</w:t>
            </w:r>
          </w:p>
        </w:tc>
        <w:tc>
          <w:tcPr>
            <w:tcW w:w="20" w:type="dxa"/>
            <w:vAlign w:val="bottom"/>
            <w:shd w:val="clear" w:color="auto" w:fill="00497F"/>
          </w:tcPr>
          <w:p>
            <w:pPr>
              <w:spacing w:after="0"/>
              <w:rPr>
                <w:sz w:val="16"/>
                <w:szCs w:val="16"/>
                <w:color w:val="auto"/>
              </w:rPr>
            </w:pPr>
          </w:p>
        </w:tc>
      </w:tr>
      <w:tr>
        <w:trPr>
          <w:trHeight w:val="20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Brinker International, Inc.</w:t>
            </w:r>
            <w:r>
              <w:rPr>
                <w:rFonts w:ascii="Arial" w:cs="Arial" w:eastAsia="Arial" w:hAnsi="Arial"/>
                <w:sz w:val="16"/>
                <w:szCs w:val="16"/>
                <w:color w:val="auto"/>
              </w:rPr>
              <w:t>, an American multinational casual dining</w:t>
            </w:r>
          </w:p>
        </w:tc>
        <w:tc>
          <w:tcPr>
            <w:tcW w:w="5600" w:type="dxa"/>
            <w:vAlign w:val="bottom"/>
            <w:gridSpan w:val="2"/>
          </w:tcPr>
          <w:p>
            <w:pPr>
              <w:ind w:left="20"/>
              <w:spacing w:after="0"/>
              <w:rPr>
                <w:sz w:val="20"/>
                <w:szCs w:val="20"/>
                <w:color w:val="auto"/>
              </w:rPr>
            </w:pPr>
            <w:r>
              <w:rPr>
                <w:rFonts w:ascii="Arial" w:cs="Arial" w:eastAsia="Arial" w:hAnsi="Arial"/>
                <w:sz w:val="16"/>
                <w:szCs w:val="16"/>
                <w:i w:val="1"/>
                <w:iCs w:val="1"/>
                <w:color w:val="auto"/>
              </w:rPr>
              <w:t>– Yum! Restaurants International, a division of Yum! Brands:</w:t>
            </w:r>
          </w:p>
        </w:tc>
        <w:tc>
          <w:tcPr>
            <w:tcW w:w="20" w:type="dxa"/>
            <w:vAlign w:val="bottom"/>
            <w:shd w:val="clear" w:color="auto" w:fill="00497F"/>
          </w:tcPr>
          <w:p>
            <w:pPr>
              <w:spacing w:after="0"/>
              <w:rPr>
                <w:sz w:val="17"/>
                <w:szCs w:val="17"/>
                <w:color w:val="auto"/>
              </w:rPr>
            </w:pPr>
          </w:p>
        </w:tc>
      </w:tr>
      <w:tr>
        <w:trPr>
          <w:trHeight w:val="188"/>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auto"/>
              </w:rPr>
              <w:t>company owning Chili's Grill &amp; Bar and Maggiano's Little Italy:</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General Manager KFC India (Mar 2012-Dec 2013)</w:t>
            </w:r>
          </w:p>
        </w:tc>
        <w:tc>
          <w:tcPr>
            <w:tcW w:w="20" w:type="dxa"/>
            <w:vAlign w:val="bottom"/>
            <w:shd w:val="clear" w:color="auto" w:fill="00497F"/>
          </w:tcPr>
          <w:p>
            <w:pPr>
              <w:spacing w:after="0"/>
              <w:rPr>
                <w:sz w:val="16"/>
                <w:szCs w:val="16"/>
                <w:color w:val="auto"/>
              </w:rPr>
            </w:pPr>
          </w:p>
        </w:tc>
      </w:tr>
      <w:tr>
        <w:trPr>
          <w:trHeight w:val="188"/>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Various positions including Chief Technology Officer (2014-2016)</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Chief Operating Officer &amp; General Manager Sri Lanka &amp; Bangladesh (Jul</w:t>
            </w:r>
          </w:p>
        </w:tc>
        <w:tc>
          <w:tcPr>
            <w:tcW w:w="20" w:type="dxa"/>
            <w:vAlign w:val="bottom"/>
            <w:shd w:val="clear" w:color="auto" w:fill="00497F"/>
          </w:tcPr>
          <w:p>
            <w:pPr>
              <w:spacing w:after="0"/>
              <w:rPr>
                <w:sz w:val="16"/>
                <w:szCs w:val="16"/>
                <w:color w:val="auto"/>
              </w:rPr>
            </w:pPr>
          </w:p>
        </w:tc>
      </w:tr>
      <w:tr>
        <w:trPr>
          <w:trHeight w:val="20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RealPage, Inc.</w:t>
            </w:r>
            <w:r>
              <w:rPr>
                <w:rFonts w:ascii="Arial" w:cs="Arial" w:eastAsia="Arial" w:hAnsi="Arial"/>
                <w:sz w:val="16"/>
                <w:szCs w:val="16"/>
                <w:color w:val="auto"/>
              </w:rPr>
              <w:t>, an American multinational software company focused on</w:t>
            </w:r>
          </w:p>
        </w:tc>
        <w:tc>
          <w:tcPr>
            <w:tcW w:w="280" w:type="dxa"/>
            <w:vAlign w:val="bottom"/>
          </w:tcPr>
          <w:p>
            <w:pPr>
              <w:spacing w:after="0"/>
              <w:rPr>
                <w:sz w:val="17"/>
                <w:szCs w:val="17"/>
                <w:color w:val="auto"/>
              </w:rPr>
            </w:pPr>
          </w:p>
        </w:tc>
        <w:tc>
          <w:tcPr>
            <w:tcW w:w="5320" w:type="dxa"/>
            <w:vAlign w:val="bottom"/>
          </w:tcPr>
          <w:p>
            <w:pPr>
              <w:ind w:left="60"/>
              <w:spacing w:after="0"/>
              <w:rPr>
                <w:sz w:val="20"/>
                <w:szCs w:val="20"/>
                <w:color w:val="auto"/>
              </w:rPr>
            </w:pPr>
            <w:r>
              <w:rPr>
                <w:rFonts w:ascii="Arial" w:cs="Arial" w:eastAsia="Arial" w:hAnsi="Arial"/>
                <w:sz w:val="16"/>
                <w:szCs w:val="16"/>
                <w:color w:val="auto"/>
              </w:rPr>
              <w:t>2010-Mar 2012)</w:t>
            </w:r>
          </w:p>
        </w:tc>
        <w:tc>
          <w:tcPr>
            <w:tcW w:w="20" w:type="dxa"/>
            <w:vAlign w:val="bottom"/>
            <w:shd w:val="clear" w:color="auto" w:fill="00497F"/>
          </w:tcPr>
          <w:p>
            <w:pPr>
              <w:spacing w:after="0"/>
              <w:rPr>
                <w:sz w:val="17"/>
                <w:szCs w:val="17"/>
                <w:color w:val="auto"/>
              </w:rPr>
            </w:pPr>
          </w:p>
        </w:tc>
      </w:tr>
      <w:tr>
        <w:trPr>
          <w:trHeight w:val="188"/>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auto"/>
              </w:rPr>
              <w:t>property management solutions:</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Chief Operating Officer KFC &amp; Pizza Hut India (Sept 2007-Jun 2010)</w:t>
            </w:r>
          </w:p>
        </w:tc>
        <w:tc>
          <w:tcPr>
            <w:tcW w:w="20" w:type="dxa"/>
            <w:vAlign w:val="bottom"/>
            <w:shd w:val="clear" w:color="auto" w:fill="00497F"/>
          </w:tcPr>
          <w:p>
            <w:pPr>
              <w:spacing w:after="0"/>
              <w:rPr>
                <w:sz w:val="16"/>
                <w:szCs w:val="16"/>
                <w:color w:val="auto"/>
              </w:rPr>
            </w:pPr>
          </w:p>
        </w:tc>
      </w:tr>
      <w:tr>
        <w:trPr>
          <w:trHeight w:val="188"/>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SVP (2011-2014)</w:t>
            </w:r>
          </w:p>
        </w:tc>
        <w:tc>
          <w:tcPr>
            <w:tcW w:w="280" w:type="dxa"/>
            <w:vAlign w:val="bottom"/>
          </w:tcPr>
          <w:p>
            <w:pPr>
              <w:ind w:left="180"/>
              <w:spacing w:after="0"/>
              <w:rPr>
                <w:sz w:val="20"/>
                <w:szCs w:val="20"/>
                <w:color w:val="auto"/>
              </w:rPr>
            </w:pPr>
            <w:r>
              <w:rPr>
                <w:rFonts w:ascii="Arial" w:cs="Arial" w:eastAsia="Arial" w:hAnsi="Arial"/>
                <w:sz w:val="16"/>
                <w:szCs w:val="16"/>
                <w:color w:val="auto"/>
              </w:rPr>
              <w:t>•</w:t>
            </w:r>
          </w:p>
        </w:tc>
        <w:tc>
          <w:tcPr>
            <w:tcW w:w="5320" w:type="dxa"/>
            <w:vAlign w:val="bottom"/>
          </w:tcPr>
          <w:p>
            <w:pPr>
              <w:ind w:left="40"/>
              <w:spacing w:after="0"/>
              <w:rPr>
                <w:sz w:val="20"/>
                <w:szCs w:val="20"/>
                <w:color w:val="auto"/>
              </w:rPr>
            </w:pPr>
            <w:r>
              <w:rPr>
                <w:rFonts w:ascii="Arial" w:cs="Arial" w:eastAsia="Arial" w:hAnsi="Arial"/>
                <w:sz w:val="16"/>
                <w:szCs w:val="16"/>
                <w:color w:val="auto"/>
              </w:rPr>
              <w:t>Director of Operations (Mar 2006-Aug 2007)</w:t>
            </w:r>
          </w:p>
        </w:tc>
        <w:tc>
          <w:tcPr>
            <w:tcW w:w="20" w:type="dxa"/>
            <w:vAlign w:val="bottom"/>
            <w:shd w:val="clear" w:color="auto" w:fill="00497F"/>
          </w:tcPr>
          <w:p>
            <w:pPr>
              <w:spacing w:after="0"/>
              <w:rPr>
                <w:sz w:val="16"/>
                <w:szCs w:val="16"/>
                <w:color w:val="auto"/>
              </w:rPr>
            </w:pPr>
          </w:p>
        </w:tc>
      </w:tr>
      <w:tr>
        <w:trPr>
          <w:trHeight w:val="20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J.C. Penney Corporation, Inc</w:t>
            </w:r>
            <w:r>
              <w:rPr>
                <w:rFonts w:ascii="Arial" w:cs="Arial" w:eastAsia="Arial" w:hAnsi="Arial"/>
                <w:sz w:val="16"/>
                <w:szCs w:val="16"/>
                <w:color w:val="auto"/>
              </w:rPr>
              <w:t>., a retail department store:</w:t>
            </w:r>
          </w:p>
        </w:tc>
        <w:tc>
          <w:tcPr>
            <w:tcW w:w="28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0" w:type="dxa"/>
            <w:vAlign w:val="bottom"/>
            <w:shd w:val="clear" w:color="auto" w:fill="00497F"/>
          </w:tcPr>
          <w:p>
            <w:pPr>
              <w:spacing w:after="0"/>
              <w:rPr>
                <w:sz w:val="17"/>
                <w:szCs w:val="17"/>
                <w:color w:val="auto"/>
              </w:rPr>
            </w:pPr>
          </w:p>
        </w:tc>
      </w:tr>
      <w:tr>
        <w:trPr>
          <w:trHeight w:val="214"/>
        </w:trPr>
        <w:tc>
          <w:tcPr>
            <w:tcW w:w="5640" w:type="dxa"/>
            <w:vAlign w:val="bottom"/>
            <w:tcBorders>
              <w:left w:val="single" w:sz="8" w:color="00497F"/>
              <w:right w:val="single" w:sz="8" w:color="00497F"/>
            </w:tcBorders>
          </w:tcPr>
          <w:p>
            <w:pPr>
              <w:ind w:left="20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Various technology related positions (2000-2011)</w:t>
            </w: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shd w:val="clear" w:color="auto" w:fill="00497F"/>
          </w:tcPr>
          <w:p>
            <w:pPr>
              <w:spacing w:after="0"/>
              <w:rPr>
                <w:sz w:val="18"/>
                <w:szCs w:val="18"/>
                <w:color w:val="auto"/>
              </w:rPr>
            </w:pPr>
          </w:p>
        </w:tc>
      </w:tr>
      <w:tr>
        <w:trPr>
          <w:trHeight w:val="485"/>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i w:val="1"/>
                <w:iCs w:val="1"/>
                <w:color w:val="auto"/>
              </w:rPr>
              <w:t>Education:</w:t>
            </w:r>
          </w:p>
        </w:tc>
        <w:tc>
          <w:tcPr>
            <w:tcW w:w="5600" w:type="dxa"/>
            <w:vAlign w:val="bottom"/>
            <w:gridSpan w:val="2"/>
          </w:tcPr>
          <w:p>
            <w:pPr>
              <w:ind w:left="20"/>
              <w:spacing w:after="0"/>
              <w:rPr>
                <w:sz w:val="20"/>
                <w:szCs w:val="20"/>
                <w:color w:val="auto"/>
              </w:rPr>
            </w:pPr>
            <w:r>
              <w:rPr>
                <w:rFonts w:ascii="Arial" w:cs="Arial" w:eastAsia="Arial" w:hAnsi="Arial"/>
                <w:sz w:val="16"/>
                <w:szCs w:val="16"/>
                <w:color w:val="auto"/>
              </w:rPr>
              <w:t>Education:</w:t>
            </w:r>
          </w:p>
        </w:tc>
        <w:tc>
          <w:tcPr>
            <w:tcW w:w="20" w:type="dxa"/>
            <w:vAlign w:val="bottom"/>
            <w:shd w:val="clear" w:color="auto" w:fill="00497F"/>
          </w:tcPr>
          <w:p>
            <w:pPr>
              <w:spacing w:after="0"/>
              <w:rPr>
                <w:sz w:val="24"/>
                <w:szCs w:val="24"/>
                <w:color w:val="auto"/>
              </w:rPr>
            </w:pPr>
          </w:p>
        </w:tc>
      </w:tr>
      <w:tr>
        <w:trPr>
          <w:trHeight w:val="20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6"/>
                <w:szCs w:val="16"/>
                <w:color w:val="auto"/>
              </w:rPr>
              <w:t>– BAAS, Public Affairs and Community Service, Univ. of North Texas</w:t>
            </w:r>
          </w:p>
        </w:tc>
        <w:tc>
          <w:tcPr>
            <w:tcW w:w="5600" w:type="dxa"/>
            <w:vAlign w:val="bottom"/>
            <w:gridSpan w:val="2"/>
          </w:tcPr>
          <w:p>
            <w:pPr>
              <w:ind w:left="20"/>
              <w:spacing w:after="0"/>
              <w:rPr>
                <w:sz w:val="20"/>
                <w:szCs w:val="20"/>
                <w:color w:val="auto"/>
              </w:rPr>
            </w:pPr>
            <w:r>
              <w:rPr>
                <w:rFonts w:ascii="Arial" w:cs="Arial" w:eastAsia="Arial" w:hAnsi="Arial"/>
                <w:sz w:val="16"/>
                <w:szCs w:val="16"/>
                <w:color w:val="auto"/>
              </w:rPr>
              <w:t>– EDP, General Management, The Wharton School</w:t>
            </w:r>
          </w:p>
        </w:tc>
        <w:tc>
          <w:tcPr>
            <w:tcW w:w="20" w:type="dxa"/>
            <w:vAlign w:val="bottom"/>
            <w:shd w:val="clear" w:color="auto" w:fill="00497F"/>
          </w:tcPr>
          <w:p>
            <w:pPr>
              <w:spacing w:after="0"/>
              <w:rPr>
                <w:sz w:val="17"/>
                <w:szCs w:val="17"/>
                <w:color w:val="auto"/>
              </w:rPr>
            </w:pPr>
          </w:p>
        </w:tc>
      </w:tr>
      <w:tr>
        <w:trPr>
          <w:trHeight w:val="214"/>
        </w:trPr>
        <w:tc>
          <w:tcPr>
            <w:tcW w:w="5640" w:type="dxa"/>
            <w:vAlign w:val="bottom"/>
            <w:tcBorders>
              <w:left w:val="single" w:sz="8" w:color="00497F"/>
              <w:right w:val="single" w:sz="8" w:color="00497F"/>
            </w:tcBorders>
          </w:tcPr>
          <w:p>
            <w:pPr>
              <w:spacing w:after="0"/>
              <w:rPr>
                <w:sz w:val="18"/>
                <w:szCs w:val="18"/>
                <w:color w:val="auto"/>
              </w:rPr>
            </w:pPr>
          </w:p>
        </w:tc>
        <w:tc>
          <w:tcPr>
            <w:tcW w:w="5600" w:type="dxa"/>
            <w:vAlign w:val="bottom"/>
            <w:gridSpan w:val="2"/>
          </w:tcPr>
          <w:p>
            <w:pPr>
              <w:ind w:left="20"/>
              <w:spacing w:after="0"/>
              <w:rPr>
                <w:sz w:val="20"/>
                <w:szCs w:val="20"/>
                <w:color w:val="auto"/>
              </w:rPr>
            </w:pPr>
            <w:r>
              <w:rPr>
                <w:rFonts w:ascii="Arial" w:cs="Arial" w:eastAsia="Arial" w:hAnsi="Arial"/>
                <w:sz w:val="16"/>
                <w:szCs w:val="16"/>
                <w:color w:val="auto"/>
              </w:rPr>
              <w:t>– BCOM, Commerce, Accountancy, Shri Ram College of Commerce</w:t>
            </w:r>
          </w:p>
        </w:tc>
        <w:tc>
          <w:tcPr>
            <w:tcW w:w="20" w:type="dxa"/>
            <w:vAlign w:val="bottom"/>
            <w:shd w:val="clear" w:color="auto" w:fill="00497F"/>
          </w:tcPr>
          <w:p>
            <w:pPr>
              <w:spacing w:after="0"/>
              <w:rPr>
                <w:sz w:val="18"/>
                <w:szCs w:val="18"/>
                <w:color w:val="auto"/>
              </w:rPr>
            </w:pPr>
          </w:p>
        </w:tc>
      </w:tr>
      <w:tr>
        <w:trPr>
          <w:trHeight w:val="222"/>
        </w:trPr>
        <w:tc>
          <w:tcPr>
            <w:tcW w:w="5640" w:type="dxa"/>
            <w:vAlign w:val="bottom"/>
            <w:tcBorders>
              <w:left w:val="single" w:sz="8" w:color="00497F"/>
              <w:right w:val="single" w:sz="8" w:color="00497F"/>
            </w:tcBorders>
          </w:tcPr>
          <w:p>
            <w:pPr>
              <w:ind w:left="40"/>
              <w:spacing w:after="0"/>
              <w:rPr>
                <w:sz w:val="20"/>
                <w:szCs w:val="20"/>
                <w:color w:val="auto"/>
              </w:rPr>
            </w:pPr>
            <w:r>
              <w:rPr>
                <w:rFonts w:ascii="Arial" w:cs="Arial" w:eastAsia="Arial" w:hAnsi="Arial"/>
                <w:sz w:val="14"/>
                <w:szCs w:val="14"/>
                <w:color w:val="auto"/>
              </w:rPr>
              <w:t>*Mr. Klohn has resigned from the Company, effective June 7, 2026.</w:t>
            </w: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 w:type="dxa"/>
            <w:vAlign w:val="bottom"/>
            <w:shd w:val="clear" w:color="auto" w:fill="00497F"/>
          </w:tcPr>
          <w:p>
            <w:pPr>
              <w:spacing w:after="0"/>
              <w:rPr>
                <w:sz w:val="19"/>
                <w:szCs w:val="19"/>
                <w:color w:val="auto"/>
              </w:rPr>
            </w:pPr>
          </w:p>
        </w:tc>
      </w:tr>
      <w:tr>
        <w:trPr>
          <w:trHeight w:val="21"/>
        </w:trPr>
        <w:tc>
          <w:tcPr>
            <w:tcW w:w="5640" w:type="dxa"/>
            <w:vAlign w:val="bottom"/>
            <w:tcBorders>
              <w:left w:val="single" w:sz="8" w:color="00497F"/>
              <w:bottom w:val="single" w:sz="8" w:color="00497F"/>
              <w:right w:val="single" w:sz="8" w:color="00497F"/>
            </w:tcBorders>
          </w:tcPr>
          <w:p>
            <w:pPr>
              <w:spacing w:after="0" w:line="20" w:lineRule="exact"/>
              <w:rPr>
                <w:sz w:val="1"/>
                <w:szCs w:val="1"/>
                <w:color w:val="auto"/>
              </w:rPr>
            </w:pPr>
          </w:p>
        </w:tc>
        <w:tc>
          <w:tcPr>
            <w:tcW w:w="280" w:type="dxa"/>
            <w:vAlign w:val="bottom"/>
            <w:tcBorders>
              <w:bottom w:val="single" w:sz="8" w:color="00497F"/>
            </w:tcBorders>
          </w:tcPr>
          <w:p>
            <w:pPr>
              <w:spacing w:after="0" w:line="20" w:lineRule="exact"/>
              <w:rPr>
                <w:sz w:val="1"/>
                <w:szCs w:val="1"/>
                <w:color w:val="auto"/>
              </w:rPr>
            </w:pPr>
          </w:p>
        </w:tc>
        <w:tc>
          <w:tcPr>
            <w:tcW w:w="5320" w:type="dxa"/>
            <w:vAlign w:val="bottom"/>
            <w:tcBorders>
              <w:bottom w:val="single" w:sz="8" w:color="00497F"/>
            </w:tcBorders>
          </w:tcPr>
          <w:p>
            <w:pPr>
              <w:spacing w:after="0" w:line="20" w:lineRule="exact"/>
              <w:rPr>
                <w:sz w:val="1"/>
                <w:szCs w:val="1"/>
                <w:color w:val="auto"/>
              </w:rPr>
            </w:pPr>
          </w:p>
        </w:tc>
        <w:tc>
          <w:tcPr>
            <w:tcW w:w="20" w:type="dxa"/>
            <w:vAlign w:val="bottom"/>
            <w:tcBorders>
              <w:bottom w:val="single" w:sz="8" w:color="00497F"/>
            </w:tcBorders>
            <w:shd w:val="clear" w:color="auto" w:fill="00497F"/>
          </w:tcPr>
          <w:p>
            <w:pPr>
              <w:spacing w:after="0" w:line="20" w:lineRule="exact"/>
              <w:rPr>
                <w:sz w:val="1"/>
                <w:szCs w:val="1"/>
                <w:color w:val="auto"/>
              </w:rPr>
            </w:pPr>
          </w:p>
        </w:tc>
      </w:tr>
      <w:tr>
        <w:trPr>
          <w:trHeight w:val="289"/>
        </w:trPr>
        <w:tc>
          <w:tcPr>
            <w:tcW w:w="5640" w:type="dxa"/>
            <w:vAlign w:val="bottom"/>
            <w:tcBorders>
              <w:bottom w:val="single" w:sz="8" w:color="00497F"/>
            </w:tcBorders>
          </w:tcPr>
          <w:p>
            <w:pPr>
              <w:spacing w:after="0"/>
              <w:rPr>
                <w:sz w:val="24"/>
                <w:szCs w:val="24"/>
                <w:color w:val="auto"/>
              </w:rPr>
            </w:pPr>
          </w:p>
        </w:tc>
        <w:tc>
          <w:tcPr>
            <w:tcW w:w="280" w:type="dxa"/>
            <w:vAlign w:val="bottom"/>
            <w:tcBorders>
              <w:bottom w:val="single" w:sz="8" w:color="00497F"/>
            </w:tcBorders>
          </w:tcPr>
          <w:p>
            <w:pPr>
              <w:spacing w:after="0"/>
              <w:rPr>
                <w:sz w:val="24"/>
                <w:szCs w:val="24"/>
                <w:color w:val="auto"/>
              </w:rPr>
            </w:pPr>
          </w:p>
        </w:tc>
        <w:tc>
          <w:tcPr>
            <w:tcW w:w="5320" w:type="dxa"/>
            <w:vAlign w:val="bottom"/>
            <w:tcBorders>
              <w:bottom w:val="single" w:sz="8" w:color="00497F"/>
            </w:tcBorders>
          </w:tcPr>
          <w:p>
            <w:pPr>
              <w:spacing w:after="0"/>
              <w:rPr>
                <w:sz w:val="24"/>
                <w:szCs w:val="24"/>
                <w:color w:val="auto"/>
              </w:rPr>
            </w:pPr>
          </w:p>
        </w:tc>
        <w:tc>
          <w:tcPr>
            <w:tcW w:w="20" w:type="dxa"/>
            <w:vAlign w:val="bottom"/>
            <w:tcBorders>
              <w:bottom w:val="single" w:sz="8" w:color="00497F"/>
            </w:tcBorders>
          </w:tcPr>
          <w:p>
            <w:pPr>
              <w:spacing w:after="0"/>
              <w:rPr>
                <w:sz w:val="24"/>
                <w:szCs w:val="24"/>
                <w:color w:val="auto"/>
              </w:rPr>
            </w:pPr>
          </w:p>
        </w:tc>
      </w:tr>
      <w:tr>
        <w:trPr>
          <w:trHeight w:val="235"/>
        </w:trPr>
        <w:tc>
          <w:tcPr>
            <w:tcW w:w="5640" w:type="dxa"/>
            <w:vAlign w:val="bottom"/>
            <w:tcBorders>
              <w:left w:val="single" w:sz="8" w:color="003B71"/>
              <w:right w:val="single" w:sz="8" w:color="003B71"/>
            </w:tcBorders>
            <w:shd w:val="clear" w:color="auto" w:fill="003B71"/>
          </w:tcPr>
          <w:p>
            <w:pPr>
              <w:ind w:left="40"/>
              <w:spacing w:after="0"/>
              <w:rPr>
                <w:sz w:val="20"/>
                <w:szCs w:val="20"/>
                <w:color w:val="auto"/>
              </w:rPr>
            </w:pPr>
            <w:r>
              <w:rPr>
                <w:rFonts w:ascii="Arial" w:cs="Arial" w:eastAsia="Arial" w:hAnsi="Arial"/>
                <w:sz w:val="16"/>
                <w:szCs w:val="16"/>
                <w:b w:val="1"/>
                <w:bCs w:val="1"/>
                <w:color w:val="FFFFFF"/>
              </w:rPr>
              <w:t>Les Lehner</w:t>
            </w:r>
          </w:p>
        </w:tc>
        <w:tc>
          <w:tcPr>
            <w:tcW w:w="280" w:type="dxa"/>
            <w:vAlign w:val="bottom"/>
            <w:shd w:val="clear" w:color="auto" w:fill="003B71"/>
          </w:tcPr>
          <w:p>
            <w:pPr>
              <w:spacing w:after="0"/>
              <w:rPr>
                <w:sz w:val="20"/>
                <w:szCs w:val="20"/>
                <w:color w:val="auto"/>
              </w:rPr>
            </w:pPr>
          </w:p>
        </w:tc>
        <w:tc>
          <w:tcPr>
            <w:tcW w:w="5320" w:type="dxa"/>
            <w:vAlign w:val="bottom"/>
            <w:shd w:val="clear" w:color="auto" w:fill="003B71"/>
          </w:tcPr>
          <w:p>
            <w:pPr>
              <w:spacing w:after="0"/>
              <w:rPr>
                <w:sz w:val="20"/>
                <w:szCs w:val="20"/>
                <w:color w:val="auto"/>
              </w:rPr>
            </w:pPr>
          </w:p>
        </w:tc>
        <w:tc>
          <w:tcPr>
            <w:tcW w:w="20" w:type="dxa"/>
            <w:vAlign w:val="bottom"/>
          </w:tcPr>
          <w:p>
            <w:pPr>
              <w:spacing w:after="0"/>
              <w:rPr>
                <w:sz w:val="20"/>
                <w:szCs w:val="20"/>
                <w:color w:val="auto"/>
              </w:rPr>
            </w:pPr>
          </w:p>
        </w:tc>
      </w:tr>
      <w:tr>
        <w:trPr>
          <w:trHeight w:val="227"/>
        </w:trPr>
        <w:tc>
          <w:tcPr>
            <w:tcW w:w="5640" w:type="dxa"/>
            <w:vAlign w:val="bottom"/>
          </w:tcPr>
          <w:p>
            <w:pPr>
              <w:ind w:left="40"/>
              <w:spacing w:after="0"/>
              <w:rPr>
                <w:sz w:val="20"/>
                <w:szCs w:val="20"/>
                <w:color w:val="auto"/>
              </w:rPr>
            </w:pPr>
            <w:r>
              <w:rPr>
                <w:rFonts w:ascii="Arial" w:cs="Arial" w:eastAsia="Arial" w:hAnsi="Arial"/>
                <w:sz w:val="16"/>
                <w:szCs w:val="16"/>
                <w:color w:val="auto"/>
              </w:rPr>
              <w:t>Dave &amp; Buster’s Since: 2022</w:t>
            </w: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5640" w:type="dxa"/>
            <w:vAlign w:val="bottom"/>
          </w:tcPr>
          <w:p>
            <w:pPr>
              <w:ind w:left="40"/>
              <w:spacing w:after="0"/>
              <w:rPr>
                <w:sz w:val="20"/>
                <w:szCs w:val="20"/>
                <w:color w:val="auto"/>
              </w:rPr>
            </w:pPr>
            <w:r>
              <w:rPr>
                <w:rFonts w:ascii="Arial" w:cs="Arial" w:eastAsia="Arial" w:hAnsi="Arial"/>
                <w:sz w:val="16"/>
                <w:szCs w:val="16"/>
                <w:color w:val="auto"/>
              </w:rPr>
              <w:t>Age: 54</w:t>
            </w:r>
          </w:p>
        </w:tc>
        <w:tc>
          <w:tcPr>
            <w:tcW w:w="2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40" w:type="dxa"/>
            <w:vAlign w:val="bottom"/>
          </w:tcPr>
          <w:p>
            <w:pPr>
              <w:ind w:left="4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26 yrs</w:t>
            </w:r>
          </w:p>
        </w:tc>
        <w:tc>
          <w:tcPr>
            <w:tcW w:w="2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5640" w:type="dxa"/>
            <w:vAlign w:val="bottom"/>
          </w:tcPr>
          <w:p>
            <w:pPr>
              <w:ind w:left="4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21 yrs</w:t>
            </w:r>
          </w:p>
        </w:tc>
        <w:tc>
          <w:tcPr>
            <w:tcW w:w="2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-766445</wp:posOffset>
            </wp:positionV>
            <wp:extent cx="7141210" cy="26447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210" cy="264477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Current Position:</w:t>
      </w:r>
    </w:p>
    <w:p>
      <w:pPr>
        <w:spacing w:after="0" w:line="56" w:lineRule="exact"/>
        <w:rPr>
          <w:sz w:val="20"/>
          <w:szCs w:val="20"/>
          <w:color w:val="auto"/>
        </w:rPr>
      </w:pPr>
    </w:p>
    <w:p>
      <w:pPr>
        <w:ind w:left="200" w:right="140" w:hanging="161"/>
        <w:spacing w:after="0" w:line="284" w:lineRule="auto"/>
        <w:rPr>
          <w:sz w:val="20"/>
          <w:szCs w:val="20"/>
          <w:color w:val="auto"/>
        </w:rPr>
      </w:pPr>
      <w:r>
        <w:rPr>
          <w:rFonts w:ascii="Arial" w:cs="Arial" w:eastAsia="Arial" w:hAnsi="Arial"/>
          <w:sz w:val="16"/>
          <w:szCs w:val="16"/>
          <w:color w:val="auto"/>
        </w:rPr>
        <w:t>– Chief Development and Procurement Officer since July 2025; previously Chief Procurement Officer and Head of Main Event Development from July 2022 to July 2025</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Prior Business Experience: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Main Event Entertainment, Inc</w:t>
      </w:r>
      <w:r>
        <w:rPr>
          <w:rFonts w:ascii="Arial" w:cs="Arial" w:eastAsia="Arial" w:hAnsi="Arial"/>
          <w:sz w:val="16"/>
          <w:szCs w:val="16"/>
          <w:color w:val="auto"/>
        </w:rPr>
        <w:t>.:</w:t>
      </w:r>
    </w:p>
    <w:p>
      <w:pPr>
        <w:spacing w:after="0" w:line="20" w:lineRule="exact"/>
        <w:rPr>
          <w:sz w:val="20"/>
          <w:szCs w:val="20"/>
          <w:color w:val="auto"/>
        </w:rPr>
      </w:pPr>
    </w:p>
    <w:p>
      <w:pPr>
        <w:ind w:left="360" w:hanging="160"/>
        <w:spacing w:after="0"/>
        <w:tabs>
          <w:tab w:leader="none" w:pos="360" w:val="left"/>
        </w:tabs>
        <w:numPr>
          <w:ilvl w:val="1"/>
          <w:numId w:val="57"/>
        </w:numPr>
        <w:rPr>
          <w:rFonts w:ascii="Arial" w:cs="Arial" w:eastAsia="Arial" w:hAnsi="Arial"/>
          <w:sz w:val="16"/>
          <w:szCs w:val="16"/>
          <w:color w:val="003B71"/>
        </w:rPr>
      </w:pPr>
      <w:r>
        <w:rPr>
          <w:rFonts w:ascii="Arial" w:cs="Arial" w:eastAsia="Arial" w:hAnsi="Arial"/>
          <w:sz w:val="16"/>
          <w:szCs w:val="16"/>
          <w:color w:val="auto"/>
        </w:rPr>
        <w:t> EVP, Chief Development and Procurement Officer (Apr 2018-July 2022)</w:t>
      </w:r>
    </w:p>
    <w:p>
      <w:pPr>
        <w:spacing w:after="0" w:line="13" w:lineRule="exact"/>
        <w:rPr>
          <w:rFonts w:ascii="Arial" w:cs="Arial" w:eastAsia="Arial" w:hAnsi="Arial"/>
          <w:sz w:val="16"/>
          <w:szCs w:val="16"/>
          <w:color w:val="003B71"/>
        </w:rPr>
      </w:pPr>
    </w:p>
    <w:p>
      <w:pPr>
        <w:ind w:left="4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Red Robin Gourmet Burgers, Inc.</w:t>
      </w:r>
      <w:r>
        <w:rPr>
          <w:rFonts w:ascii="Arial" w:cs="Arial" w:eastAsia="Arial" w:hAnsi="Arial"/>
          <w:sz w:val="16"/>
          <w:szCs w:val="16"/>
          <w:color w:val="auto"/>
        </w:rPr>
        <w:t>, an American casual dining chain:</w:t>
      </w:r>
    </w:p>
    <w:p>
      <w:pPr>
        <w:spacing w:after="0" w:line="7" w:lineRule="exact"/>
        <w:rPr>
          <w:rFonts w:ascii="Arial" w:cs="Arial" w:eastAsia="Arial" w:hAnsi="Arial"/>
          <w:sz w:val="16"/>
          <w:szCs w:val="16"/>
          <w:color w:val="003B71"/>
        </w:rPr>
      </w:pPr>
    </w:p>
    <w:p>
      <w:pPr>
        <w:ind w:left="360" w:hanging="160"/>
        <w:spacing w:after="0"/>
        <w:tabs>
          <w:tab w:leader="none" w:pos="360" w:val="left"/>
        </w:tabs>
        <w:numPr>
          <w:ilvl w:val="1"/>
          <w:numId w:val="57"/>
        </w:numPr>
        <w:rPr>
          <w:rFonts w:ascii="Arial" w:cs="Arial" w:eastAsia="Arial" w:hAnsi="Arial"/>
          <w:sz w:val="16"/>
          <w:szCs w:val="16"/>
          <w:color w:val="003B71"/>
        </w:rPr>
      </w:pPr>
      <w:r>
        <w:rPr>
          <w:rFonts w:ascii="Arial" w:cs="Arial" w:eastAsia="Arial" w:hAnsi="Arial"/>
          <w:sz w:val="16"/>
          <w:szCs w:val="16"/>
          <w:color w:val="auto"/>
        </w:rPr>
        <w:t> SVP, Chief Development and Procurement Officer (2015-2018)</w:t>
      </w:r>
    </w:p>
    <w:p>
      <w:pPr>
        <w:spacing w:after="0" w:line="13" w:lineRule="exact"/>
        <w:rPr>
          <w:rFonts w:ascii="Arial" w:cs="Arial" w:eastAsia="Arial" w:hAnsi="Arial"/>
          <w:sz w:val="16"/>
          <w:szCs w:val="16"/>
          <w:color w:val="003B71"/>
        </w:rPr>
      </w:pPr>
    </w:p>
    <w:p>
      <w:pPr>
        <w:ind w:left="40"/>
        <w:spacing w:after="0"/>
        <w:rPr>
          <w:rFonts w:ascii="Arial" w:cs="Arial" w:eastAsia="Arial" w:hAnsi="Arial"/>
          <w:sz w:val="16"/>
          <w:szCs w:val="16"/>
          <w:color w:val="003B71"/>
        </w:rPr>
      </w:pPr>
      <w:r>
        <w:rPr>
          <w:rFonts w:ascii="Arial" w:cs="Arial" w:eastAsia="Arial" w:hAnsi="Arial"/>
          <w:sz w:val="16"/>
          <w:szCs w:val="16"/>
          <w:color w:val="auto"/>
        </w:rPr>
        <w:t xml:space="preserve">– </w:t>
      </w:r>
      <w:r>
        <w:rPr>
          <w:rFonts w:ascii="Arial" w:cs="Arial" w:eastAsia="Arial" w:hAnsi="Arial"/>
          <w:sz w:val="16"/>
          <w:szCs w:val="16"/>
          <w:i w:val="1"/>
          <w:iCs w:val="1"/>
          <w:color w:val="auto"/>
        </w:rPr>
        <w:t>CEC Entertainment, Inc.,</w:t>
      </w:r>
      <w:r>
        <w:rPr>
          <w:rFonts w:ascii="Arial" w:cs="Arial" w:eastAsia="Arial" w:hAnsi="Arial"/>
          <w:sz w:val="16"/>
          <w:szCs w:val="16"/>
          <w:color w:val="auto"/>
        </w:rPr>
        <w:t xml:space="preserve"> a dining and family entertainment enterprise:</w:t>
      </w:r>
    </w:p>
    <w:p>
      <w:pPr>
        <w:spacing w:after="0" w:line="7" w:lineRule="exact"/>
        <w:rPr>
          <w:rFonts w:ascii="Arial" w:cs="Arial" w:eastAsia="Arial" w:hAnsi="Arial"/>
          <w:sz w:val="16"/>
          <w:szCs w:val="16"/>
          <w:color w:val="003B71"/>
        </w:rPr>
      </w:pPr>
    </w:p>
    <w:p>
      <w:pPr>
        <w:ind w:left="360" w:hanging="160"/>
        <w:spacing w:after="0"/>
        <w:tabs>
          <w:tab w:leader="none" w:pos="360" w:val="left"/>
        </w:tabs>
        <w:numPr>
          <w:ilvl w:val="1"/>
          <w:numId w:val="57"/>
        </w:numPr>
        <w:rPr>
          <w:rFonts w:ascii="Arial" w:cs="Arial" w:eastAsia="Arial" w:hAnsi="Arial"/>
          <w:sz w:val="16"/>
          <w:szCs w:val="16"/>
          <w:color w:val="003B71"/>
        </w:rPr>
      </w:pPr>
      <w:r>
        <w:rPr>
          <w:rFonts w:ascii="Arial" w:cs="Arial" w:eastAsia="Arial" w:hAnsi="Arial"/>
          <w:sz w:val="16"/>
          <w:szCs w:val="16"/>
          <w:color w:val="auto"/>
        </w:rPr>
        <w:t>Various positions, including SVP, Development and Procurement (2000-2015)</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Education: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BAA Finance, Angelo State University</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MBA Finance, University of North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652145</wp:posOffset>
            </wp:positionV>
            <wp:extent cx="71329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23</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88" w:right="3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2"/>
        </w:trPr>
        <w:tc>
          <w:tcPr>
            <w:tcW w:w="5620" w:type="dxa"/>
            <w:vAlign w:val="bottom"/>
            <w:shd w:val="clear" w:color="auto" w:fill="003B71"/>
          </w:tcPr>
          <w:p>
            <w:pPr>
              <w:ind w:left="40"/>
              <w:spacing w:after="0"/>
              <w:rPr>
                <w:sz w:val="20"/>
                <w:szCs w:val="20"/>
                <w:color w:val="auto"/>
              </w:rPr>
            </w:pPr>
            <w:r>
              <w:rPr>
                <w:rFonts w:ascii="Arial" w:cs="Arial" w:eastAsia="Arial" w:hAnsi="Arial"/>
                <w:sz w:val="16"/>
                <w:szCs w:val="16"/>
                <w:b w:val="1"/>
                <w:bCs w:val="1"/>
                <w:color w:val="FFFFFF"/>
              </w:rPr>
              <w:t>Rodolfo Rodriguez, Jr.</w:t>
            </w:r>
          </w:p>
        </w:tc>
        <w:tc>
          <w:tcPr>
            <w:tcW w:w="5620" w:type="dxa"/>
            <w:vAlign w:val="bottom"/>
            <w:tcBorders>
              <w:bottom w:val="single" w:sz="8" w:color="00497F"/>
            </w:tcBorders>
            <w:shd w:val="clear" w:color="auto" w:fill="003B71"/>
          </w:tcPr>
          <w:p>
            <w:pPr>
              <w:ind w:left="40"/>
              <w:spacing w:after="0"/>
              <w:rPr>
                <w:sz w:val="20"/>
                <w:szCs w:val="20"/>
                <w:color w:val="auto"/>
              </w:rPr>
            </w:pPr>
            <w:r>
              <w:rPr>
                <w:rFonts w:ascii="Arial" w:cs="Arial" w:eastAsia="Arial" w:hAnsi="Arial"/>
                <w:sz w:val="16"/>
                <w:szCs w:val="16"/>
                <w:b w:val="1"/>
                <w:bCs w:val="1"/>
                <w:color w:val="FFFFFF"/>
              </w:rPr>
              <w:t>Tony Wehner</w:t>
            </w:r>
          </w:p>
        </w:tc>
        <w:tc>
          <w:tcPr>
            <w:tcW w:w="20" w:type="dxa"/>
            <w:vAlign w:val="bottom"/>
            <w:tcBorders>
              <w:bottom w:val="single" w:sz="8" w:color="00497F"/>
            </w:tcBorders>
          </w:tcPr>
          <w:p>
            <w:pPr>
              <w:spacing w:after="0"/>
              <w:rPr>
                <w:sz w:val="21"/>
                <w:szCs w:val="2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Dave &amp; Buster's Since: 2025</w:t>
            </w:r>
          </w:p>
        </w:tc>
        <w:tc>
          <w:tcPr>
            <w:tcW w:w="5620" w:type="dxa"/>
            <w:vAlign w:val="bottom"/>
          </w:tcPr>
          <w:p>
            <w:pPr>
              <w:ind w:left="40"/>
              <w:spacing w:after="0"/>
              <w:rPr>
                <w:sz w:val="20"/>
                <w:szCs w:val="20"/>
                <w:color w:val="auto"/>
              </w:rPr>
            </w:pPr>
            <w:r>
              <w:rPr>
                <w:rFonts w:ascii="Arial" w:cs="Arial" w:eastAsia="Arial" w:hAnsi="Arial"/>
                <w:sz w:val="16"/>
                <w:szCs w:val="16"/>
                <w:color w:val="auto"/>
              </w:rPr>
              <w:t>Dave &amp; Buster’s Since: 2022</w:t>
            </w:r>
          </w:p>
        </w:tc>
        <w:tc>
          <w:tcPr>
            <w:tcW w:w="20" w:type="dxa"/>
            <w:vAlign w:val="bottom"/>
          </w:tcPr>
          <w:p>
            <w:pPr>
              <w:spacing w:after="0"/>
              <w:rPr>
                <w:sz w:val="19"/>
                <w:szCs w:val="19"/>
                <w:color w:val="auto"/>
              </w:rPr>
            </w:pPr>
          </w:p>
        </w:tc>
      </w:tr>
      <w:tr>
        <w:trPr>
          <w:trHeight w:val="242"/>
        </w:trPr>
        <w:tc>
          <w:tcPr>
            <w:tcW w:w="5620" w:type="dxa"/>
            <w:vAlign w:val="bottom"/>
          </w:tcPr>
          <w:p>
            <w:pPr>
              <w:ind w:left="40"/>
              <w:spacing w:after="0"/>
              <w:rPr>
                <w:sz w:val="20"/>
                <w:szCs w:val="20"/>
                <w:color w:val="auto"/>
              </w:rPr>
            </w:pPr>
            <w:r>
              <w:rPr>
                <w:rFonts w:ascii="Arial" w:cs="Arial" w:eastAsia="Arial" w:hAnsi="Arial"/>
                <w:sz w:val="16"/>
                <w:szCs w:val="16"/>
                <w:color w:val="auto"/>
              </w:rPr>
              <w:t>Age: 59</w:t>
            </w:r>
          </w:p>
        </w:tc>
        <w:tc>
          <w:tcPr>
            <w:tcW w:w="5620" w:type="dxa"/>
            <w:vAlign w:val="bottom"/>
          </w:tcPr>
          <w:p>
            <w:pPr>
              <w:ind w:left="40"/>
              <w:spacing w:after="0"/>
              <w:rPr>
                <w:sz w:val="20"/>
                <w:szCs w:val="20"/>
                <w:color w:val="auto"/>
              </w:rPr>
            </w:pPr>
            <w:r>
              <w:rPr>
                <w:rFonts w:ascii="Arial" w:cs="Arial" w:eastAsia="Arial" w:hAnsi="Arial"/>
                <w:sz w:val="16"/>
                <w:szCs w:val="16"/>
                <w:color w:val="auto"/>
              </w:rPr>
              <w:t>Age: 58</w:t>
            </w:r>
          </w:p>
        </w:tc>
        <w:tc>
          <w:tcPr>
            <w:tcW w:w="20" w:type="dxa"/>
            <w:vAlign w:val="bottom"/>
          </w:tcPr>
          <w:p>
            <w:pPr>
              <w:spacing w:after="0"/>
              <w:rPr>
                <w:sz w:val="21"/>
                <w:szCs w:val="21"/>
                <w:color w:val="auto"/>
              </w:rPr>
            </w:pPr>
          </w:p>
        </w:tc>
      </w:tr>
      <w:tr>
        <w:trPr>
          <w:trHeight w:val="242"/>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10 yrs</w:t>
            </w:r>
          </w:p>
        </w:tc>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 xml:space="preserve">Food &amp; Beverage Experience: </w:t>
            </w:r>
            <w:r>
              <w:rPr>
                <w:rFonts w:ascii="Arial" w:cs="Arial" w:eastAsia="Arial" w:hAnsi="Arial"/>
                <w:sz w:val="16"/>
                <w:szCs w:val="16"/>
                <w:color w:val="auto"/>
              </w:rPr>
              <w:t>29 yrs</w:t>
            </w:r>
          </w:p>
        </w:tc>
        <w:tc>
          <w:tcPr>
            <w:tcW w:w="20" w:type="dxa"/>
            <w:vAlign w:val="bottom"/>
          </w:tcPr>
          <w:p>
            <w:pPr>
              <w:spacing w:after="0"/>
              <w:rPr>
                <w:sz w:val="21"/>
                <w:szCs w:val="21"/>
                <w:color w:val="auto"/>
              </w:rPr>
            </w:pPr>
          </w:p>
        </w:tc>
      </w:tr>
      <w:tr>
        <w:trPr>
          <w:trHeight w:val="242"/>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10 yrs</w:t>
            </w:r>
          </w:p>
        </w:tc>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 xml:space="preserve">Entertainment Experience: </w:t>
            </w:r>
            <w:r>
              <w:rPr>
                <w:rFonts w:ascii="Arial" w:cs="Arial" w:eastAsia="Arial" w:hAnsi="Arial"/>
                <w:sz w:val="16"/>
                <w:szCs w:val="16"/>
                <w:color w:val="auto"/>
              </w:rPr>
              <w:t>6 yrs</w:t>
            </w:r>
          </w:p>
        </w:tc>
        <w:tc>
          <w:tcPr>
            <w:tcW w:w="20" w:type="dxa"/>
            <w:vAlign w:val="bottom"/>
          </w:tcPr>
          <w:p>
            <w:pPr>
              <w:spacing w:after="0"/>
              <w:rPr>
                <w:sz w:val="21"/>
                <w:szCs w:val="21"/>
                <w:color w:val="auto"/>
              </w:rPr>
            </w:pPr>
          </w:p>
        </w:tc>
      </w:tr>
      <w:tr>
        <w:trPr>
          <w:trHeight w:val="296"/>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Current Position:</w:t>
            </w:r>
          </w:p>
        </w:tc>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Current Position:</w:t>
            </w:r>
          </w:p>
        </w:tc>
        <w:tc>
          <w:tcPr>
            <w:tcW w:w="20" w:type="dxa"/>
            <w:vAlign w:val="bottom"/>
          </w:tcPr>
          <w:p>
            <w:pPr>
              <w:spacing w:after="0"/>
              <w:rPr>
                <w:sz w:val="24"/>
                <w:szCs w:val="24"/>
                <w:color w:val="auto"/>
              </w:rPr>
            </w:pPr>
          </w:p>
        </w:tc>
      </w:tr>
      <w:tr>
        <w:trPr>
          <w:trHeight w:val="216"/>
        </w:trPr>
        <w:tc>
          <w:tcPr>
            <w:tcW w:w="5620" w:type="dxa"/>
            <w:vAlign w:val="bottom"/>
          </w:tcPr>
          <w:p>
            <w:pPr>
              <w:ind w:left="40"/>
              <w:spacing w:after="0"/>
              <w:rPr>
                <w:sz w:val="20"/>
                <w:szCs w:val="20"/>
                <w:color w:val="auto"/>
              </w:rPr>
            </w:pPr>
            <w:r>
              <w:rPr>
                <w:rFonts w:ascii="Arial" w:cs="Arial" w:eastAsia="Arial" w:hAnsi="Arial"/>
                <w:sz w:val="16"/>
                <w:szCs w:val="16"/>
                <w:color w:val="auto"/>
              </w:rPr>
              <w:t>– Chief Legal Officer and Corporate Secretary since January 2025</w:t>
            </w:r>
          </w:p>
        </w:tc>
        <w:tc>
          <w:tcPr>
            <w:tcW w:w="5620" w:type="dxa"/>
            <w:vAlign w:val="bottom"/>
          </w:tcPr>
          <w:p>
            <w:pPr>
              <w:ind w:left="40"/>
              <w:spacing w:after="0"/>
              <w:rPr>
                <w:sz w:val="20"/>
                <w:szCs w:val="20"/>
                <w:color w:val="auto"/>
              </w:rPr>
            </w:pPr>
            <w:r>
              <w:rPr>
                <w:rFonts w:ascii="Arial" w:cs="Arial" w:eastAsia="Arial" w:hAnsi="Arial"/>
                <w:sz w:val="16"/>
                <w:szCs w:val="16"/>
                <w:color w:val="auto"/>
              </w:rPr>
              <w:t>– President, Main Event since January 2026; previously Chief Operating</w:t>
            </w:r>
          </w:p>
        </w:tc>
        <w:tc>
          <w:tcPr>
            <w:tcW w:w="20" w:type="dxa"/>
            <w:vAlign w:val="bottom"/>
          </w:tcPr>
          <w:p>
            <w:pPr>
              <w:spacing w:after="0"/>
              <w:rPr>
                <w:sz w:val="18"/>
                <w:szCs w:val="18"/>
                <w:color w:val="auto"/>
              </w:rPr>
            </w:pPr>
          </w:p>
        </w:tc>
      </w:tr>
      <w:tr>
        <w:trPr>
          <w:trHeight w:val="214"/>
        </w:trPr>
        <w:tc>
          <w:tcPr>
            <w:tcW w:w="56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6"/>
                <w:szCs w:val="16"/>
                <w:color w:val="auto"/>
              </w:rPr>
              <w:t>Officer from July 2022 to January 2026</w:t>
            </w:r>
          </w:p>
        </w:tc>
        <w:tc>
          <w:tcPr>
            <w:tcW w:w="20" w:type="dxa"/>
            <w:vAlign w:val="bottom"/>
          </w:tcPr>
          <w:p>
            <w:pPr>
              <w:spacing w:after="0"/>
              <w:rPr>
                <w:sz w:val="18"/>
                <w:szCs w:val="18"/>
                <w:color w:val="auto"/>
              </w:rPr>
            </w:pPr>
          </w:p>
        </w:tc>
      </w:tr>
      <w:tr>
        <w:trPr>
          <w:trHeight w:val="309"/>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Prior Business Experience:</w:t>
            </w:r>
          </w:p>
        </w:tc>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Prior Business Experience:</w:t>
            </w:r>
          </w:p>
        </w:tc>
        <w:tc>
          <w:tcPr>
            <w:tcW w:w="20" w:type="dxa"/>
            <w:vAlign w:val="bottom"/>
          </w:tcPr>
          <w:p>
            <w:pPr>
              <w:spacing w:after="0"/>
              <w:rPr>
                <w:sz w:val="24"/>
                <w:szCs w:val="24"/>
                <w:color w:val="auto"/>
              </w:rPr>
            </w:pPr>
          </w:p>
        </w:tc>
      </w:tr>
    </w:tbl>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754380</wp:posOffset>
            </wp:positionV>
            <wp:extent cx="7141210" cy="41636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1210" cy="41636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CEC Entertainment, LLC / CEC Entertainment, Inc.</w:t>
      </w:r>
      <w:r>
        <w:rPr>
          <w:rFonts w:ascii="Arial" w:cs="Arial" w:eastAsia="Arial" w:hAnsi="Arial"/>
          <w:sz w:val="16"/>
          <w:szCs w:val="16"/>
          <w:color w:val="auto"/>
        </w:rPr>
        <w:t xml:space="preserve">, a restaurant and family – </w:t>
      </w:r>
      <w:r>
        <w:rPr>
          <w:rFonts w:ascii="Arial" w:cs="Arial" w:eastAsia="Arial" w:hAnsi="Arial"/>
          <w:sz w:val="16"/>
          <w:szCs w:val="16"/>
          <w:i w:val="1"/>
          <w:iCs w:val="1"/>
          <w:color w:val="auto"/>
        </w:rPr>
        <w:t>Main Event Entertainment, Inc.</w:t>
      </w:r>
      <w:r>
        <w:rPr>
          <w:rFonts w:ascii="Arial" w:cs="Arial" w:eastAsia="Arial" w:hAnsi="Arial"/>
          <w:sz w:val="16"/>
          <w:szCs w:val="16"/>
          <w:color w:val="auto"/>
        </w:rPr>
        <w:t>:</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20" w:type="dxa"/>
            <w:vAlign w:val="bottom"/>
          </w:tcPr>
          <w:p>
            <w:pPr>
              <w:ind w:left="160"/>
              <w:spacing w:after="0"/>
              <w:rPr>
                <w:sz w:val="20"/>
                <w:szCs w:val="20"/>
                <w:color w:val="auto"/>
              </w:rPr>
            </w:pPr>
            <w:r>
              <w:rPr>
                <w:rFonts w:ascii="Arial" w:cs="Arial" w:eastAsia="Arial" w:hAnsi="Arial"/>
                <w:sz w:val="16"/>
                <w:szCs w:val="16"/>
                <w:color w:val="auto"/>
              </w:rPr>
              <w:t>entertainment enterprise:</w:t>
            </w:r>
          </w:p>
        </w:tc>
        <w:tc>
          <w:tcPr>
            <w:tcW w:w="360" w:type="dxa"/>
            <w:vAlign w:val="bottom"/>
          </w:tcPr>
          <w:p>
            <w:pPr>
              <w:ind w:left="260"/>
              <w:spacing w:after="0"/>
              <w:rPr>
                <w:sz w:val="20"/>
                <w:szCs w:val="20"/>
                <w:color w:val="auto"/>
              </w:rPr>
            </w:pPr>
            <w:r>
              <w:rPr>
                <w:rFonts w:ascii="Arial" w:cs="Arial" w:eastAsia="Arial" w:hAnsi="Arial"/>
                <w:sz w:val="16"/>
                <w:szCs w:val="16"/>
                <w:color w:val="003B71"/>
              </w:rPr>
              <w:t>•</w:t>
            </w:r>
          </w:p>
        </w:tc>
        <w:tc>
          <w:tcPr>
            <w:tcW w:w="5300" w:type="dxa"/>
            <w:vAlign w:val="bottom"/>
          </w:tcPr>
          <w:p>
            <w:pPr>
              <w:ind w:left="40"/>
              <w:spacing w:after="0"/>
              <w:rPr>
                <w:sz w:val="20"/>
                <w:szCs w:val="20"/>
                <w:color w:val="auto"/>
              </w:rPr>
            </w:pPr>
            <w:r>
              <w:rPr>
                <w:rFonts w:ascii="Arial" w:cs="Arial" w:eastAsia="Arial" w:hAnsi="Arial"/>
                <w:sz w:val="16"/>
                <w:szCs w:val="16"/>
                <w:color w:val="auto"/>
              </w:rPr>
              <w:t>Chief Operating Officer (Jan 2021-July 2022)</w:t>
            </w:r>
          </w:p>
        </w:tc>
      </w:tr>
      <w:tr>
        <w:trPr>
          <w:trHeight w:val="188"/>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EVP, Chief Legal &amp; Human Resources Officer (Mar 2018-Dec 2023)</w:t>
            </w:r>
          </w:p>
        </w:tc>
        <w:tc>
          <w:tcPr>
            <w:tcW w:w="5660" w:type="dxa"/>
            <w:vAlign w:val="bottom"/>
            <w:gridSpan w:val="2"/>
          </w:tcPr>
          <w:p>
            <w:pPr>
              <w:ind w:left="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BigShots Golf,</w:t>
            </w:r>
            <w:r>
              <w:rPr>
                <w:rFonts w:ascii="Arial" w:cs="Arial" w:eastAsia="Arial" w:hAnsi="Arial"/>
                <w:sz w:val="16"/>
                <w:szCs w:val="16"/>
                <w:color w:val="auto"/>
              </w:rPr>
              <w:t xml:space="preserve"> a golf-oriented entertainment brand:</w:t>
            </w:r>
          </w:p>
        </w:tc>
      </w:tr>
      <w:tr>
        <w:trPr>
          <w:trHeight w:val="202"/>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SVP, General Counsel (Nov 2014-Mar 2018)</w:t>
            </w:r>
          </w:p>
        </w:tc>
        <w:tc>
          <w:tcPr>
            <w:tcW w:w="360" w:type="dxa"/>
            <w:vAlign w:val="bottom"/>
          </w:tcPr>
          <w:p>
            <w:pPr>
              <w:ind w:left="260"/>
              <w:spacing w:after="0"/>
              <w:rPr>
                <w:sz w:val="20"/>
                <w:szCs w:val="20"/>
                <w:color w:val="auto"/>
              </w:rPr>
            </w:pPr>
            <w:r>
              <w:rPr>
                <w:rFonts w:ascii="Arial" w:cs="Arial" w:eastAsia="Arial" w:hAnsi="Arial"/>
                <w:sz w:val="16"/>
                <w:szCs w:val="16"/>
                <w:color w:val="003B71"/>
              </w:rPr>
              <w:t>•</w:t>
            </w:r>
          </w:p>
        </w:tc>
        <w:tc>
          <w:tcPr>
            <w:tcW w:w="5300" w:type="dxa"/>
            <w:vAlign w:val="bottom"/>
          </w:tcPr>
          <w:p>
            <w:pPr>
              <w:ind w:left="40"/>
              <w:spacing w:after="0"/>
              <w:rPr>
                <w:sz w:val="20"/>
                <w:szCs w:val="20"/>
                <w:color w:val="auto"/>
              </w:rPr>
            </w:pPr>
            <w:r>
              <w:rPr>
                <w:rFonts w:ascii="Arial" w:cs="Arial" w:eastAsia="Arial" w:hAnsi="Arial"/>
                <w:sz w:val="16"/>
                <w:szCs w:val="16"/>
                <w:color w:val="auto"/>
              </w:rPr>
              <w:t>Chief Executive Officer (Jan 2020-Jan 2021)</w:t>
            </w:r>
          </w:p>
        </w:tc>
      </w:tr>
      <w:tr>
        <w:trPr>
          <w:trHeight w:val="188"/>
        </w:trPr>
        <w:tc>
          <w:tcPr>
            <w:tcW w:w="5520" w:type="dxa"/>
            <w:vAlign w:val="bottom"/>
          </w:tcPr>
          <w:p>
            <w:pPr>
              <w:spacing w:after="0"/>
              <w:rPr>
                <w:sz w:val="20"/>
                <w:szCs w:val="20"/>
                <w:color w:val="auto"/>
              </w:rPr>
            </w:pPr>
            <w:r>
              <w:rPr>
                <w:rFonts w:ascii="Arial" w:cs="Arial" w:eastAsia="Arial" w:hAnsi="Arial"/>
                <w:sz w:val="16"/>
                <w:szCs w:val="16"/>
                <w:i w:val="1"/>
                <w:iCs w:val="1"/>
                <w:color w:val="auto"/>
              </w:rPr>
              <w:t>– JC Penney Corporation, Inc.</w:t>
            </w:r>
            <w:r>
              <w:rPr>
                <w:rFonts w:ascii="Arial" w:cs="Arial" w:eastAsia="Arial" w:hAnsi="Arial"/>
                <w:sz w:val="16"/>
                <w:szCs w:val="16"/>
                <w:color w:val="auto"/>
              </w:rPr>
              <w:t>, a retail department store:</w:t>
            </w:r>
          </w:p>
        </w:tc>
        <w:tc>
          <w:tcPr>
            <w:tcW w:w="5660" w:type="dxa"/>
            <w:vAlign w:val="bottom"/>
            <w:gridSpan w:val="2"/>
          </w:tcPr>
          <w:p>
            <w:pPr>
              <w:ind w:left="100"/>
              <w:spacing w:after="0"/>
              <w:rPr>
                <w:sz w:val="20"/>
                <w:szCs w:val="20"/>
                <w:color w:val="auto"/>
              </w:rPr>
            </w:pPr>
            <w:r>
              <w:rPr>
                <w:rFonts w:ascii="Arial" w:cs="Arial" w:eastAsia="Arial" w:hAnsi="Arial"/>
                <w:sz w:val="16"/>
                <w:szCs w:val="16"/>
                <w:i w:val="1"/>
                <w:iCs w:val="1"/>
                <w:color w:val="auto"/>
              </w:rPr>
              <w:t xml:space="preserve">– Bar Louie, </w:t>
            </w:r>
            <w:r>
              <w:rPr>
                <w:rFonts w:ascii="Arial" w:cs="Arial" w:eastAsia="Arial" w:hAnsi="Arial"/>
                <w:sz w:val="16"/>
                <w:szCs w:val="16"/>
                <w:color w:val="auto"/>
              </w:rPr>
              <w:t>an American gastropub chain</w:t>
            </w:r>
            <w:r>
              <w:rPr>
                <w:rFonts w:ascii="Arial" w:cs="Arial" w:eastAsia="Arial" w:hAnsi="Arial"/>
                <w:sz w:val="16"/>
                <w:szCs w:val="16"/>
                <w:i w:val="1"/>
                <w:iCs w:val="1"/>
                <w:color w:val="auto"/>
              </w:rPr>
              <w:t>:</w:t>
            </w:r>
          </w:p>
        </w:tc>
      </w:tr>
      <w:tr>
        <w:trPr>
          <w:trHeight w:val="188"/>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Senior Counsel (Oct 2012-Nov 2014)</w:t>
            </w:r>
          </w:p>
        </w:tc>
        <w:tc>
          <w:tcPr>
            <w:tcW w:w="360" w:type="dxa"/>
            <w:vAlign w:val="bottom"/>
          </w:tcPr>
          <w:p>
            <w:pPr>
              <w:ind w:left="260"/>
              <w:spacing w:after="0"/>
              <w:rPr>
                <w:sz w:val="20"/>
                <w:szCs w:val="20"/>
                <w:color w:val="auto"/>
              </w:rPr>
            </w:pPr>
            <w:r>
              <w:rPr>
                <w:rFonts w:ascii="Arial" w:cs="Arial" w:eastAsia="Arial" w:hAnsi="Arial"/>
                <w:sz w:val="16"/>
                <w:szCs w:val="16"/>
                <w:color w:val="003B71"/>
              </w:rPr>
              <w:t>•</w:t>
            </w:r>
          </w:p>
        </w:tc>
        <w:tc>
          <w:tcPr>
            <w:tcW w:w="5300" w:type="dxa"/>
            <w:vAlign w:val="bottom"/>
          </w:tcPr>
          <w:p>
            <w:pPr>
              <w:ind w:left="40"/>
              <w:spacing w:after="0"/>
              <w:rPr>
                <w:sz w:val="20"/>
                <w:szCs w:val="20"/>
                <w:color w:val="auto"/>
              </w:rPr>
            </w:pPr>
            <w:r>
              <w:rPr>
                <w:rFonts w:ascii="Arial" w:cs="Arial" w:eastAsia="Arial" w:hAnsi="Arial"/>
                <w:sz w:val="16"/>
                <w:szCs w:val="16"/>
                <w:color w:val="auto"/>
              </w:rPr>
              <w:t>Chief Operations Officer (2017-Jan 2020)</w:t>
            </w:r>
          </w:p>
        </w:tc>
      </w:tr>
      <w:tr>
        <w:trPr>
          <w:trHeight w:val="202"/>
        </w:trPr>
        <w:tc>
          <w:tcPr>
            <w:tcW w:w="5520" w:type="dxa"/>
            <w:vAlign w:val="bottom"/>
          </w:tcPr>
          <w:p>
            <w:pPr>
              <w:spacing w:after="0"/>
              <w:rPr>
                <w:sz w:val="20"/>
                <w:szCs w:val="20"/>
                <w:color w:val="auto"/>
              </w:rPr>
            </w:pPr>
            <w:r>
              <w:rPr>
                <w:rFonts w:ascii="Arial" w:cs="Arial" w:eastAsia="Arial" w:hAnsi="Arial"/>
                <w:sz w:val="16"/>
                <w:szCs w:val="16"/>
                <w:i w:val="1"/>
                <w:iCs w:val="1"/>
                <w:color w:val="auto"/>
              </w:rPr>
              <w:t>– Gruber Hurst Johansen Hail Shank, LLP</w:t>
            </w:r>
            <w:r>
              <w:rPr>
                <w:rFonts w:ascii="Arial" w:cs="Arial" w:eastAsia="Arial" w:hAnsi="Arial"/>
                <w:sz w:val="16"/>
                <w:szCs w:val="16"/>
                <w:color w:val="auto"/>
              </w:rPr>
              <w:t>, a Dallas, TX law firm:</w:t>
            </w:r>
          </w:p>
        </w:tc>
        <w:tc>
          <w:tcPr>
            <w:tcW w:w="5660" w:type="dxa"/>
            <w:vAlign w:val="bottom"/>
            <w:gridSpan w:val="2"/>
          </w:tcPr>
          <w:p>
            <w:pPr>
              <w:ind w:left="100"/>
              <w:spacing w:after="0"/>
              <w:rPr>
                <w:sz w:val="20"/>
                <w:szCs w:val="20"/>
                <w:color w:val="auto"/>
              </w:rPr>
            </w:pPr>
            <w:r>
              <w:rPr>
                <w:rFonts w:ascii="Arial" w:cs="Arial" w:eastAsia="Arial" w:hAnsi="Arial"/>
                <w:sz w:val="16"/>
                <w:szCs w:val="16"/>
                <w:i w:val="1"/>
                <w:iCs w:val="1"/>
                <w:color w:val="auto"/>
              </w:rPr>
              <w:t xml:space="preserve">– Logan's Roadhouse, </w:t>
            </w:r>
            <w:r>
              <w:rPr>
                <w:rFonts w:ascii="Arial" w:cs="Arial" w:eastAsia="Arial" w:hAnsi="Arial"/>
                <w:sz w:val="16"/>
                <w:szCs w:val="16"/>
                <w:color w:val="auto"/>
              </w:rPr>
              <w:t>an American steakhouse restaurant chain</w:t>
            </w:r>
            <w:r>
              <w:rPr>
                <w:rFonts w:ascii="Arial" w:cs="Arial" w:eastAsia="Arial" w:hAnsi="Arial"/>
                <w:sz w:val="16"/>
                <w:szCs w:val="16"/>
                <w:i w:val="1"/>
                <w:iCs w:val="1"/>
                <w:color w:val="auto"/>
              </w:rPr>
              <w:t>:</w:t>
            </w:r>
          </w:p>
        </w:tc>
      </w:tr>
      <w:tr>
        <w:trPr>
          <w:trHeight w:val="188"/>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Partner (2006-2012)</w:t>
            </w:r>
          </w:p>
        </w:tc>
        <w:tc>
          <w:tcPr>
            <w:tcW w:w="360" w:type="dxa"/>
            <w:vAlign w:val="bottom"/>
          </w:tcPr>
          <w:p>
            <w:pPr>
              <w:ind w:left="260"/>
              <w:spacing w:after="0"/>
              <w:rPr>
                <w:sz w:val="20"/>
                <w:szCs w:val="20"/>
                <w:color w:val="auto"/>
              </w:rPr>
            </w:pPr>
            <w:r>
              <w:rPr>
                <w:rFonts w:ascii="Arial" w:cs="Arial" w:eastAsia="Arial" w:hAnsi="Arial"/>
                <w:sz w:val="16"/>
                <w:szCs w:val="16"/>
                <w:color w:val="003B71"/>
              </w:rPr>
              <w:t>•</w:t>
            </w:r>
          </w:p>
        </w:tc>
        <w:tc>
          <w:tcPr>
            <w:tcW w:w="5300" w:type="dxa"/>
            <w:vAlign w:val="bottom"/>
          </w:tcPr>
          <w:p>
            <w:pPr>
              <w:ind w:left="40"/>
              <w:spacing w:after="0"/>
              <w:rPr>
                <w:sz w:val="20"/>
                <w:szCs w:val="20"/>
                <w:color w:val="auto"/>
              </w:rPr>
            </w:pPr>
            <w:r>
              <w:rPr>
                <w:rFonts w:ascii="Arial" w:cs="Arial" w:eastAsia="Arial" w:hAnsi="Arial"/>
                <w:sz w:val="16"/>
                <w:szCs w:val="16"/>
                <w:color w:val="auto"/>
              </w:rPr>
              <w:t>SVP Operations (2016-2017)</w:t>
            </w:r>
          </w:p>
        </w:tc>
      </w:tr>
      <w:tr>
        <w:trPr>
          <w:trHeight w:val="202"/>
        </w:trPr>
        <w:tc>
          <w:tcPr>
            <w:tcW w:w="5520" w:type="dxa"/>
            <w:vAlign w:val="bottom"/>
          </w:tcPr>
          <w:p>
            <w:pPr>
              <w:spacing w:after="0"/>
              <w:rPr>
                <w:sz w:val="20"/>
                <w:szCs w:val="20"/>
                <w:color w:val="auto"/>
              </w:rPr>
            </w:pPr>
            <w:r>
              <w:rPr>
                <w:rFonts w:ascii="Arial" w:cs="Arial" w:eastAsia="Arial" w:hAnsi="Arial"/>
                <w:sz w:val="16"/>
                <w:szCs w:val="16"/>
                <w:i w:val="1"/>
                <w:iCs w:val="1"/>
                <w:color w:val="auto"/>
              </w:rPr>
              <w:t>– Godwin Pappas, Langley &amp; Ronquillo LLP / Godwin Gruber, LLP</w:t>
            </w:r>
            <w:r>
              <w:rPr>
                <w:rFonts w:ascii="Arial" w:cs="Arial" w:eastAsia="Arial" w:hAnsi="Arial"/>
                <w:sz w:val="16"/>
                <w:szCs w:val="16"/>
                <w:color w:val="auto"/>
              </w:rPr>
              <w:t>, a Dallas,</w:t>
            </w:r>
          </w:p>
        </w:tc>
        <w:tc>
          <w:tcPr>
            <w:tcW w:w="5660" w:type="dxa"/>
            <w:vAlign w:val="bottom"/>
            <w:gridSpan w:val="2"/>
          </w:tcPr>
          <w:p>
            <w:pPr>
              <w:ind w:left="100"/>
              <w:spacing w:after="0"/>
              <w:rPr>
                <w:sz w:val="20"/>
                <w:szCs w:val="20"/>
                <w:color w:val="auto"/>
              </w:rPr>
            </w:pPr>
            <w:r>
              <w:rPr>
                <w:rFonts w:ascii="Arial" w:cs="Arial" w:eastAsia="Arial" w:hAnsi="Arial"/>
                <w:sz w:val="16"/>
                <w:szCs w:val="16"/>
                <w:i w:val="1"/>
                <w:iCs w:val="1"/>
                <w:color w:val="auto"/>
              </w:rPr>
              <w:t>– On The Border Mexican Grill &amp; Cantina:</w:t>
            </w:r>
          </w:p>
        </w:tc>
      </w:tr>
      <w:tr>
        <w:trPr>
          <w:trHeight w:val="188"/>
        </w:trPr>
        <w:tc>
          <w:tcPr>
            <w:tcW w:w="5520" w:type="dxa"/>
            <w:vAlign w:val="bottom"/>
          </w:tcPr>
          <w:p>
            <w:pPr>
              <w:ind w:left="160"/>
              <w:spacing w:after="0"/>
              <w:rPr>
                <w:sz w:val="20"/>
                <w:szCs w:val="20"/>
                <w:color w:val="auto"/>
              </w:rPr>
            </w:pPr>
            <w:r>
              <w:rPr>
                <w:rFonts w:ascii="Arial" w:cs="Arial" w:eastAsia="Arial" w:hAnsi="Arial"/>
                <w:sz w:val="16"/>
                <w:szCs w:val="16"/>
                <w:color w:val="auto"/>
              </w:rPr>
              <w:t>TX law firm:</w:t>
            </w:r>
          </w:p>
        </w:tc>
        <w:tc>
          <w:tcPr>
            <w:tcW w:w="360" w:type="dxa"/>
            <w:vAlign w:val="bottom"/>
          </w:tcPr>
          <w:p>
            <w:pPr>
              <w:ind w:left="260"/>
              <w:spacing w:after="0"/>
              <w:rPr>
                <w:sz w:val="20"/>
                <w:szCs w:val="20"/>
                <w:color w:val="auto"/>
              </w:rPr>
            </w:pPr>
            <w:r>
              <w:rPr>
                <w:rFonts w:ascii="Arial" w:cs="Arial" w:eastAsia="Arial" w:hAnsi="Arial"/>
                <w:sz w:val="16"/>
                <w:szCs w:val="16"/>
                <w:color w:val="003B71"/>
              </w:rPr>
              <w:t>•</w:t>
            </w:r>
          </w:p>
        </w:tc>
        <w:tc>
          <w:tcPr>
            <w:tcW w:w="5300" w:type="dxa"/>
            <w:vAlign w:val="bottom"/>
          </w:tcPr>
          <w:p>
            <w:pPr>
              <w:ind w:left="40"/>
              <w:spacing w:after="0"/>
              <w:rPr>
                <w:sz w:val="20"/>
                <w:szCs w:val="20"/>
                <w:color w:val="auto"/>
              </w:rPr>
            </w:pPr>
            <w:r>
              <w:rPr>
                <w:rFonts w:ascii="Arial" w:cs="Arial" w:eastAsia="Arial" w:hAnsi="Arial"/>
                <w:sz w:val="16"/>
                <w:szCs w:val="16"/>
                <w:color w:val="auto"/>
              </w:rPr>
              <w:t>Various operations positions including SVP of Operations (2010-2015)</w:t>
            </w:r>
          </w:p>
        </w:tc>
      </w:tr>
      <w:tr>
        <w:trPr>
          <w:trHeight w:val="188"/>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Partner (2004-2006)</w:t>
            </w:r>
          </w:p>
        </w:tc>
        <w:tc>
          <w:tcPr>
            <w:tcW w:w="5660" w:type="dxa"/>
            <w:vAlign w:val="bottom"/>
            <w:gridSpan w:val="2"/>
          </w:tcPr>
          <w:p>
            <w:pPr>
              <w:ind w:left="100"/>
              <w:spacing w:after="0"/>
              <w:rPr>
                <w:sz w:val="20"/>
                <w:szCs w:val="20"/>
                <w:color w:val="auto"/>
              </w:rPr>
            </w:pPr>
            <w:r>
              <w:rPr>
                <w:rFonts w:ascii="Arial" w:cs="Arial" w:eastAsia="Arial" w:hAnsi="Arial"/>
                <w:sz w:val="16"/>
                <w:szCs w:val="16"/>
                <w:i w:val="1"/>
                <w:iCs w:val="1"/>
                <w:color w:val="auto"/>
              </w:rPr>
              <w:t>– Brinker International, Inc.:</w:t>
            </w:r>
          </w:p>
        </w:tc>
      </w:tr>
      <w:tr>
        <w:trPr>
          <w:trHeight w:val="202"/>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Participating Associate (2003-2004)</w:t>
            </w:r>
          </w:p>
        </w:tc>
        <w:tc>
          <w:tcPr>
            <w:tcW w:w="5660" w:type="dxa"/>
            <w:vAlign w:val="bottom"/>
            <w:gridSpan w:val="2"/>
          </w:tcPr>
          <w:p>
            <w:pPr>
              <w:ind w:left="260"/>
              <w:spacing w:after="0"/>
              <w:rPr>
                <w:sz w:val="20"/>
                <w:szCs w:val="20"/>
                <w:color w:val="auto"/>
              </w:rPr>
            </w:pPr>
            <w:r>
              <w:rPr>
                <w:rFonts w:ascii="Arial" w:cs="Arial" w:eastAsia="Arial" w:hAnsi="Arial"/>
                <w:sz w:val="16"/>
                <w:szCs w:val="16"/>
                <w:color w:val="003B71"/>
              </w:rPr>
              <w:t xml:space="preserve">• </w:t>
            </w:r>
            <w:r>
              <w:rPr>
                <w:rFonts w:ascii="Arial" w:cs="Arial" w:eastAsia="Arial" w:hAnsi="Arial"/>
                <w:sz w:val="16"/>
                <w:szCs w:val="16"/>
                <w:color w:val="000000"/>
              </w:rPr>
              <w:t>Various operations positions for Chili's Grill &amp; Bar and On The Border</w:t>
            </w:r>
          </w:p>
        </w:tc>
      </w:tr>
      <w:tr>
        <w:trPr>
          <w:trHeight w:val="188"/>
        </w:trPr>
        <w:tc>
          <w:tcPr>
            <w:tcW w:w="5520" w:type="dxa"/>
            <w:vAlign w:val="bottom"/>
          </w:tcPr>
          <w:p>
            <w:pPr>
              <w:spacing w:after="0"/>
              <w:rPr>
                <w:sz w:val="20"/>
                <w:szCs w:val="20"/>
                <w:color w:val="auto"/>
              </w:rPr>
            </w:pPr>
            <w:r>
              <w:rPr>
                <w:rFonts w:ascii="Arial" w:cs="Arial" w:eastAsia="Arial" w:hAnsi="Arial"/>
                <w:sz w:val="16"/>
                <w:szCs w:val="16"/>
                <w:i w:val="1"/>
                <w:iCs w:val="1"/>
                <w:color w:val="auto"/>
              </w:rPr>
              <w:t>– American Eagle Airlines, Inc.</w:t>
            </w:r>
            <w:r>
              <w:rPr>
                <w:rFonts w:ascii="Arial" w:cs="Arial" w:eastAsia="Arial" w:hAnsi="Arial"/>
                <w:sz w:val="16"/>
                <w:szCs w:val="16"/>
                <w:color w:val="auto"/>
              </w:rPr>
              <w:t>, a regional airline:</w:t>
            </w:r>
          </w:p>
        </w:tc>
        <w:tc>
          <w:tcPr>
            <w:tcW w:w="360" w:type="dxa"/>
            <w:vAlign w:val="bottom"/>
          </w:tcPr>
          <w:p>
            <w:pPr>
              <w:spacing w:after="0"/>
              <w:rPr>
                <w:sz w:val="16"/>
                <w:szCs w:val="16"/>
                <w:color w:val="auto"/>
              </w:rPr>
            </w:pPr>
          </w:p>
        </w:tc>
        <w:tc>
          <w:tcPr>
            <w:tcW w:w="5300" w:type="dxa"/>
            <w:vAlign w:val="bottom"/>
          </w:tcPr>
          <w:p>
            <w:pPr>
              <w:ind w:left="60"/>
              <w:spacing w:after="0"/>
              <w:rPr>
                <w:sz w:val="20"/>
                <w:szCs w:val="20"/>
                <w:color w:val="auto"/>
              </w:rPr>
            </w:pPr>
            <w:r>
              <w:rPr>
                <w:rFonts w:ascii="Arial" w:cs="Arial" w:eastAsia="Arial" w:hAnsi="Arial"/>
                <w:sz w:val="16"/>
                <w:szCs w:val="16"/>
                <w:color w:val="auto"/>
              </w:rPr>
              <w:t>Mexican Grill &amp; Cantina brand (1997-2010)</w:t>
            </w:r>
          </w:p>
        </w:tc>
      </w:tr>
      <w:tr>
        <w:trPr>
          <w:trHeight w:val="188"/>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VP, General Counsel (2000-2003)</w:t>
            </w:r>
          </w:p>
        </w:tc>
        <w:tc>
          <w:tcPr>
            <w:tcW w:w="36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02"/>
        </w:trPr>
        <w:tc>
          <w:tcPr>
            <w:tcW w:w="5520" w:type="dxa"/>
            <w:vAlign w:val="bottom"/>
          </w:tcPr>
          <w:p>
            <w:pPr>
              <w:spacing w:after="0"/>
              <w:rPr>
                <w:sz w:val="20"/>
                <w:szCs w:val="20"/>
                <w:color w:val="auto"/>
              </w:rPr>
            </w:pPr>
            <w:r>
              <w:rPr>
                <w:rFonts w:ascii="Arial" w:cs="Arial" w:eastAsia="Arial" w:hAnsi="Arial"/>
                <w:sz w:val="16"/>
                <w:szCs w:val="16"/>
                <w:i w:val="1"/>
                <w:iCs w:val="1"/>
                <w:color w:val="auto"/>
              </w:rPr>
              <w:t>– American Airlines, Inc.</w:t>
            </w:r>
            <w:r>
              <w:rPr>
                <w:rFonts w:ascii="Arial" w:cs="Arial" w:eastAsia="Arial" w:hAnsi="Arial"/>
                <w:sz w:val="16"/>
                <w:szCs w:val="16"/>
                <w:color w:val="auto"/>
              </w:rPr>
              <w:t>, an international airline:</w:t>
            </w:r>
          </w:p>
        </w:tc>
        <w:tc>
          <w:tcPr>
            <w:tcW w:w="36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188"/>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Attorney-Litigation (1997-2000)</w:t>
            </w:r>
          </w:p>
        </w:tc>
        <w:tc>
          <w:tcPr>
            <w:tcW w:w="36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02"/>
        </w:trPr>
        <w:tc>
          <w:tcPr>
            <w:tcW w:w="5520" w:type="dxa"/>
            <w:vAlign w:val="bottom"/>
          </w:tcPr>
          <w:p>
            <w:pPr>
              <w:spacing w:after="0"/>
              <w:rPr>
                <w:sz w:val="20"/>
                <w:szCs w:val="20"/>
                <w:color w:val="auto"/>
              </w:rPr>
            </w:pPr>
            <w:r>
              <w:rPr>
                <w:rFonts w:ascii="Arial" w:cs="Arial" w:eastAsia="Arial" w:hAnsi="Arial"/>
                <w:sz w:val="16"/>
                <w:szCs w:val="16"/>
                <w:i w:val="1"/>
                <w:iCs w:val="1"/>
                <w:color w:val="auto"/>
              </w:rPr>
              <w:t>− Locke Purnell Rain Harrell, PC</w:t>
            </w:r>
            <w:r>
              <w:rPr>
                <w:rFonts w:ascii="Arial" w:cs="Arial" w:eastAsia="Arial" w:hAnsi="Arial"/>
                <w:sz w:val="16"/>
                <w:szCs w:val="16"/>
                <w:color w:val="auto"/>
              </w:rPr>
              <w:t>, a Dallas, TX law firm:</w:t>
            </w:r>
          </w:p>
        </w:tc>
        <w:tc>
          <w:tcPr>
            <w:tcW w:w="360" w:type="dxa"/>
            <w:vAlign w:val="bottom"/>
          </w:tcPr>
          <w:p>
            <w:pPr>
              <w:spacing w:after="0"/>
              <w:rPr>
                <w:sz w:val="17"/>
                <w:szCs w:val="17"/>
                <w:color w:val="auto"/>
              </w:rPr>
            </w:pPr>
          </w:p>
        </w:tc>
        <w:tc>
          <w:tcPr>
            <w:tcW w:w="5300" w:type="dxa"/>
            <w:vAlign w:val="bottom"/>
          </w:tcPr>
          <w:p>
            <w:pPr>
              <w:spacing w:after="0"/>
              <w:rPr>
                <w:sz w:val="17"/>
                <w:szCs w:val="17"/>
                <w:color w:val="auto"/>
              </w:rPr>
            </w:pPr>
          </w:p>
        </w:tc>
      </w:tr>
      <w:tr>
        <w:trPr>
          <w:trHeight w:val="214"/>
        </w:trPr>
        <w:tc>
          <w:tcPr>
            <w:tcW w:w="5520" w:type="dxa"/>
            <w:vAlign w:val="bottom"/>
          </w:tcPr>
          <w:p>
            <w:pPr>
              <w:ind w:left="160"/>
              <w:spacing w:after="0"/>
              <w:rPr>
                <w:sz w:val="20"/>
                <w:szCs w:val="20"/>
                <w:color w:val="auto"/>
              </w:rPr>
            </w:pPr>
            <w:r>
              <w:rPr>
                <w:rFonts w:ascii="Arial" w:cs="Arial" w:eastAsia="Arial" w:hAnsi="Arial"/>
                <w:sz w:val="16"/>
                <w:szCs w:val="16"/>
                <w:i w:val="1"/>
                <w:iCs w:val="1"/>
                <w:color w:val="auto"/>
              </w:rPr>
              <w:t xml:space="preserve">• </w:t>
            </w:r>
            <w:r>
              <w:rPr>
                <w:rFonts w:ascii="Arial" w:cs="Arial" w:eastAsia="Arial" w:hAnsi="Arial"/>
                <w:sz w:val="16"/>
                <w:szCs w:val="16"/>
                <w:color w:val="auto"/>
              </w:rPr>
              <w:t>Associate (1991-1997)</w:t>
            </w:r>
          </w:p>
        </w:tc>
        <w:tc>
          <w:tcPr>
            <w:tcW w:w="360" w:type="dxa"/>
            <w:vAlign w:val="bottom"/>
          </w:tcPr>
          <w:p>
            <w:pPr>
              <w:spacing w:after="0"/>
              <w:rPr>
                <w:sz w:val="18"/>
                <w:szCs w:val="18"/>
                <w:color w:val="auto"/>
              </w:rPr>
            </w:pPr>
          </w:p>
        </w:tc>
        <w:tc>
          <w:tcPr>
            <w:tcW w:w="5300" w:type="dxa"/>
            <w:vAlign w:val="bottom"/>
          </w:tcPr>
          <w:p>
            <w:pPr>
              <w:spacing w:after="0"/>
              <w:rPr>
                <w:sz w:val="18"/>
                <w:szCs w:val="18"/>
                <w:color w:val="auto"/>
              </w:rPr>
            </w:pPr>
          </w:p>
        </w:tc>
      </w:tr>
    </w:tbl>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Education: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 B.A. Political Science, Texas A&amp;M University</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 J.D., Harvard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805815</wp:posOffset>
            </wp:positionV>
            <wp:extent cx="71329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24</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88"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39"/>
          <w:szCs w:val="39"/>
          <w:color w:val="003B71"/>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4219575</wp:posOffset>
            </wp:positionH>
            <wp:positionV relativeFrom="paragraph">
              <wp:posOffset>179070</wp:posOffset>
            </wp:positionV>
            <wp:extent cx="2926715" cy="33699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926715" cy="33699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41465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146550" cy="8255"/>
                    </a:xfrm>
                    <a:prstGeom prst="rect">
                      <a:avLst/>
                    </a:prstGeom>
                    <a:noFill/>
                  </pic:spPr>
                </pic:pic>
              </a:graphicData>
            </a:graphic>
          </wp:anchor>
        </w:drawing>
      </w:r>
    </w:p>
    <w:p>
      <w:pPr>
        <w:spacing w:after="0" w:line="276" w:lineRule="exact"/>
        <w:rPr>
          <w:sz w:val="20"/>
          <w:szCs w:val="20"/>
          <w:color w:val="auto"/>
        </w:rPr>
      </w:pPr>
    </w:p>
    <w:p>
      <w:pPr>
        <w:jc w:val="both"/>
        <w:ind w:left="100"/>
        <w:spacing w:after="0" w:line="253" w:lineRule="auto"/>
        <w:rPr>
          <w:sz w:val="20"/>
          <w:szCs w:val="20"/>
          <w:color w:val="auto"/>
        </w:rPr>
      </w:pPr>
      <w:r>
        <w:rPr>
          <w:rFonts w:ascii="Arial" w:cs="Arial" w:eastAsia="Arial" w:hAnsi="Arial"/>
          <w:sz w:val="18"/>
          <w:szCs w:val="18"/>
          <w:color w:val="auto"/>
        </w:rPr>
        <w:t>This section describes our compensation program for our named executive officers (“NEOs”) for fiscal 2025. The discussion focuses on our compensation programs and compensation-related decisions for fiscal 2025 and addresses why we believe our compensation program supports our business strategy and operational plans. For fiscal 2025, our NEOs were:</w:t>
      </w:r>
    </w:p>
    <w:p>
      <w:pPr>
        <w:ind w:left="420" w:hanging="314"/>
        <w:spacing w:after="0" w:line="196" w:lineRule="auto"/>
        <w:tabs>
          <w:tab w:leader="none" w:pos="420" w:val="left"/>
        </w:tabs>
        <w:numPr>
          <w:ilvl w:val="0"/>
          <w:numId w:val="61"/>
        </w:numPr>
        <w:rPr>
          <w:rFonts w:ascii="Arial" w:cs="Arial" w:eastAsia="Arial" w:hAnsi="Arial"/>
          <w:sz w:val="18"/>
          <w:szCs w:val="18"/>
          <w:b w:val="1"/>
          <w:bCs w:val="1"/>
          <w:i w:val="1"/>
          <w:iCs w:val="1"/>
          <w:color w:val="003B71"/>
        </w:rPr>
      </w:pPr>
      <w:r>
        <w:rPr>
          <w:rFonts w:ascii="Arial" w:cs="Arial" w:eastAsia="Arial" w:hAnsi="Arial"/>
          <w:sz w:val="18"/>
          <w:szCs w:val="18"/>
          <w:b w:val="1"/>
          <w:bCs w:val="1"/>
          <w:color w:val="auto"/>
        </w:rPr>
        <w:t xml:space="preserve">Tarun Lal — </w:t>
      </w:r>
      <w:r>
        <w:rPr>
          <w:rFonts w:ascii="Arial" w:cs="Arial" w:eastAsia="Arial" w:hAnsi="Arial"/>
          <w:sz w:val="18"/>
          <w:szCs w:val="18"/>
          <w:b w:val="1"/>
          <w:bCs w:val="1"/>
          <w:i w:val="1"/>
          <w:iCs w:val="1"/>
          <w:color w:val="auto"/>
        </w:rPr>
        <w:t>Chief Executive Officer</w:t>
      </w:r>
      <w:r>
        <w:rPr>
          <w:rFonts w:ascii="Arial" w:cs="Arial" w:eastAsia="Arial" w:hAnsi="Arial"/>
          <w:sz w:val="23"/>
          <w:szCs w:val="23"/>
          <w:b w:val="1"/>
          <w:bCs w:val="1"/>
          <w:color w:val="auto"/>
          <w:vertAlign w:val="superscript"/>
        </w:rPr>
        <w:t>(1)</w:t>
      </w:r>
    </w:p>
    <w:p>
      <w:pPr>
        <w:ind w:left="420" w:hanging="314"/>
        <w:spacing w:after="0" w:line="195" w:lineRule="auto"/>
        <w:tabs>
          <w:tab w:leader="none" w:pos="420" w:val="left"/>
        </w:tabs>
        <w:numPr>
          <w:ilvl w:val="0"/>
          <w:numId w:val="61"/>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Kevin M. Sheehan — </w:t>
      </w:r>
      <w:r>
        <w:rPr>
          <w:rFonts w:ascii="Arial" w:cs="Arial" w:eastAsia="Arial" w:hAnsi="Arial"/>
          <w:sz w:val="18"/>
          <w:szCs w:val="18"/>
          <w:b w:val="1"/>
          <w:bCs w:val="1"/>
          <w:i w:val="1"/>
          <w:iCs w:val="1"/>
          <w:color w:val="auto"/>
        </w:rPr>
        <w:t>Former Interim Chief Executive Officer</w:t>
      </w:r>
      <w:r>
        <w:rPr>
          <w:rFonts w:ascii="Arial" w:cs="Arial" w:eastAsia="Arial" w:hAnsi="Arial"/>
          <w:sz w:val="23"/>
          <w:szCs w:val="23"/>
          <w:b w:val="1"/>
          <w:bCs w:val="1"/>
          <w:color w:val="auto"/>
          <w:vertAlign w:val="superscript"/>
        </w:rPr>
        <w:t>(2)</w:t>
      </w:r>
    </w:p>
    <w:p>
      <w:pPr>
        <w:ind w:left="420" w:hanging="314"/>
        <w:spacing w:after="0"/>
        <w:tabs>
          <w:tab w:leader="none" w:pos="420" w:val="left"/>
        </w:tabs>
        <w:numPr>
          <w:ilvl w:val="0"/>
          <w:numId w:val="61"/>
        </w:numPr>
        <w:rPr>
          <w:rFonts w:ascii="Arial" w:cs="Arial" w:eastAsia="Arial" w:hAnsi="Arial"/>
          <w:sz w:val="18"/>
          <w:szCs w:val="18"/>
          <w:b w:val="1"/>
          <w:bCs w:val="1"/>
          <w:i w:val="1"/>
          <w:iCs w:val="1"/>
          <w:color w:val="003B71"/>
        </w:rPr>
      </w:pPr>
      <w:r>
        <w:rPr>
          <w:rFonts w:ascii="Arial" w:cs="Arial" w:eastAsia="Arial" w:hAnsi="Arial"/>
          <w:sz w:val="18"/>
          <w:szCs w:val="18"/>
          <w:b w:val="1"/>
          <w:bCs w:val="1"/>
          <w:color w:val="auto"/>
        </w:rPr>
        <w:t xml:space="preserve">Darin Harper — </w:t>
      </w:r>
      <w:r>
        <w:rPr>
          <w:rFonts w:ascii="Arial" w:cs="Arial" w:eastAsia="Arial" w:hAnsi="Arial"/>
          <w:sz w:val="18"/>
          <w:szCs w:val="18"/>
          <w:b w:val="1"/>
          <w:bCs w:val="1"/>
          <w:i w:val="1"/>
          <w:iCs w:val="1"/>
          <w:color w:val="auto"/>
        </w:rPr>
        <w:t>Chief Financial Officer</w:t>
      </w:r>
    </w:p>
    <w:p>
      <w:pPr>
        <w:spacing w:after="0" w:line="8" w:lineRule="exact"/>
        <w:rPr>
          <w:rFonts w:ascii="Arial" w:cs="Arial" w:eastAsia="Arial" w:hAnsi="Arial"/>
          <w:sz w:val="18"/>
          <w:szCs w:val="18"/>
          <w:b w:val="1"/>
          <w:bCs w:val="1"/>
          <w:i w:val="1"/>
          <w:iCs w:val="1"/>
          <w:color w:val="003B71"/>
        </w:rPr>
      </w:pPr>
    </w:p>
    <w:p>
      <w:pPr>
        <w:ind w:left="420" w:hanging="314"/>
        <w:spacing w:after="0" w:line="195" w:lineRule="auto"/>
        <w:tabs>
          <w:tab w:leader="none" w:pos="420" w:val="left"/>
        </w:tabs>
        <w:numPr>
          <w:ilvl w:val="0"/>
          <w:numId w:val="61"/>
        </w:numPr>
        <w:rPr>
          <w:rFonts w:ascii="Arial" w:cs="Arial" w:eastAsia="Arial" w:hAnsi="Arial"/>
          <w:sz w:val="18"/>
          <w:szCs w:val="18"/>
          <w:b w:val="1"/>
          <w:bCs w:val="1"/>
          <w:i w:val="1"/>
          <w:iCs w:val="1"/>
          <w:color w:val="003B71"/>
        </w:rPr>
      </w:pPr>
      <w:r>
        <w:rPr>
          <w:rFonts w:ascii="Arial" w:cs="Arial" w:eastAsia="Arial" w:hAnsi="Arial"/>
          <w:sz w:val="18"/>
          <w:szCs w:val="18"/>
          <w:b w:val="1"/>
          <w:bCs w:val="1"/>
          <w:color w:val="auto"/>
        </w:rPr>
        <w:t xml:space="preserve">Antonio Bautista — </w:t>
      </w:r>
      <w:r>
        <w:rPr>
          <w:rFonts w:ascii="Arial" w:cs="Arial" w:eastAsia="Arial" w:hAnsi="Arial"/>
          <w:sz w:val="18"/>
          <w:szCs w:val="18"/>
          <w:b w:val="1"/>
          <w:bCs w:val="1"/>
          <w:i w:val="1"/>
          <w:iCs w:val="1"/>
          <w:color w:val="auto"/>
        </w:rPr>
        <w:t>President, International</w:t>
      </w:r>
      <w:r>
        <w:rPr>
          <w:rFonts w:ascii="Arial" w:cs="Arial" w:eastAsia="Arial" w:hAnsi="Arial"/>
          <w:sz w:val="23"/>
          <w:szCs w:val="23"/>
          <w:b w:val="1"/>
          <w:bCs w:val="1"/>
          <w:color w:val="auto"/>
          <w:vertAlign w:val="superscript"/>
        </w:rPr>
        <w:t>(3)</w:t>
      </w:r>
    </w:p>
    <w:p>
      <w:pPr>
        <w:ind w:left="420" w:hanging="314"/>
        <w:spacing w:after="0" w:line="195" w:lineRule="auto"/>
        <w:tabs>
          <w:tab w:leader="none" w:pos="420" w:val="left"/>
        </w:tabs>
        <w:numPr>
          <w:ilvl w:val="0"/>
          <w:numId w:val="61"/>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Steve Klohn — </w:t>
      </w:r>
      <w:r>
        <w:rPr>
          <w:rFonts w:ascii="Arial" w:cs="Arial" w:eastAsia="Arial" w:hAnsi="Arial"/>
          <w:sz w:val="18"/>
          <w:szCs w:val="18"/>
          <w:b w:val="1"/>
          <w:bCs w:val="1"/>
          <w:i w:val="1"/>
          <w:iCs w:val="1"/>
          <w:color w:val="auto"/>
        </w:rPr>
        <w:t>Chief Information Officer</w:t>
      </w:r>
      <w:r>
        <w:rPr>
          <w:rFonts w:ascii="Arial" w:cs="Arial" w:eastAsia="Arial" w:hAnsi="Arial"/>
          <w:sz w:val="23"/>
          <w:szCs w:val="23"/>
          <w:b w:val="1"/>
          <w:bCs w:val="1"/>
          <w:color w:val="auto"/>
          <w:vertAlign w:val="superscript"/>
        </w:rPr>
        <w:t>(4)</w:t>
      </w:r>
    </w:p>
    <w:p>
      <w:pPr>
        <w:ind w:left="420" w:hanging="314"/>
        <w:spacing w:after="0" w:line="200" w:lineRule="auto"/>
        <w:tabs>
          <w:tab w:leader="none" w:pos="420" w:val="left"/>
        </w:tabs>
        <w:numPr>
          <w:ilvl w:val="0"/>
          <w:numId w:val="61"/>
        </w:numPr>
        <w:rPr>
          <w:rFonts w:ascii="Arial" w:cs="Arial" w:eastAsia="Arial" w:hAnsi="Arial"/>
          <w:sz w:val="18"/>
          <w:szCs w:val="18"/>
          <w:b w:val="1"/>
          <w:bCs w:val="1"/>
          <w:color w:val="003B71"/>
        </w:rPr>
      </w:pPr>
      <w:r>
        <w:rPr>
          <w:rFonts w:ascii="Arial" w:cs="Arial" w:eastAsia="Arial" w:hAnsi="Arial"/>
          <w:sz w:val="18"/>
          <w:szCs w:val="18"/>
          <w:b w:val="1"/>
          <w:bCs w:val="1"/>
          <w:color w:val="auto"/>
        </w:rPr>
        <w:t xml:space="preserve">Tony Wehner — </w:t>
      </w:r>
      <w:r>
        <w:rPr>
          <w:rFonts w:ascii="Arial" w:cs="Arial" w:eastAsia="Arial" w:hAnsi="Arial"/>
          <w:sz w:val="18"/>
          <w:szCs w:val="18"/>
          <w:b w:val="1"/>
          <w:bCs w:val="1"/>
          <w:i w:val="1"/>
          <w:iCs w:val="1"/>
          <w:color w:val="auto"/>
        </w:rPr>
        <w:t>President, Main Event</w:t>
      </w:r>
      <w:r>
        <w:rPr>
          <w:rFonts w:ascii="Arial" w:cs="Arial" w:eastAsia="Arial" w:hAnsi="Arial"/>
          <w:sz w:val="23"/>
          <w:szCs w:val="23"/>
          <w:b w:val="1"/>
          <w:bCs w:val="1"/>
          <w:color w:val="auto"/>
          <w:vertAlign w:val="superscript"/>
        </w:rPr>
        <w:t>(5)</w:t>
      </w:r>
    </w:p>
    <w:p>
      <w:pPr>
        <w:ind w:left="320" w:hanging="214"/>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Lal was appointed to serve as the Company's Chief Executive Officer effective July 14, 2025.</w:t>
      </w:r>
    </w:p>
    <w:p>
      <w:pPr>
        <w:spacing w:after="0" w:line="13" w:lineRule="exact"/>
        <w:rPr>
          <w:rFonts w:ascii="Arial" w:cs="Arial" w:eastAsia="Arial" w:hAnsi="Arial"/>
          <w:sz w:val="14"/>
          <w:szCs w:val="14"/>
          <w:color w:val="auto"/>
        </w:rPr>
      </w:pPr>
    </w:p>
    <w:p>
      <w:pPr>
        <w:ind w:left="320" w:hanging="214"/>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Sheehan resigned from his position as Interim Chief Executive Officer effective July 15, 2025.</w:t>
      </w:r>
    </w:p>
    <w:p>
      <w:pPr>
        <w:spacing w:after="0" w:line="13" w:lineRule="exact"/>
        <w:rPr>
          <w:rFonts w:ascii="Arial" w:cs="Arial" w:eastAsia="Arial" w:hAnsi="Arial"/>
          <w:sz w:val="14"/>
          <w:szCs w:val="14"/>
          <w:color w:val="auto"/>
        </w:rPr>
      </w:pPr>
    </w:p>
    <w:p>
      <w:pPr>
        <w:ind w:left="340" w:right="20" w:hanging="234"/>
        <w:spacing w:after="0" w:line="250" w:lineRule="auto"/>
        <w:tabs>
          <w:tab w:leader="none" w:pos="352"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Bautista’s title was changed from Chief International Development Officer to President, International on January 1, 2026.</w:t>
      </w:r>
    </w:p>
    <w:p>
      <w:pPr>
        <w:ind w:left="320" w:hanging="214"/>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Klohn resigned from his position as Chief Information Officer effective June 7, 2026.</w:t>
      </w:r>
    </w:p>
    <w:p>
      <w:pPr>
        <w:spacing w:after="0" w:line="13" w:lineRule="exact"/>
        <w:rPr>
          <w:rFonts w:ascii="Arial" w:cs="Arial" w:eastAsia="Arial" w:hAnsi="Arial"/>
          <w:sz w:val="14"/>
          <w:szCs w:val="14"/>
          <w:color w:val="auto"/>
        </w:rPr>
      </w:pPr>
    </w:p>
    <w:p>
      <w:pPr>
        <w:ind w:left="340" w:hanging="234"/>
        <w:spacing w:after="0" w:line="282" w:lineRule="auto"/>
        <w:tabs>
          <w:tab w:leader="none" w:pos="325"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Wehner was appointed President, Main Event effective January 1, 2026. From July 2022 to December 31, 2025, Mr. Wehner’s title was Chief Operating Officer of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Executive Compensation Quick Navigation</w:t>
      </w:r>
    </w:p>
    <w:p>
      <w:pPr>
        <w:spacing w:after="0" w:line="67" w:lineRule="exact"/>
        <w:rPr>
          <w:sz w:val="20"/>
          <w:szCs w:val="20"/>
          <w:color w:val="auto"/>
        </w:rPr>
      </w:pPr>
    </w:p>
    <w:p>
      <w:pPr>
        <w:ind w:left="162" w:hanging="162"/>
        <w:spacing w:after="0"/>
        <w:tabs>
          <w:tab w:leader="none" w:pos="162" w:val="left"/>
        </w:tabs>
        <w:numPr>
          <w:ilvl w:val="0"/>
          <w:numId w:val="63"/>
        </w:numPr>
        <w:rPr>
          <w:rFonts w:ascii="Arial" w:cs="Arial" w:eastAsia="Arial" w:hAnsi="Arial"/>
          <w:sz w:val="14"/>
          <w:szCs w:val="14"/>
          <w:color w:val="003B71"/>
        </w:rPr>
      </w:pPr>
      <w:r>
        <w:rPr>
          <w:rFonts w:ascii="Arial" w:cs="Arial" w:eastAsia="Arial" w:hAnsi="Arial"/>
          <w:sz w:val="14"/>
          <w:szCs w:val="14"/>
          <w:u w:val="single" w:color="auto"/>
          <w:color w:val="0000FF"/>
        </w:rPr>
        <w:t>Compensation Discussion and Analysis</w:t>
      </w:r>
    </w:p>
    <w:p>
      <w:pPr>
        <w:spacing w:after="0" w:line="41" w:lineRule="exact"/>
        <w:rPr>
          <w:sz w:val="20"/>
          <w:szCs w:val="20"/>
          <w:color w:val="auto"/>
        </w:rPr>
      </w:pPr>
    </w:p>
    <w:p>
      <w:pPr>
        <w:jc w:val="right"/>
        <w:ind w:right="260"/>
        <w:spacing w:after="0"/>
        <w:rPr>
          <w:sz w:val="20"/>
          <w:szCs w:val="20"/>
          <w:color w:val="auto"/>
        </w:rPr>
      </w:pPr>
      <w:r>
        <w:rPr>
          <w:rFonts w:ascii="Arial" w:cs="Arial" w:eastAsia="Arial" w:hAnsi="Arial"/>
          <w:sz w:val="14"/>
          <w:szCs w:val="14"/>
          <w:color w:val="auto"/>
        </w:rPr>
        <w:t>P. 25</w:t>
      </w:r>
    </w:p>
    <w:p>
      <w:pPr>
        <w:spacing w:after="0" w:line="269" w:lineRule="exact"/>
        <w:rPr>
          <w:sz w:val="20"/>
          <w:szCs w:val="20"/>
          <w:color w:val="auto"/>
        </w:rPr>
      </w:pPr>
    </w:p>
    <w:p>
      <w:pPr>
        <w:ind w:left="162" w:hanging="162"/>
        <w:spacing w:after="0"/>
        <w:tabs>
          <w:tab w:leader="none" w:pos="162" w:val="left"/>
        </w:tabs>
        <w:numPr>
          <w:ilvl w:val="0"/>
          <w:numId w:val="64"/>
        </w:numPr>
        <w:rPr>
          <w:rFonts w:ascii="Arial" w:cs="Arial" w:eastAsia="Arial" w:hAnsi="Arial"/>
          <w:sz w:val="14"/>
          <w:szCs w:val="14"/>
          <w:color w:val="003B71"/>
        </w:rPr>
      </w:pPr>
      <w:r>
        <w:rPr>
          <w:rFonts w:ascii="Arial" w:cs="Arial" w:eastAsia="Arial" w:hAnsi="Arial"/>
          <w:sz w:val="14"/>
          <w:szCs w:val="14"/>
          <w:u w:val="single" w:color="auto"/>
          <w:color w:val="0000FF"/>
        </w:rPr>
        <w:t>Compensation Practices</w:t>
      </w:r>
    </w:p>
    <w:p>
      <w:pPr>
        <w:spacing w:after="0" w:line="41" w:lineRule="exact"/>
        <w:rPr>
          <w:sz w:val="20"/>
          <w:szCs w:val="20"/>
          <w:color w:val="auto"/>
        </w:rPr>
      </w:pPr>
    </w:p>
    <w:p>
      <w:pPr>
        <w:jc w:val="right"/>
        <w:ind w:right="260"/>
        <w:spacing w:after="0"/>
        <w:rPr>
          <w:sz w:val="20"/>
          <w:szCs w:val="20"/>
          <w:color w:val="auto"/>
        </w:rPr>
      </w:pPr>
      <w:r>
        <w:rPr>
          <w:rFonts w:ascii="Arial" w:cs="Arial" w:eastAsia="Arial" w:hAnsi="Arial"/>
          <w:sz w:val="14"/>
          <w:szCs w:val="14"/>
          <w:color w:val="auto"/>
        </w:rPr>
        <w:t>P. 27</w:t>
      </w:r>
    </w:p>
    <w:p>
      <w:pPr>
        <w:spacing w:after="0" w:line="269" w:lineRule="exact"/>
        <w:rPr>
          <w:sz w:val="20"/>
          <w:szCs w:val="20"/>
          <w:color w:val="auto"/>
        </w:rPr>
      </w:pPr>
    </w:p>
    <w:p>
      <w:pPr>
        <w:ind w:left="162" w:hanging="162"/>
        <w:spacing w:after="0"/>
        <w:tabs>
          <w:tab w:leader="none" w:pos="162" w:val="left"/>
        </w:tabs>
        <w:numPr>
          <w:ilvl w:val="0"/>
          <w:numId w:val="65"/>
        </w:numPr>
        <w:rPr>
          <w:rFonts w:ascii="Arial" w:cs="Arial" w:eastAsia="Arial" w:hAnsi="Arial"/>
          <w:sz w:val="14"/>
          <w:szCs w:val="14"/>
          <w:color w:val="003B71"/>
        </w:rPr>
      </w:pPr>
      <w:r>
        <w:rPr>
          <w:rFonts w:ascii="Arial" w:cs="Arial" w:eastAsia="Arial" w:hAnsi="Arial"/>
          <w:sz w:val="14"/>
          <w:szCs w:val="14"/>
          <w:color w:val="auto"/>
        </w:rPr>
        <w:t> </w:t>
      </w:r>
      <w:r>
        <w:rPr>
          <w:rFonts w:ascii="Arial" w:cs="Arial" w:eastAsia="Arial" w:hAnsi="Arial"/>
          <w:sz w:val="14"/>
          <w:szCs w:val="14"/>
          <w:u w:val="single" w:color="auto"/>
          <w:color w:val="0000FF"/>
        </w:rPr>
        <w:t>Elements of Compensation</w:t>
      </w:r>
    </w:p>
    <w:p>
      <w:pPr>
        <w:spacing w:after="0" w:line="41" w:lineRule="exact"/>
        <w:rPr>
          <w:sz w:val="20"/>
          <w:szCs w:val="20"/>
          <w:color w:val="auto"/>
        </w:rPr>
      </w:pPr>
    </w:p>
    <w:p>
      <w:pPr>
        <w:jc w:val="right"/>
        <w:ind w:right="260"/>
        <w:spacing w:after="0"/>
        <w:rPr>
          <w:sz w:val="20"/>
          <w:szCs w:val="20"/>
          <w:color w:val="auto"/>
        </w:rPr>
      </w:pPr>
      <w:r>
        <w:rPr>
          <w:rFonts w:ascii="Arial" w:cs="Arial" w:eastAsia="Arial" w:hAnsi="Arial"/>
          <w:sz w:val="14"/>
          <w:szCs w:val="14"/>
          <w:color w:val="auto"/>
        </w:rPr>
        <w:t>P. 30</w:t>
      </w:r>
    </w:p>
    <w:p>
      <w:pPr>
        <w:spacing w:after="0" w:line="269" w:lineRule="exact"/>
        <w:rPr>
          <w:sz w:val="20"/>
          <w:szCs w:val="20"/>
          <w:color w:val="auto"/>
        </w:rPr>
      </w:pPr>
    </w:p>
    <w:p>
      <w:pPr>
        <w:ind w:left="162" w:hanging="162"/>
        <w:spacing w:after="0"/>
        <w:tabs>
          <w:tab w:leader="none" w:pos="162" w:val="left"/>
        </w:tabs>
        <w:numPr>
          <w:ilvl w:val="0"/>
          <w:numId w:val="66"/>
        </w:numPr>
        <w:rPr>
          <w:rFonts w:ascii="Arial" w:cs="Arial" w:eastAsia="Arial" w:hAnsi="Arial"/>
          <w:sz w:val="14"/>
          <w:szCs w:val="14"/>
          <w:color w:val="003B71"/>
        </w:rPr>
      </w:pPr>
      <w:r>
        <w:rPr>
          <w:rFonts w:ascii="Arial" w:cs="Arial" w:eastAsia="Arial" w:hAnsi="Arial"/>
          <w:sz w:val="14"/>
          <w:szCs w:val="14"/>
          <w:u w:val="single" w:color="auto"/>
          <w:color w:val="0000FF"/>
        </w:rPr>
        <w:t>Stock Ownership Guidelines</w:t>
      </w:r>
    </w:p>
    <w:p>
      <w:pPr>
        <w:spacing w:after="0" w:line="41" w:lineRule="exact"/>
        <w:rPr>
          <w:sz w:val="20"/>
          <w:szCs w:val="20"/>
          <w:color w:val="auto"/>
        </w:rPr>
      </w:pPr>
    </w:p>
    <w:p>
      <w:pPr>
        <w:jc w:val="right"/>
        <w:ind w:right="260"/>
        <w:spacing w:after="0"/>
        <w:rPr>
          <w:sz w:val="20"/>
          <w:szCs w:val="20"/>
          <w:color w:val="auto"/>
        </w:rPr>
      </w:pPr>
      <w:r>
        <w:rPr>
          <w:rFonts w:ascii="Arial" w:cs="Arial" w:eastAsia="Arial" w:hAnsi="Arial"/>
          <w:sz w:val="14"/>
          <w:szCs w:val="14"/>
          <w:color w:val="auto"/>
        </w:rPr>
        <w:t>P. 36</w:t>
      </w:r>
    </w:p>
    <w:p>
      <w:pPr>
        <w:spacing w:after="0" w:line="269" w:lineRule="exact"/>
        <w:rPr>
          <w:sz w:val="20"/>
          <w:szCs w:val="20"/>
          <w:color w:val="auto"/>
        </w:rPr>
      </w:pPr>
    </w:p>
    <w:p>
      <w:pPr>
        <w:ind w:left="162" w:hanging="162"/>
        <w:spacing w:after="0"/>
        <w:tabs>
          <w:tab w:leader="none" w:pos="162" w:val="left"/>
        </w:tabs>
        <w:numPr>
          <w:ilvl w:val="0"/>
          <w:numId w:val="67"/>
        </w:numPr>
        <w:rPr>
          <w:rFonts w:ascii="Arial" w:cs="Arial" w:eastAsia="Arial" w:hAnsi="Arial"/>
          <w:sz w:val="14"/>
          <w:szCs w:val="14"/>
          <w:color w:val="003B71"/>
        </w:rPr>
      </w:pPr>
      <w:r>
        <w:rPr>
          <w:rFonts w:ascii="Arial" w:cs="Arial" w:eastAsia="Arial" w:hAnsi="Arial"/>
          <w:sz w:val="14"/>
          <w:szCs w:val="14"/>
          <w:u w:val="single" w:color="auto"/>
          <w:color w:val="0000FF"/>
        </w:rPr>
        <w:t>2025 Summary Compensation Table</w:t>
      </w:r>
    </w:p>
    <w:p>
      <w:pPr>
        <w:spacing w:after="0" w:line="41" w:lineRule="exact"/>
        <w:rPr>
          <w:sz w:val="20"/>
          <w:szCs w:val="20"/>
          <w:color w:val="auto"/>
        </w:rPr>
      </w:pPr>
    </w:p>
    <w:p>
      <w:pPr>
        <w:jc w:val="right"/>
        <w:ind w:right="260"/>
        <w:spacing w:after="0"/>
        <w:rPr>
          <w:sz w:val="20"/>
          <w:szCs w:val="20"/>
          <w:color w:val="auto"/>
        </w:rPr>
      </w:pPr>
      <w:r>
        <w:rPr>
          <w:rFonts w:ascii="Arial" w:cs="Arial" w:eastAsia="Arial" w:hAnsi="Arial"/>
          <w:sz w:val="14"/>
          <w:szCs w:val="14"/>
          <w:color w:val="auto"/>
        </w:rPr>
        <w:t>P. 38</w:t>
      </w:r>
    </w:p>
    <w:p>
      <w:pPr>
        <w:spacing w:after="0" w:line="269" w:lineRule="exact"/>
        <w:rPr>
          <w:sz w:val="20"/>
          <w:szCs w:val="20"/>
          <w:color w:val="auto"/>
        </w:rPr>
      </w:pPr>
    </w:p>
    <w:p>
      <w:pPr>
        <w:ind w:left="162" w:hanging="162"/>
        <w:spacing w:after="0"/>
        <w:tabs>
          <w:tab w:leader="none" w:pos="162" w:val="left"/>
        </w:tabs>
        <w:numPr>
          <w:ilvl w:val="0"/>
          <w:numId w:val="68"/>
        </w:numPr>
        <w:rPr>
          <w:rFonts w:ascii="Arial" w:cs="Arial" w:eastAsia="Arial" w:hAnsi="Arial"/>
          <w:sz w:val="14"/>
          <w:szCs w:val="14"/>
          <w:color w:val="auto"/>
        </w:rPr>
      </w:pPr>
      <w:r>
        <w:rPr>
          <w:rFonts w:ascii="Arial" w:cs="Arial" w:eastAsia="Arial" w:hAnsi="Arial"/>
          <w:sz w:val="14"/>
          <w:szCs w:val="14"/>
          <w:u w:val="single" w:color="auto"/>
          <w:color w:val="0000FF"/>
        </w:rPr>
        <w:t>Pay vs. Performance Disclosure</w:t>
      </w:r>
    </w:p>
    <w:p>
      <w:pPr>
        <w:spacing w:after="0" w:line="41" w:lineRule="exact"/>
        <w:rPr>
          <w:sz w:val="20"/>
          <w:szCs w:val="20"/>
          <w:color w:val="auto"/>
        </w:rPr>
      </w:pPr>
    </w:p>
    <w:p>
      <w:pPr>
        <w:jc w:val="right"/>
        <w:ind w:right="260"/>
        <w:spacing w:after="0"/>
        <w:rPr>
          <w:sz w:val="20"/>
          <w:szCs w:val="20"/>
          <w:color w:val="auto"/>
        </w:rPr>
      </w:pPr>
      <w:r>
        <w:rPr>
          <w:rFonts w:ascii="Arial" w:cs="Arial" w:eastAsia="Arial" w:hAnsi="Arial"/>
          <w:sz w:val="14"/>
          <w:szCs w:val="14"/>
          <w:color w:val="auto"/>
        </w:rPr>
        <w:t>P. 44</w:t>
      </w:r>
    </w:p>
    <w:p>
      <w:pPr>
        <w:spacing w:after="0" w:line="269" w:lineRule="exact"/>
        <w:rPr>
          <w:sz w:val="20"/>
          <w:szCs w:val="20"/>
          <w:color w:val="auto"/>
        </w:rPr>
      </w:pPr>
    </w:p>
    <w:p>
      <w:pPr>
        <w:ind w:left="162" w:hanging="162"/>
        <w:spacing w:after="0"/>
        <w:tabs>
          <w:tab w:leader="none" w:pos="162" w:val="left"/>
        </w:tabs>
        <w:numPr>
          <w:ilvl w:val="0"/>
          <w:numId w:val="69"/>
        </w:numPr>
        <w:rPr>
          <w:rFonts w:ascii="Arial" w:cs="Arial" w:eastAsia="Arial" w:hAnsi="Arial"/>
          <w:sz w:val="14"/>
          <w:szCs w:val="14"/>
          <w:color w:val="auto"/>
        </w:rPr>
      </w:pPr>
      <w:r>
        <w:rPr>
          <w:rFonts w:ascii="Arial" w:cs="Arial" w:eastAsia="Arial" w:hAnsi="Arial"/>
          <w:sz w:val="14"/>
          <w:szCs w:val="14"/>
          <w:u w:val="single" w:color="auto"/>
          <w:color w:val="0000FF"/>
        </w:rPr>
        <w:t>Employment Agreements and Other Arrangements</w:t>
      </w:r>
    </w:p>
    <w:p>
      <w:pPr>
        <w:spacing w:after="0" w:line="41" w:lineRule="exact"/>
        <w:rPr>
          <w:sz w:val="20"/>
          <w:szCs w:val="20"/>
          <w:color w:val="auto"/>
        </w:rPr>
      </w:pPr>
    </w:p>
    <w:p>
      <w:pPr>
        <w:jc w:val="right"/>
        <w:ind w:right="260"/>
        <w:spacing w:after="0"/>
        <w:rPr>
          <w:sz w:val="20"/>
          <w:szCs w:val="20"/>
          <w:color w:val="auto"/>
        </w:rPr>
      </w:pPr>
      <w:r>
        <w:rPr>
          <w:rFonts w:ascii="Arial" w:cs="Arial" w:eastAsia="Arial" w:hAnsi="Arial"/>
          <w:sz w:val="14"/>
          <w:szCs w:val="14"/>
          <w:color w:val="auto"/>
        </w:rPr>
        <w:t>P. 48</w:t>
      </w:r>
    </w:p>
    <w:p>
      <w:pPr>
        <w:spacing w:after="0" w:line="265" w:lineRule="exact"/>
        <w:rPr>
          <w:sz w:val="20"/>
          <w:szCs w:val="20"/>
          <w:color w:val="auto"/>
        </w:rPr>
      </w:pPr>
    </w:p>
    <w:p>
      <w:pPr>
        <w:ind w:left="162" w:hanging="162"/>
        <w:spacing w:after="0"/>
        <w:tabs>
          <w:tab w:leader="none" w:pos="162" w:val="left"/>
        </w:tabs>
        <w:numPr>
          <w:ilvl w:val="0"/>
          <w:numId w:val="70"/>
        </w:numPr>
        <w:rPr>
          <w:rFonts w:ascii="Arial" w:cs="Arial" w:eastAsia="Arial" w:hAnsi="Arial"/>
          <w:sz w:val="14"/>
          <w:szCs w:val="14"/>
          <w:color w:val="003B71"/>
        </w:rPr>
      </w:pPr>
      <w:r>
        <w:rPr>
          <w:rFonts w:ascii="Arial" w:cs="Arial" w:eastAsia="Arial" w:hAnsi="Arial"/>
          <w:sz w:val="14"/>
          <w:szCs w:val="14"/>
          <w:color w:val="0000FF"/>
        </w:rPr>
        <w:t>Potential Payments Upon Termination or Change-in-</w:t>
      </w:r>
    </w:p>
    <w:tbl>
      <w:tblPr>
        <w:tblLayout w:type="fixed"/>
        <w:tblInd w:w="162" w:type="dxa"/>
        <w:tblCellMar>
          <w:top w:w="0" w:type="dxa"/>
          <w:left w:w="0" w:type="dxa"/>
          <w:bottom w:w="0" w:type="dxa"/>
          <w:right w:w="0" w:type="dxa"/>
        </w:tblCellMar>
      </w:tblPr>
      <w:tr>
        <w:trPr>
          <w:trHeight w:val="155"/>
        </w:trPr>
        <w:tc>
          <w:tcPr>
            <w:tcW w:w="3300" w:type="dxa"/>
            <w:vAlign w:val="bottom"/>
            <w:tcBorders>
              <w:top w:val="single" w:sz="8" w:color="0000FF"/>
            </w:tcBorders>
            <w:gridSpan w:val="2"/>
          </w:tcPr>
          <w:p>
            <w:pPr>
              <w:spacing w:after="0" w:line="155" w:lineRule="exact"/>
              <w:rPr>
                <w:sz w:val="20"/>
                <w:szCs w:val="20"/>
                <w:color w:val="auto"/>
              </w:rPr>
            </w:pPr>
            <w:r>
              <w:rPr>
                <w:rFonts w:ascii="Arial" w:cs="Arial" w:eastAsia="Arial" w:hAnsi="Arial"/>
                <w:sz w:val="14"/>
                <w:szCs w:val="14"/>
                <w:color w:val="0000FF"/>
              </w:rPr>
              <w:t>Control</w:t>
            </w:r>
          </w:p>
        </w:tc>
        <w:tc>
          <w:tcPr>
            <w:tcW w:w="700" w:type="dxa"/>
            <w:vAlign w:val="bottom"/>
          </w:tcPr>
          <w:p>
            <w:pPr>
              <w:ind w:left="380"/>
              <w:spacing w:after="0" w:line="155" w:lineRule="exact"/>
              <w:rPr>
                <w:sz w:val="20"/>
                <w:szCs w:val="20"/>
                <w:color w:val="auto"/>
              </w:rPr>
            </w:pPr>
            <w:r>
              <w:rPr>
                <w:rFonts w:ascii="Arial" w:cs="Arial" w:eastAsia="Arial" w:hAnsi="Arial"/>
                <w:sz w:val="14"/>
                <w:szCs w:val="14"/>
                <w:color w:val="auto"/>
                <w:w w:val="91"/>
              </w:rPr>
              <w:t>P. 48</w:t>
            </w:r>
          </w:p>
        </w:tc>
      </w:tr>
      <w:tr>
        <w:trPr>
          <w:trHeight w:val="20"/>
        </w:trPr>
        <w:tc>
          <w:tcPr>
            <w:tcW w:w="46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318"/>
            <w:col w:w="4402"/>
          </w:cols>
          <w:pgMar w:left="320" w:top="927" w:right="339" w:bottom="1440" w:gutter="0" w:footer="0" w:header="0"/>
          <w:type w:val="continuous"/>
        </w:sect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Business, Strategy and Performance Highlights for Fiscal 2025</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Please see the highlights for fiscal 2025 set forth on page </w:t>
      </w:r>
      <w:r>
        <w:rPr>
          <w:rFonts w:ascii="Arial" w:cs="Arial" w:eastAsia="Arial" w:hAnsi="Arial"/>
          <w:sz w:val="18"/>
          <w:szCs w:val="18"/>
          <w:u w:val="single" w:color="auto"/>
          <w:color w:val="0000FF"/>
        </w:rPr>
        <w:t>4</w:t>
      </w:r>
      <w:r>
        <w:rPr>
          <w:rFonts w:ascii="Arial" w:cs="Arial" w:eastAsia="Arial" w:hAnsi="Arial"/>
          <w:sz w:val="18"/>
          <w:szCs w:val="18"/>
          <w:color w:val="auto"/>
        </w:rPr>
        <w:t xml:space="preserve"> of the Summary section of this Proxy Statement. We note that Adjusted EBITDA is a non-GAAP financial measure. Non-GAAP financial measures should be viewed in addition to, and not as an alternative for, financial results prepared in accordance with U.S. generally accepted accounting principles (“GAAP”). See “</w:t>
      </w:r>
      <w:r>
        <w:rPr>
          <w:rFonts w:ascii="Arial" w:cs="Arial" w:eastAsia="Arial" w:hAnsi="Arial"/>
          <w:sz w:val="18"/>
          <w:szCs w:val="18"/>
          <w:u w:val="single" w:color="auto"/>
          <w:color w:val="0000FF"/>
        </w:rPr>
        <w:t>Appendix A - Supplemental Financial</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Information</w:t>
      </w:r>
      <w:r>
        <w:rPr>
          <w:rFonts w:ascii="Arial" w:cs="Arial" w:eastAsia="Arial" w:hAnsi="Arial"/>
          <w:sz w:val="18"/>
          <w:szCs w:val="18"/>
          <w:color w:val="000000"/>
        </w:rPr>
        <w:t>” for more information about these non-GAAP financial measures and for a reconciliation of these non-GAAP financial measures to</w:t>
      </w:r>
      <w:r>
        <w:rPr>
          <w:rFonts w:ascii="Arial" w:cs="Arial" w:eastAsia="Arial" w:hAnsi="Arial"/>
          <w:sz w:val="18"/>
          <w:szCs w:val="18"/>
          <w:color w:val="0000FF"/>
        </w:rPr>
        <w:t xml:space="preserve"> </w:t>
      </w:r>
      <w:r>
        <w:rPr>
          <w:rFonts w:ascii="Arial" w:cs="Arial" w:eastAsia="Arial" w:hAnsi="Arial"/>
          <w:sz w:val="18"/>
          <w:szCs w:val="18"/>
          <w:color w:val="000000"/>
        </w:rPr>
        <w:t>the most comparable GAAP financial measures.</w:t>
      </w:r>
    </w:p>
    <w:p>
      <w:pPr>
        <w:spacing w:after="0" w:line="70" w:lineRule="exact"/>
        <w:rPr>
          <w:sz w:val="20"/>
          <w:szCs w:val="20"/>
          <w:color w:val="auto"/>
        </w:rPr>
      </w:pPr>
    </w:p>
    <w:p>
      <w:pPr>
        <w:jc w:val="both"/>
        <w:ind w:right="20"/>
        <w:spacing w:after="0" w:line="239" w:lineRule="exact"/>
        <w:rPr>
          <w:sz w:val="20"/>
          <w:szCs w:val="20"/>
          <w:color w:val="auto"/>
        </w:rPr>
      </w:pPr>
      <w:r>
        <w:rPr>
          <w:rFonts w:ascii="Arial" w:cs="Arial" w:eastAsia="Arial" w:hAnsi="Arial"/>
          <w:sz w:val="18"/>
          <w:szCs w:val="18"/>
          <w:color w:val="auto"/>
        </w:rPr>
        <w:t>In July 2025, Tarun Lal was appointed as Chief Executive Officer of the Company. Since joining the Company, Mr. Lal has focused on a back</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basics strategy designed to stabilize performance and position the business for sustained long</w:t>
      </w:r>
      <w:r>
        <w:rPr>
          <w:rFonts w:ascii="MS PGothic" w:cs="MS PGothic" w:eastAsia="MS PGothic" w:hAnsi="MS PGothic"/>
          <w:sz w:val="18"/>
          <w:szCs w:val="18"/>
          <w:color w:val="auto"/>
        </w:rPr>
        <w:t>‑</w:t>
      </w:r>
      <w:r>
        <w:rPr>
          <w:rFonts w:ascii="Arial" w:cs="Arial" w:eastAsia="Arial" w:hAnsi="Arial"/>
          <w:sz w:val="18"/>
          <w:szCs w:val="18"/>
          <w:color w:val="auto"/>
        </w:rPr>
        <w:t>term improvement.</w:t>
      </w:r>
    </w:p>
    <w:p>
      <w:pPr>
        <w:spacing w:after="0" w:line="21"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Under Mr. Lal’s leadership, management has emphasized financial discipline, with a focus on growing same</w:t>
      </w:r>
      <w:r>
        <w:rPr>
          <w:rFonts w:ascii="MS PGothic" w:cs="MS PGothic" w:eastAsia="MS PGothic" w:hAnsi="MS PGothic"/>
          <w:sz w:val="18"/>
          <w:szCs w:val="18"/>
          <w:color w:val="auto"/>
        </w:rPr>
        <w:t>‑</w:t>
      </w:r>
      <w:r>
        <w:rPr>
          <w:rFonts w:ascii="Arial" w:cs="Arial" w:eastAsia="Arial" w:hAnsi="Arial"/>
          <w:sz w:val="18"/>
          <w:szCs w:val="18"/>
          <w:color w:val="auto"/>
        </w:rPr>
        <w:t>store sales, generating meaningful free cash flow, and maintaining strict spending discipline on capital investments, including new stores and remodels. Marketing is being rebuilt to improve relevance and reach through a more disciplined, data</w:t>
      </w:r>
      <w:r>
        <w:rPr>
          <w:rFonts w:ascii="MS PGothic" w:cs="MS PGothic" w:eastAsia="MS PGothic" w:hAnsi="MS PGothic"/>
          <w:sz w:val="18"/>
          <w:szCs w:val="18"/>
          <w:color w:val="auto"/>
        </w:rPr>
        <w:t>‑</w:t>
      </w:r>
      <w:r>
        <w:rPr>
          <w:rFonts w:ascii="Arial" w:cs="Arial" w:eastAsia="Arial" w:hAnsi="Arial"/>
          <w:sz w:val="18"/>
          <w:szCs w:val="18"/>
          <w:color w:val="auto"/>
        </w:rPr>
        <w:t>driven approach, leveraging culturally relevant promotions, loyalty programs, and major events to drive brand awareness and guest traffic.</w:t>
      </w:r>
    </w:p>
    <w:p>
      <w:pPr>
        <w:spacing w:after="0" w:line="86" w:lineRule="exact"/>
        <w:rPr>
          <w:sz w:val="20"/>
          <w:szCs w:val="20"/>
          <w:color w:val="auto"/>
        </w:rPr>
      </w:pPr>
    </w:p>
    <w:p>
      <w:pPr>
        <w:jc w:val="both"/>
        <w:ind w:right="560"/>
        <w:spacing w:after="0" w:line="290" w:lineRule="auto"/>
        <w:rPr>
          <w:sz w:val="20"/>
          <w:szCs w:val="20"/>
          <w:color w:val="auto"/>
        </w:rPr>
      </w:pPr>
      <w:r>
        <w:rPr>
          <w:rFonts w:ascii="Arial" w:cs="Arial" w:eastAsia="Arial" w:hAnsi="Arial"/>
          <w:sz w:val="17"/>
          <w:szCs w:val="17"/>
          <w:color w:val="auto"/>
        </w:rPr>
        <w:t>We are also revitalizing our entertainment offerings, with a strong pipeline of new games and attractions intended to enhance the guest experience and drive repeat visits. Operational execution and culture are central to the turnaround, with investments in training, service standards, employee incentives, and a unified company culture to deliver consistently excellent guest experiences across the system.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Summary</w:t>
      </w:r>
    </w:p>
    <w:p>
      <w:pPr>
        <w:spacing w:after="0" w:line="113"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Fiscal 2025 was a year of transition for Dave &amp; Buster’s, marked by a challenging operating environment and a significant leadership change with the appointment of our new Chief Executive Officer. Against this backdrop, the Compensation Committee remained focused on reinforcing pay</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performance principles, supporting leadership continuity, and aligning executive compensation with both near</w:t>
      </w:r>
      <w:r>
        <w:rPr>
          <w:rFonts w:ascii="MS PGothic" w:cs="MS PGothic" w:eastAsia="MS PGothic" w:hAnsi="MS PGothic"/>
          <w:sz w:val="18"/>
          <w:szCs w:val="18"/>
          <w:color w:val="auto"/>
        </w:rPr>
        <w:t>‑</w:t>
      </w:r>
      <w:r>
        <w:rPr>
          <w:rFonts w:ascii="Arial" w:cs="Arial" w:eastAsia="Arial" w:hAnsi="Arial"/>
          <w:sz w:val="18"/>
          <w:szCs w:val="18"/>
          <w:color w:val="auto"/>
        </w:rPr>
        <w:t>term execution priorities and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257175</wp:posOffset>
            </wp:positionV>
            <wp:extent cx="71329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25</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1" w:name="page32"/>
    <w:bookmarkEnd w:id="31"/>
    <w:p>
      <w:pPr>
        <w:jc w:val="both"/>
        <w:spacing w:after="0" w:line="267" w:lineRule="auto"/>
        <w:rPr>
          <w:sz w:val="20"/>
          <w:szCs w:val="20"/>
          <w:color w:val="auto"/>
        </w:rPr>
      </w:pPr>
      <w:r>
        <w:rPr>
          <w:rFonts w:ascii="Arial" w:cs="Arial" w:eastAsia="Arial" w:hAnsi="Arial"/>
          <w:sz w:val="18"/>
          <w:szCs w:val="18"/>
          <w:color w:val="auto"/>
        </w:rPr>
        <w:t>During fiscal 2025, we experienced pressure on key financial performance metrics, including Comparable Store Sales Growth, Total Revenue and Incentive Adjusted EBITDA, which directly impacted payouts under our annual incentive plan. Consistent with our compensation philosophy, no payouts were earned with respect to the Company performance components of the annual incentive plan.</w:t>
      </w:r>
    </w:p>
    <w:p>
      <w:pPr>
        <w:spacing w:after="0" w:line="62" w:lineRule="exact"/>
        <w:rPr>
          <w:sz w:val="20"/>
          <w:szCs w:val="20"/>
          <w:color w:val="auto"/>
        </w:rPr>
      </w:pPr>
    </w:p>
    <w:p>
      <w:pPr>
        <w:jc w:val="both"/>
        <w:spacing w:after="0" w:line="225" w:lineRule="exact"/>
        <w:rPr>
          <w:sz w:val="20"/>
          <w:szCs w:val="20"/>
          <w:color w:val="auto"/>
        </w:rPr>
      </w:pPr>
      <w:r>
        <w:rPr>
          <w:rFonts w:ascii="Arial" w:cs="Arial" w:eastAsia="Arial" w:hAnsi="Arial"/>
          <w:sz w:val="18"/>
          <w:szCs w:val="18"/>
          <w:color w:val="auto"/>
        </w:rPr>
        <w:t>Mr. Lal joined the Company as Chief Executive Officer at a critical point in the Company’s evolution. The Compensation Committee structured Mr. Lal’s compensation to clearly differentiate between (i) market</w:t>
      </w:r>
      <w:r>
        <w:rPr>
          <w:rFonts w:ascii="MS PGothic" w:cs="MS PGothic" w:eastAsia="MS PGothic" w:hAnsi="MS PGothic"/>
          <w:sz w:val="18"/>
          <w:szCs w:val="18"/>
          <w:color w:val="auto"/>
        </w:rPr>
        <w:t>‑</w:t>
      </w:r>
      <w:r>
        <w:rPr>
          <w:rFonts w:ascii="Arial" w:cs="Arial" w:eastAsia="Arial" w:hAnsi="Arial"/>
          <w:sz w:val="18"/>
          <w:szCs w:val="18"/>
          <w:color w:val="auto"/>
        </w:rPr>
        <w:t>competitive ongoing compensation elements applicable to all executive officers and (ii) one</w:t>
      </w:r>
      <w:r>
        <w:rPr>
          <w:rFonts w:ascii="MS PGothic" w:cs="MS PGothic" w:eastAsia="MS PGothic" w:hAnsi="MS PGothic"/>
          <w:sz w:val="18"/>
          <w:szCs w:val="18"/>
          <w:color w:val="auto"/>
        </w:rPr>
        <w:t>‑</w:t>
      </w:r>
      <w:r>
        <w:rPr>
          <w:rFonts w:ascii="Arial" w:cs="Arial" w:eastAsia="Arial" w:hAnsi="Arial"/>
          <w:sz w:val="18"/>
          <w:szCs w:val="18"/>
          <w:color w:val="auto"/>
        </w:rPr>
        <w:t>time inducement and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designed to attract a proven leader, support leadership transition, and drive multi</w:t>
      </w:r>
      <w:r>
        <w:rPr>
          <w:rFonts w:ascii="MS PGothic" w:cs="MS PGothic" w:eastAsia="MS PGothic" w:hAnsi="MS PGothic"/>
          <w:sz w:val="18"/>
          <w:szCs w:val="18"/>
          <w:color w:val="auto"/>
        </w:rPr>
        <w:t>‑</w:t>
      </w:r>
      <w:r>
        <w:rPr>
          <w:rFonts w:ascii="Arial" w:cs="Arial" w:eastAsia="Arial" w:hAnsi="Arial"/>
          <w:sz w:val="18"/>
          <w:szCs w:val="18"/>
          <w:color w:val="auto"/>
        </w:rPr>
        <w:t>year value creation for shareholders. These inducement awards were heavily weighted toward equity, subject to multi</w:t>
      </w:r>
      <w:r>
        <w:rPr>
          <w:rFonts w:ascii="MS PGothic" w:cs="MS PGothic" w:eastAsia="MS PGothic" w:hAnsi="MS PGothic"/>
          <w:sz w:val="18"/>
          <w:szCs w:val="18"/>
          <w:color w:val="auto"/>
        </w:rPr>
        <w:t>‑</w:t>
      </w:r>
      <w:r>
        <w:rPr>
          <w:rFonts w:ascii="Arial" w:cs="Arial" w:eastAsia="Arial" w:hAnsi="Arial"/>
          <w:sz w:val="18"/>
          <w:szCs w:val="18"/>
          <w:color w:val="auto"/>
        </w:rPr>
        <w:t>year vesting and performance conditions, and were intended to align Mr. Lal’s long</w:t>
      </w:r>
      <w:r>
        <w:rPr>
          <w:rFonts w:ascii="MS PGothic" w:cs="MS PGothic" w:eastAsia="MS PGothic" w:hAnsi="MS PGothic"/>
          <w:sz w:val="18"/>
          <w:szCs w:val="18"/>
          <w:color w:val="auto"/>
        </w:rPr>
        <w:t>‑</w:t>
      </w:r>
      <w:r>
        <w:rPr>
          <w:rFonts w:ascii="Arial" w:cs="Arial" w:eastAsia="Arial" w:hAnsi="Arial"/>
          <w:sz w:val="18"/>
          <w:szCs w:val="18"/>
          <w:color w:val="auto"/>
        </w:rPr>
        <w:t>term interests with those of our shareholders.</w:t>
      </w:r>
    </w:p>
    <w:p>
      <w:pPr>
        <w:spacing w:after="0" w:line="61" w:lineRule="exact"/>
        <w:rPr>
          <w:sz w:val="20"/>
          <w:szCs w:val="20"/>
          <w:color w:val="auto"/>
        </w:rPr>
      </w:pPr>
    </w:p>
    <w:p>
      <w:pPr>
        <w:jc w:val="both"/>
        <w:spacing w:after="0" w:line="239" w:lineRule="exact"/>
        <w:rPr>
          <w:sz w:val="20"/>
          <w:szCs w:val="20"/>
          <w:color w:val="auto"/>
        </w:rPr>
      </w:pPr>
      <w:r>
        <w:rPr>
          <w:rFonts w:ascii="Arial" w:cs="Arial" w:eastAsia="Arial" w:hAnsi="Arial"/>
          <w:sz w:val="18"/>
          <w:szCs w:val="18"/>
          <w:color w:val="auto"/>
        </w:rPr>
        <w:t>The Compensation Committee believes the compensation decisions made during fiscal 2025 appropriately balance accountability for short</w:t>
      </w:r>
      <w:r>
        <w:rPr>
          <w:rFonts w:ascii="MS PGothic" w:cs="MS PGothic" w:eastAsia="MS PGothic" w:hAnsi="MS PGothic"/>
          <w:sz w:val="18"/>
          <w:szCs w:val="18"/>
          <w:color w:val="auto"/>
        </w:rPr>
        <w:t>‑</w:t>
      </w:r>
      <w:r>
        <w:rPr>
          <w:rFonts w:ascii="Arial" w:cs="Arial" w:eastAsia="Arial" w:hAnsi="Arial"/>
          <w:sz w:val="18"/>
          <w:szCs w:val="18"/>
          <w:color w:val="auto"/>
        </w:rPr>
        <w:t>term performance with the need to recruit, retain and motivate leadership capable of executing our long</w:t>
      </w:r>
      <w:r>
        <w:rPr>
          <w:rFonts w:ascii="MS PGothic" w:cs="MS PGothic" w:eastAsia="MS PGothic" w:hAnsi="MS PGothic"/>
          <w:sz w:val="18"/>
          <w:szCs w:val="18"/>
          <w:color w:val="auto"/>
        </w:rPr>
        <w:t>‑</w:t>
      </w:r>
      <w:r>
        <w:rPr>
          <w:rFonts w:ascii="Arial" w:cs="Arial" w:eastAsia="Arial" w:hAnsi="Arial"/>
          <w:sz w:val="18"/>
          <w:szCs w:val="18"/>
          <w:color w:val="auto"/>
        </w:rPr>
        <w:t>term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Pay at a Glance - Tarun Lal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0815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81520" cy="825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Borders>
              <w:bottom w:val="single" w:sz="8" w:color="00497F"/>
            </w:tcBorders>
          </w:tcPr>
          <w:p>
            <w:pPr>
              <w:ind w:left="1420"/>
              <w:spacing w:after="0"/>
              <w:rPr>
                <w:sz w:val="20"/>
                <w:szCs w:val="20"/>
                <w:color w:val="auto"/>
              </w:rPr>
            </w:pPr>
            <w:r>
              <w:rPr>
                <w:rFonts w:ascii="Arial" w:cs="Arial" w:eastAsia="Arial" w:hAnsi="Arial"/>
                <w:sz w:val="14"/>
                <w:szCs w:val="14"/>
                <w:b w:val="1"/>
                <w:bCs w:val="1"/>
                <w:color w:val="144065"/>
              </w:rPr>
              <w:t>Component</w:t>
            </w:r>
          </w:p>
        </w:tc>
        <w:tc>
          <w:tcPr>
            <w:tcW w:w="8140" w:type="dxa"/>
            <w:vAlign w:val="bottom"/>
            <w:tcBorders>
              <w:bottom w:val="single" w:sz="8" w:color="00497F"/>
            </w:tcBorders>
          </w:tcPr>
          <w:p>
            <w:pPr>
              <w:ind w:left="3980"/>
              <w:spacing w:after="0"/>
              <w:rPr>
                <w:sz w:val="20"/>
                <w:szCs w:val="20"/>
                <w:color w:val="auto"/>
              </w:rPr>
            </w:pPr>
            <w:r>
              <w:rPr>
                <w:rFonts w:ascii="Arial" w:cs="Arial" w:eastAsia="Arial" w:hAnsi="Arial"/>
                <w:sz w:val="14"/>
                <w:szCs w:val="14"/>
                <w:b w:val="1"/>
                <w:bCs w:val="1"/>
                <w:color w:val="144065"/>
              </w:rPr>
              <w:t>Description</w:t>
            </w:r>
          </w:p>
        </w:tc>
      </w:tr>
      <w:tr>
        <w:trPr>
          <w:trHeight w:val="208"/>
        </w:trPr>
        <w:tc>
          <w:tcPr>
            <w:tcW w:w="3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Role Start Date</w:t>
            </w:r>
          </w:p>
        </w:tc>
        <w:tc>
          <w:tcPr>
            <w:tcW w:w="8140" w:type="dxa"/>
            <w:vAlign w:val="bottom"/>
            <w:tcBorders>
              <w:bottom w:val="single" w:sz="8" w:color="DBDBDB"/>
            </w:tcBorders>
            <w:shd w:val="clear" w:color="auto" w:fill="DBDBDB"/>
          </w:tcPr>
          <w:p>
            <w:pPr>
              <w:ind w:left="600"/>
              <w:spacing w:after="0"/>
              <w:rPr>
                <w:sz w:val="20"/>
                <w:szCs w:val="20"/>
                <w:color w:val="auto"/>
              </w:rPr>
            </w:pPr>
            <w:r>
              <w:rPr>
                <w:rFonts w:ascii="Arial" w:cs="Arial" w:eastAsia="Arial" w:hAnsi="Arial"/>
                <w:sz w:val="14"/>
                <w:szCs w:val="14"/>
                <w:color w:val="auto"/>
              </w:rPr>
              <w:t>Appointed Chief Executive Officer effective July 14, 2025.</w:t>
            </w:r>
          </w:p>
        </w:tc>
      </w:tr>
      <w:tr>
        <w:trPr>
          <w:trHeight w:val="192"/>
        </w:trPr>
        <w:tc>
          <w:tcPr>
            <w:tcW w:w="3020" w:type="dxa"/>
            <w:vAlign w:val="bottom"/>
          </w:tcPr>
          <w:p>
            <w:pPr>
              <w:ind w:left="20"/>
              <w:spacing w:after="0"/>
              <w:rPr>
                <w:sz w:val="20"/>
                <w:szCs w:val="20"/>
                <w:color w:val="auto"/>
              </w:rPr>
            </w:pPr>
            <w:r>
              <w:rPr>
                <w:rFonts w:ascii="Arial" w:cs="Arial" w:eastAsia="Arial" w:hAnsi="Arial"/>
                <w:sz w:val="14"/>
                <w:szCs w:val="14"/>
                <w:color w:val="auto"/>
              </w:rPr>
              <w:t>Business Context</w:t>
            </w:r>
          </w:p>
        </w:tc>
        <w:tc>
          <w:tcPr>
            <w:tcW w:w="8140" w:type="dxa"/>
            <w:vAlign w:val="bottom"/>
          </w:tcPr>
          <w:p>
            <w:pPr>
              <w:ind w:left="600"/>
              <w:spacing w:after="0"/>
              <w:rPr>
                <w:sz w:val="20"/>
                <w:szCs w:val="20"/>
                <w:color w:val="auto"/>
              </w:rPr>
            </w:pPr>
            <w:r>
              <w:rPr>
                <w:rFonts w:ascii="Arial" w:cs="Arial" w:eastAsia="Arial" w:hAnsi="Arial"/>
                <w:sz w:val="14"/>
                <w:szCs w:val="14"/>
                <w:color w:val="auto"/>
              </w:rPr>
              <w:t>Leadership transition during a challenging operating environment with pressure on comparable store sales and</w:t>
            </w:r>
          </w:p>
        </w:tc>
      </w:tr>
      <w:tr>
        <w:trPr>
          <w:trHeight w:val="190"/>
        </w:trPr>
        <w:tc>
          <w:tcPr>
            <w:tcW w:w="3020" w:type="dxa"/>
            <w:vAlign w:val="bottom"/>
          </w:tcPr>
          <w:p>
            <w:pPr>
              <w:spacing w:after="0"/>
              <w:rPr>
                <w:sz w:val="16"/>
                <w:szCs w:val="16"/>
                <w:color w:val="auto"/>
              </w:rPr>
            </w:pPr>
          </w:p>
        </w:tc>
        <w:tc>
          <w:tcPr>
            <w:tcW w:w="8140" w:type="dxa"/>
            <w:vAlign w:val="bottom"/>
          </w:tcPr>
          <w:p>
            <w:pPr>
              <w:ind w:left="600"/>
              <w:spacing w:after="0"/>
              <w:rPr>
                <w:sz w:val="20"/>
                <w:szCs w:val="20"/>
                <w:color w:val="auto"/>
              </w:rPr>
            </w:pPr>
            <w:r>
              <w:rPr>
                <w:rFonts w:ascii="Arial" w:cs="Arial" w:eastAsia="Arial" w:hAnsi="Arial"/>
                <w:sz w:val="14"/>
                <w:szCs w:val="14"/>
                <w:color w:val="auto"/>
              </w:rPr>
              <w:t>profitability.</w:t>
            </w:r>
          </w:p>
        </w:tc>
      </w:tr>
      <w:tr>
        <w:trPr>
          <w:trHeight w:val="21"/>
        </w:trPr>
        <w:tc>
          <w:tcPr>
            <w:tcW w:w="30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2"/>
        </w:trPr>
        <w:tc>
          <w:tcPr>
            <w:tcW w:w="302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Annual Cash Incentive</w:t>
            </w:r>
          </w:p>
        </w:tc>
        <w:tc>
          <w:tcPr>
            <w:tcW w:w="8140" w:type="dxa"/>
            <w:vAlign w:val="bottom"/>
            <w:shd w:val="clear" w:color="auto" w:fill="DBDBDB"/>
          </w:tcPr>
          <w:p>
            <w:pPr>
              <w:ind w:left="600"/>
              <w:spacing w:after="0"/>
              <w:rPr>
                <w:sz w:val="20"/>
                <w:szCs w:val="20"/>
                <w:color w:val="auto"/>
              </w:rPr>
            </w:pPr>
            <w:r>
              <w:rPr>
                <w:rFonts w:ascii="Arial" w:cs="Arial" w:eastAsia="Arial" w:hAnsi="Arial"/>
                <w:sz w:val="14"/>
                <w:szCs w:val="14"/>
                <w:color w:val="auto"/>
              </w:rPr>
              <w:t>No bonus paid for fiscal 2025. Mr. Lal did not meet the specific eligibility conditions established by the Compensation</w:t>
            </w:r>
          </w:p>
        </w:tc>
      </w:tr>
      <w:tr>
        <w:trPr>
          <w:trHeight w:val="191"/>
        </w:trPr>
        <w:tc>
          <w:tcPr>
            <w:tcW w:w="3020" w:type="dxa"/>
            <w:vAlign w:val="bottom"/>
            <w:tcBorders>
              <w:bottom w:val="single" w:sz="8" w:color="DBDBDB"/>
            </w:tcBorders>
            <w:shd w:val="clear" w:color="auto" w:fill="DBDBDB"/>
          </w:tcPr>
          <w:p>
            <w:pPr>
              <w:spacing w:after="0"/>
              <w:rPr>
                <w:sz w:val="16"/>
                <w:szCs w:val="16"/>
                <w:color w:val="auto"/>
              </w:rPr>
            </w:pPr>
          </w:p>
        </w:tc>
        <w:tc>
          <w:tcPr>
            <w:tcW w:w="8140" w:type="dxa"/>
            <w:vAlign w:val="bottom"/>
            <w:tcBorders>
              <w:bottom w:val="single" w:sz="8" w:color="DBDBDB"/>
            </w:tcBorders>
            <w:shd w:val="clear" w:color="auto" w:fill="DBDBDB"/>
          </w:tcPr>
          <w:p>
            <w:pPr>
              <w:ind w:left="600"/>
              <w:spacing w:after="0"/>
              <w:rPr>
                <w:sz w:val="20"/>
                <w:szCs w:val="20"/>
                <w:color w:val="auto"/>
              </w:rPr>
            </w:pPr>
            <w:r>
              <w:rPr>
                <w:rFonts w:ascii="Arial" w:cs="Arial" w:eastAsia="Arial" w:hAnsi="Arial"/>
                <w:sz w:val="14"/>
                <w:szCs w:val="14"/>
                <w:color w:val="auto"/>
              </w:rPr>
              <w:t>Committee for his partial-year service.</w:t>
            </w:r>
          </w:p>
        </w:tc>
      </w:tr>
      <w:tr>
        <w:trPr>
          <w:trHeight w:val="207"/>
        </w:trPr>
        <w:tc>
          <w:tcPr>
            <w:tcW w:w="3020" w:type="dxa"/>
            <w:vAlign w:val="bottom"/>
          </w:tcPr>
          <w:p>
            <w:pPr>
              <w:ind w:left="20"/>
              <w:spacing w:after="0"/>
              <w:rPr>
                <w:sz w:val="20"/>
                <w:szCs w:val="20"/>
                <w:color w:val="auto"/>
              </w:rPr>
            </w:pPr>
            <w:r>
              <w:rPr>
                <w:rFonts w:ascii="Arial" w:cs="Arial" w:eastAsia="Arial" w:hAnsi="Arial"/>
                <w:sz w:val="14"/>
                <w:szCs w:val="14"/>
                <w:color w:val="auto"/>
              </w:rPr>
              <w:t>Base Salary</w:t>
            </w:r>
          </w:p>
        </w:tc>
        <w:tc>
          <w:tcPr>
            <w:tcW w:w="8140" w:type="dxa"/>
            <w:vAlign w:val="bottom"/>
          </w:tcPr>
          <w:p>
            <w:pPr>
              <w:ind w:left="600"/>
              <w:spacing w:after="0"/>
              <w:rPr>
                <w:sz w:val="20"/>
                <w:szCs w:val="20"/>
                <w:color w:val="auto"/>
              </w:rPr>
            </w:pPr>
            <w:r>
              <w:rPr>
                <w:rFonts w:ascii="Arial" w:cs="Arial" w:eastAsia="Arial" w:hAnsi="Arial"/>
                <w:sz w:val="14"/>
                <w:szCs w:val="14"/>
                <w:color w:val="auto"/>
              </w:rPr>
              <w:t>$800,000 annualized; received on a prorated basis for fiscal 2025.</w:t>
            </w:r>
          </w:p>
        </w:tc>
      </w:tr>
      <w:tr>
        <w:trPr>
          <w:trHeight w:val="21"/>
        </w:trPr>
        <w:tc>
          <w:tcPr>
            <w:tcW w:w="30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2"/>
        </w:trPr>
        <w:tc>
          <w:tcPr>
            <w:tcW w:w="3020" w:type="dxa"/>
            <w:vAlign w:val="bottom"/>
            <w:shd w:val="clear" w:color="auto" w:fill="DBDBDB"/>
          </w:tcPr>
          <w:p>
            <w:pPr>
              <w:ind w:left="20"/>
              <w:spacing w:after="0"/>
              <w:rPr>
                <w:sz w:val="20"/>
                <w:szCs w:val="20"/>
                <w:color w:val="auto"/>
              </w:rPr>
            </w:pPr>
            <w:r>
              <w:rPr>
                <w:rFonts w:ascii="Arial" w:cs="Arial" w:eastAsia="Arial" w:hAnsi="Arial"/>
                <w:sz w:val="14"/>
                <w:szCs w:val="14"/>
                <w:color w:val="auto"/>
              </w:rPr>
              <w:t>One-Time Inducement Equity Awards</w:t>
            </w:r>
          </w:p>
        </w:tc>
        <w:tc>
          <w:tcPr>
            <w:tcW w:w="8140" w:type="dxa"/>
            <w:vAlign w:val="bottom"/>
            <w:shd w:val="clear" w:color="auto" w:fill="DBDBDB"/>
          </w:tcPr>
          <w:p>
            <w:pPr>
              <w:ind w:left="600"/>
              <w:spacing w:after="0"/>
              <w:rPr>
                <w:sz w:val="20"/>
                <w:szCs w:val="20"/>
                <w:color w:val="auto"/>
              </w:rPr>
            </w:pPr>
            <w:r>
              <w:rPr>
                <w:rFonts w:ascii="Arial" w:cs="Arial" w:eastAsia="Arial" w:hAnsi="Arial"/>
                <w:sz w:val="14"/>
                <w:szCs w:val="14"/>
                <w:color w:val="auto"/>
              </w:rPr>
              <w:t>Significant equity awards granted upon hire as a material inducement to join the Company and lead a multi-year</w:t>
            </w:r>
          </w:p>
        </w:tc>
      </w:tr>
      <w:tr>
        <w:trPr>
          <w:trHeight w:val="191"/>
        </w:trPr>
        <w:tc>
          <w:tcPr>
            <w:tcW w:w="3020" w:type="dxa"/>
            <w:vAlign w:val="bottom"/>
            <w:tcBorders>
              <w:bottom w:val="single" w:sz="8" w:color="DBDBDB"/>
            </w:tcBorders>
            <w:shd w:val="clear" w:color="auto" w:fill="DBDBDB"/>
          </w:tcPr>
          <w:p>
            <w:pPr>
              <w:spacing w:after="0"/>
              <w:rPr>
                <w:sz w:val="16"/>
                <w:szCs w:val="16"/>
                <w:color w:val="auto"/>
              </w:rPr>
            </w:pPr>
          </w:p>
        </w:tc>
        <w:tc>
          <w:tcPr>
            <w:tcW w:w="8140" w:type="dxa"/>
            <w:vAlign w:val="bottom"/>
            <w:tcBorders>
              <w:bottom w:val="single" w:sz="8" w:color="DBDBDB"/>
            </w:tcBorders>
            <w:shd w:val="clear" w:color="auto" w:fill="DBDBDB"/>
          </w:tcPr>
          <w:p>
            <w:pPr>
              <w:ind w:left="600"/>
              <w:spacing w:after="0"/>
              <w:rPr>
                <w:sz w:val="20"/>
                <w:szCs w:val="20"/>
                <w:color w:val="auto"/>
              </w:rPr>
            </w:pPr>
            <w:r>
              <w:rPr>
                <w:rFonts w:ascii="Arial" w:cs="Arial" w:eastAsia="Arial" w:hAnsi="Arial"/>
                <w:sz w:val="14"/>
                <w:szCs w:val="14"/>
                <w:color w:val="auto"/>
              </w:rPr>
              <w:t>turnaround.</w:t>
            </w:r>
          </w:p>
        </w:tc>
      </w:tr>
      <w:tr>
        <w:trPr>
          <w:trHeight w:val="207"/>
        </w:trPr>
        <w:tc>
          <w:tcPr>
            <w:tcW w:w="3020" w:type="dxa"/>
            <w:vAlign w:val="bottom"/>
          </w:tcPr>
          <w:p>
            <w:pPr>
              <w:ind w:left="20"/>
              <w:spacing w:after="0"/>
              <w:rPr>
                <w:sz w:val="20"/>
                <w:szCs w:val="20"/>
                <w:color w:val="auto"/>
              </w:rPr>
            </w:pPr>
            <w:r>
              <w:rPr>
                <w:rFonts w:ascii="Arial" w:cs="Arial" w:eastAsia="Arial" w:hAnsi="Arial"/>
                <w:sz w:val="14"/>
                <w:szCs w:val="14"/>
                <w:color w:val="auto"/>
              </w:rPr>
              <w:t>Nature of Inducement Awards</w:t>
            </w:r>
          </w:p>
        </w:tc>
        <w:tc>
          <w:tcPr>
            <w:tcW w:w="8140" w:type="dxa"/>
            <w:vAlign w:val="bottom"/>
          </w:tcPr>
          <w:p>
            <w:pPr>
              <w:ind w:left="600"/>
              <w:spacing w:after="0"/>
              <w:rPr>
                <w:sz w:val="20"/>
                <w:szCs w:val="20"/>
                <w:color w:val="auto"/>
              </w:rPr>
            </w:pPr>
            <w:r>
              <w:rPr>
                <w:rFonts w:ascii="Arial" w:cs="Arial" w:eastAsia="Arial" w:hAnsi="Arial"/>
                <w:sz w:val="14"/>
                <w:szCs w:val="14"/>
                <w:color w:val="auto"/>
              </w:rPr>
              <w:t>Not tied to fiscal 2025 results; designed to promote leadership continuity and long-term shareholder value creation.</w:t>
            </w:r>
          </w:p>
        </w:tc>
      </w:tr>
      <w:tr>
        <w:trPr>
          <w:trHeight w:val="21"/>
        </w:trPr>
        <w:tc>
          <w:tcPr>
            <w:tcW w:w="30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192"/>
        </w:trPr>
        <w:tc>
          <w:tcPr>
            <w:tcW w:w="3020" w:type="dxa"/>
            <w:vAlign w:val="bottom"/>
            <w:shd w:val="clear" w:color="auto" w:fill="DBDBDB"/>
          </w:tcPr>
          <w:p>
            <w:pPr>
              <w:ind w:left="20"/>
              <w:spacing w:after="0"/>
              <w:rPr>
                <w:sz w:val="20"/>
                <w:szCs w:val="20"/>
                <w:color w:val="auto"/>
              </w:rPr>
            </w:pPr>
            <w:r>
              <w:rPr>
                <w:rFonts w:ascii="Arial" w:cs="Arial" w:eastAsia="Arial" w:hAnsi="Arial"/>
                <w:sz w:val="14"/>
                <w:szCs w:val="14"/>
                <w:color w:val="auto"/>
              </w:rPr>
              <w:t>Vesting Conditions</w:t>
            </w:r>
          </w:p>
        </w:tc>
        <w:tc>
          <w:tcPr>
            <w:tcW w:w="8140" w:type="dxa"/>
            <w:vAlign w:val="bottom"/>
            <w:shd w:val="clear" w:color="auto" w:fill="DBDBDB"/>
          </w:tcPr>
          <w:p>
            <w:pPr>
              <w:ind w:left="600"/>
              <w:spacing w:after="0"/>
              <w:rPr>
                <w:sz w:val="20"/>
                <w:szCs w:val="20"/>
                <w:color w:val="auto"/>
              </w:rPr>
            </w:pPr>
            <w:r>
              <w:rPr>
                <w:rFonts w:ascii="Arial" w:cs="Arial" w:eastAsia="Arial" w:hAnsi="Arial"/>
                <w:sz w:val="14"/>
                <w:szCs w:val="14"/>
                <w:color w:val="auto"/>
              </w:rPr>
              <w:t>Subject to multi-year service requirements and, in several cases, performance-based vesting tied to sustained</w:t>
            </w:r>
          </w:p>
        </w:tc>
      </w:tr>
      <w:tr>
        <w:trPr>
          <w:trHeight w:val="191"/>
        </w:trPr>
        <w:tc>
          <w:tcPr>
            <w:tcW w:w="3020" w:type="dxa"/>
            <w:vAlign w:val="bottom"/>
            <w:tcBorders>
              <w:bottom w:val="single" w:sz="8" w:color="DBDBDB"/>
            </w:tcBorders>
            <w:shd w:val="clear" w:color="auto" w:fill="DBDBDB"/>
          </w:tcPr>
          <w:p>
            <w:pPr>
              <w:spacing w:after="0"/>
              <w:rPr>
                <w:sz w:val="16"/>
                <w:szCs w:val="16"/>
                <w:color w:val="auto"/>
              </w:rPr>
            </w:pPr>
          </w:p>
        </w:tc>
        <w:tc>
          <w:tcPr>
            <w:tcW w:w="8140" w:type="dxa"/>
            <w:vAlign w:val="bottom"/>
            <w:tcBorders>
              <w:bottom w:val="single" w:sz="8" w:color="DBDBDB"/>
            </w:tcBorders>
            <w:shd w:val="clear" w:color="auto" w:fill="DBDBDB"/>
          </w:tcPr>
          <w:p>
            <w:pPr>
              <w:ind w:left="600"/>
              <w:spacing w:after="0"/>
              <w:rPr>
                <w:sz w:val="20"/>
                <w:szCs w:val="20"/>
                <w:color w:val="auto"/>
              </w:rPr>
            </w:pPr>
            <w:r>
              <w:rPr>
                <w:rFonts w:ascii="Arial" w:cs="Arial" w:eastAsia="Arial" w:hAnsi="Arial"/>
                <w:sz w:val="14"/>
                <w:szCs w:val="14"/>
                <w:color w:val="auto"/>
              </w:rPr>
              <w:t>improvements in same-store sales, Adjusted EBITDA growth and stock price performance.</w:t>
            </w:r>
          </w:p>
        </w:tc>
      </w:tr>
      <w:tr>
        <w:trPr>
          <w:trHeight w:val="192"/>
        </w:trPr>
        <w:tc>
          <w:tcPr>
            <w:tcW w:w="3020" w:type="dxa"/>
            <w:vAlign w:val="bottom"/>
          </w:tcPr>
          <w:p>
            <w:pPr>
              <w:ind w:left="20"/>
              <w:spacing w:after="0"/>
              <w:rPr>
                <w:sz w:val="20"/>
                <w:szCs w:val="20"/>
                <w:color w:val="auto"/>
              </w:rPr>
            </w:pPr>
            <w:r>
              <w:rPr>
                <w:rFonts w:ascii="Arial" w:cs="Arial" w:eastAsia="Arial" w:hAnsi="Arial"/>
                <w:sz w:val="14"/>
                <w:szCs w:val="14"/>
                <w:color w:val="auto"/>
              </w:rPr>
              <w:t>Pay-for-Performance Alignment</w:t>
            </w:r>
          </w:p>
        </w:tc>
        <w:tc>
          <w:tcPr>
            <w:tcW w:w="8140" w:type="dxa"/>
            <w:vAlign w:val="bottom"/>
          </w:tcPr>
          <w:p>
            <w:pPr>
              <w:ind w:left="600"/>
              <w:spacing w:after="0"/>
              <w:rPr>
                <w:sz w:val="20"/>
                <w:szCs w:val="20"/>
                <w:color w:val="auto"/>
              </w:rPr>
            </w:pPr>
            <w:r>
              <w:rPr>
                <w:rFonts w:ascii="Arial" w:cs="Arial" w:eastAsia="Arial" w:hAnsi="Arial"/>
                <w:sz w:val="14"/>
                <w:szCs w:val="14"/>
                <w:color w:val="auto"/>
              </w:rPr>
              <w:t>A substantial portion of Mr. Lal’s reported fiscal 2025 compensation is at risk and may never be realized if long-term</w:t>
            </w:r>
          </w:p>
        </w:tc>
      </w:tr>
      <w:tr>
        <w:trPr>
          <w:trHeight w:val="190"/>
        </w:trPr>
        <w:tc>
          <w:tcPr>
            <w:tcW w:w="3020" w:type="dxa"/>
            <w:vAlign w:val="bottom"/>
          </w:tcPr>
          <w:p>
            <w:pPr>
              <w:spacing w:after="0"/>
              <w:rPr>
                <w:sz w:val="16"/>
                <w:szCs w:val="16"/>
                <w:color w:val="auto"/>
              </w:rPr>
            </w:pPr>
          </w:p>
        </w:tc>
        <w:tc>
          <w:tcPr>
            <w:tcW w:w="8140" w:type="dxa"/>
            <w:vAlign w:val="bottom"/>
          </w:tcPr>
          <w:p>
            <w:pPr>
              <w:ind w:left="600"/>
              <w:spacing w:after="0"/>
              <w:rPr>
                <w:sz w:val="20"/>
                <w:szCs w:val="20"/>
                <w:color w:val="auto"/>
              </w:rPr>
            </w:pPr>
            <w:r>
              <w:rPr>
                <w:rFonts w:ascii="Arial" w:cs="Arial" w:eastAsia="Arial" w:hAnsi="Arial"/>
                <w:sz w:val="14"/>
                <w:szCs w:val="14"/>
                <w:color w:val="auto"/>
              </w:rPr>
              <w:t>performance goals are not achieved.</w:t>
            </w:r>
          </w:p>
        </w:tc>
      </w:tr>
    </w:tbl>
    <w:p>
      <w:pPr>
        <w:spacing w:after="0" w:line="164" w:lineRule="exact"/>
        <w:rPr>
          <w:sz w:val="20"/>
          <w:szCs w:val="20"/>
          <w:color w:val="auto"/>
        </w:rPr>
      </w:pPr>
    </w:p>
    <w:p>
      <w:pPr>
        <w:jc w:val="both"/>
        <w:spacing w:after="0" w:line="258" w:lineRule="exact"/>
        <w:rPr>
          <w:sz w:val="20"/>
          <w:szCs w:val="20"/>
          <w:color w:val="auto"/>
        </w:rPr>
      </w:pPr>
      <w:r>
        <w:rPr>
          <w:rFonts w:ascii="Arial" w:cs="Arial" w:eastAsia="Arial" w:hAnsi="Arial"/>
          <w:sz w:val="18"/>
          <w:szCs w:val="18"/>
          <w:color w:val="auto"/>
        </w:rPr>
        <w:t>As summarized in the table above, Mr. Lal’s compensation for fiscal 2025 reflects both his partial</w:t>
      </w:r>
      <w:r>
        <w:rPr>
          <w:rFonts w:ascii="MS PGothic" w:cs="MS PGothic" w:eastAsia="MS PGothic" w:hAnsi="MS PGothic"/>
          <w:sz w:val="18"/>
          <w:szCs w:val="18"/>
          <w:color w:val="auto"/>
        </w:rPr>
        <w:t>‑</w:t>
      </w:r>
      <w:r>
        <w:rPr>
          <w:rFonts w:ascii="Arial" w:cs="Arial" w:eastAsia="Arial" w:hAnsi="Arial"/>
          <w:sz w:val="18"/>
          <w:szCs w:val="18"/>
          <w:color w:val="auto"/>
        </w:rPr>
        <w:t>year service following his appointment as Chief Executive Officer in July 2025 and significant one</w:t>
      </w:r>
      <w:r>
        <w:rPr>
          <w:rFonts w:ascii="MS PGothic" w:cs="MS PGothic" w:eastAsia="MS PGothic" w:hAnsi="MS PGothic"/>
          <w:sz w:val="18"/>
          <w:szCs w:val="18"/>
          <w:color w:val="auto"/>
        </w:rPr>
        <w:t>‑</w:t>
      </w:r>
      <w:r>
        <w:rPr>
          <w:rFonts w:ascii="Arial" w:cs="Arial" w:eastAsia="Arial" w:hAnsi="Arial"/>
          <w:sz w:val="18"/>
          <w:szCs w:val="18"/>
          <w:color w:val="auto"/>
        </w:rPr>
        <w:t>time inducement equity awards granted in connection with his appointment.</w:t>
      </w:r>
    </w:p>
    <w:p>
      <w:pPr>
        <w:spacing w:after="0" w:line="22"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The Compensation Committee structured Mr. Lal’s compensation to clearly distinguish between (i) ongoing, market</w:t>
      </w:r>
      <w:r>
        <w:rPr>
          <w:rFonts w:ascii="MS PGothic" w:cs="MS PGothic" w:eastAsia="MS PGothic" w:hAnsi="MS PGothic"/>
          <w:sz w:val="18"/>
          <w:szCs w:val="18"/>
          <w:color w:val="auto"/>
        </w:rPr>
        <w:t>‑</w:t>
      </w:r>
      <w:r>
        <w:rPr>
          <w:rFonts w:ascii="Arial" w:cs="Arial" w:eastAsia="Arial" w:hAnsi="Arial"/>
          <w:sz w:val="18"/>
          <w:szCs w:val="18"/>
          <w:color w:val="auto"/>
        </w:rPr>
        <w:t>competitive compensation elements applicable to all executive officers and (ii) one</w:t>
      </w:r>
      <w:r>
        <w:rPr>
          <w:rFonts w:ascii="MS PGothic" w:cs="MS PGothic" w:eastAsia="MS PGothic" w:hAnsi="MS PGothic"/>
          <w:sz w:val="18"/>
          <w:szCs w:val="18"/>
          <w:color w:val="auto"/>
        </w:rPr>
        <w:t>‑</w:t>
      </w:r>
      <w:r>
        <w:rPr>
          <w:rFonts w:ascii="Arial" w:cs="Arial" w:eastAsia="Arial" w:hAnsi="Arial"/>
          <w:sz w:val="18"/>
          <w:szCs w:val="18"/>
          <w:color w:val="auto"/>
        </w:rPr>
        <w:t>time inducement and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intended to support leadership transition and align Mr. Lal’s interests with sustained shareholder value creation. Inducement awards were not intended to compensate Mr. Lal for fiscal 2025 performance and instead are subject to multi</w:t>
      </w:r>
      <w:r>
        <w:rPr>
          <w:rFonts w:ascii="MS PGothic" w:cs="MS PGothic" w:eastAsia="MS PGothic" w:hAnsi="MS PGothic"/>
          <w:sz w:val="18"/>
          <w:szCs w:val="18"/>
          <w:color w:val="auto"/>
        </w:rPr>
        <w:t>‑</w:t>
      </w:r>
      <w:r>
        <w:rPr>
          <w:rFonts w:ascii="Arial" w:cs="Arial" w:eastAsia="Arial" w:hAnsi="Arial"/>
          <w:sz w:val="18"/>
          <w:szCs w:val="18"/>
          <w:color w:val="auto"/>
        </w:rPr>
        <w:t>year service and performance</w:t>
      </w:r>
      <w:r>
        <w:rPr>
          <w:rFonts w:ascii="MS PGothic" w:cs="MS PGothic" w:eastAsia="MS PGothic" w:hAnsi="MS PGothic"/>
          <w:sz w:val="18"/>
          <w:szCs w:val="18"/>
          <w:color w:val="auto"/>
        </w:rPr>
        <w:t>‑</w:t>
      </w:r>
      <w:r>
        <w:rPr>
          <w:rFonts w:ascii="Arial" w:cs="Arial" w:eastAsia="Arial" w:hAnsi="Arial"/>
          <w:sz w:val="18"/>
          <w:szCs w:val="18"/>
          <w:color w:val="auto"/>
        </w:rPr>
        <w:t>based vesting conditions. The Compensation Committee evaluated Mr. Lal’s compensation on the basis of target equity values approved at the time of grant, rather than accounting values reflected in the Summary Compensation Table.</w:t>
      </w:r>
    </w:p>
    <w:p>
      <w:pPr>
        <w:spacing w:after="0" w:line="8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Consistent with our pay for performance approach, Mr. Lal did not receive any annual bonus for fiscal 2025. As described below under “Executive Incentive Plan,” the Compensation Committee established specific eligibility conditions applicable to Mr. Lal for his partial</w:t>
      </w:r>
      <w:r>
        <w:rPr>
          <w:rFonts w:ascii="MS PGothic" w:cs="MS PGothic" w:eastAsia="MS PGothic" w:hAnsi="MS PGothic"/>
          <w:sz w:val="18"/>
          <w:szCs w:val="18"/>
          <w:color w:val="auto"/>
        </w:rPr>
        <w:t>‑</w:t>
      </w:r>
      <w:r>
        <w:rPr>
          <w:rFonts w:ascii="Arial" w:cs="Arial" w:eastAsia="Arial" w:hAnsi="Arial"/>
          <w:sz w:val="18"/>
          <w:szCs w:val="18"/>
          <w:color w:val="auto"/>
        </w:rPr>
        <w:t>year service, which were not achieved.</w:t>
      </w:r>
    </w:p>
    <w:p>
      <w:pPr>
        <w:spacing w:after="0" w:line="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Compensation Committee believes this compensation structure appropriately balances accountability for annual performance with the need to recruit, retain and motivate a Chief Executive Officer capable of executing our long-term strategy in a challenging operating environment.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Important Note on Reported Compensation</w:t>
      </w:r>
    </w:p>
    <w:p>
      <w:pPr>
        <w:spacing w:after="0" w:line="11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compensation reported for Mr. Lal in the Summary Compensation Table for fiscal 2025 includes the grant-date fair value of equity awards made in connection with Mr. Lal’s appointment. These awards are subject to future vesting and performance conditions and do not represent compensation earned for fiscal 2025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29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26</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003B71"/>
        </w:rPr>
        <w:t>Compensation Philosophy and Overall Objectives of Executive Compensation Programs</w:t>
      </w:r>
    </w:p>
    <w:p>
      <w:pPr>
        <w:spacing w:after="0" w:line="115"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 xml:space="preserve">Our executive compensation philosophy is based upon three core values: </w:t>
      </w:r>
      <w:r>
        <w:rPr>
          <w:rFonts w:ascii="Arial" w:cs="Arial" w:eastAsia="Arial" w:hAnsi="Arial"/>
          <w:sz w:val="18"/>
          <w:szCs w:val="18"/>
          <w:b w:val="1"/>
          <w:bCs w:val="1"/>
          <w:color w:val="auto"/>
        </w:rPr>
        <w:t>pay for performance, market-competitive pay and sustained</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 value creation.</w:t>
      </w:r>
    </w:p>
    <w:p>
      <w:pPr>
        <w:spacing w:after="0" w:line="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003B71"/>
        </w:rPr>
        <w:t>Pay for Performance</w:t>
      </w:r>
      <w:r>
        <w:rPr>
          <w:rFonts w:ascii="Arial" w:cs="Arial" w:eastAsia="Arial" w:hAnsi="Arial"/>
          <w:sz w:val="18"/>
          <w:szCs w:val="18"/>
          <w:color w:val="000000"/>
        </w:rPr>
        <w:t>—This is intended to align the interests of executive officers with the interests of our shareholders. Compensation is tied</w:t>
      </w:r>
      <w:r>
        <w:rPr>
          <w:rFonts w:ascii="Arial" w:cs="Arial" w:eastAsia="Arial" w:hAnsi="Arial"/>
          <w:sz w:val="18"/>
          <w:szCs w:val="18"/>
          <w:b w:val="1"/>
          <w:bCs w:val="1"/>
          <w:color w:val="003B71"/>
        </w:rPr>
        <w:t xml:space="preserve"> </w:t>
      </w:r>
      <w:r>
        <w:rPr>
          <w:rFonts w:ascii="Arial" w:cs="Arial" w:eastAsia="Arial" w:hAnsi="Arial"/>
          <w:sz w:val="18"/>
          <w:szCs w:val="18"/>
          <w:color w:val="000000"/>
        </w:rPr>
        <w:t>directly to delivering both annual and long-term value creation to our shareholders. Annual incentives focus on efficient and productive operation of the business, while long-term incentives focus on value creation of the enterprise. In addition, we put greater emphasis on the longer-term aspects of the compensation package to help ensure that all actions of management contribute to multi-year value creation.</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003B71"/>
        </w:rPr>
        <w:t>Market-Competitive Pay</w:t>
      </w:r>
      <w:r>
        <w:rPr>
          <w:rFonts w:ascii="Arial" w:cs="Arial" w:eastAsia="Arial" w:hAnsi="Arial"/>
          <w:sz w:val="18"/>
          <w:szCs w:val="18"/>
          <w:color w:val="000000"/>
        </w:rPr>
        <w:t>—In setting compensation for our executive officers, including our NEOs, the Compensation Committee considers</w:t>
      </w:r>
      <w:r>
        <w:rPr>
          <w:rFonts w:ascii="Arial" w:cs="Arial" w:eastAsia="Arial" w:hAnsi="Arial"/>
          <w:sz w:val="18"/>
          <w:szCs w:val="18"/>
          <w:b w:val="1"/>
          <w:bCs w:val="1"/>
          <w:color w:val="003B71"/>
        </w:rPr>
        <w:t xml:space="preserve"> </w:t>
      </w:r>
      <w:r>
        <w:rPr>
          <w:rFonts w:ascii="Arial" w:cs="Arial" w:eastAsia="Arial" w:hAnsi="Arial"/>
          <w:sz w:val="18"/>
          <w:szCs w:val="18"/>
          <w:color w:val="000000"/>
        </w:rPr>
        <w:t>competitive compensation data from an annual total compensation study of a selected peer group of restaurant and entertainment companies of comparable size and business models as well as other relevant survey sources. These sources inform the Compensation Committee’s decisions about overall compensation opportunities and specific compensation elements. Additionally, the Compensation Committee uses multiple reference points when establishing targeted compensation levels, including input from an independent compensation consultant. The Compensation Committee applies judgment and discretion in establishing targeted pay levels, considering not only competitive market data, but also other factors such as company, business unit, and individual performance; scope of responsibility; critical needs and skill sets; experience; leadership potential; and succession planning. Consistent with our pay for performance core values, compensation above target levels is achieved through above-target performance against our annual and long-term incentive goals.</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003B71"/>
        </w:rPr>
        <w:t>Sustained Shareholder Value Creation</w:t>
      </w:r>
      <w:r>
        <w:rPr>
          <w:rFonts w:ascii="Arial" w:cs="Arial" w:eastAsia="Arial" w:hAnsi="Arial"/>
          <w:sz w:val="18"/>
          <w:szCs w:val="18"/>
          <w:color w:val="000000"/>
        </w:rPr>
        <w:t>—All of our compensation plans are designed to increase the value we deliver to our shareholders</w:t>
      </w:r>
      <w:r>
        <w:rPr>
          <w:rFonts w:ascii="Arial" w:cs="Arial" w:eastAsia="Arial" w:hAnsi="Arial"/>
          <w:sz w:val="18"/>
          <w:szCs w:val="18"/>
          <w:b w:val="1"/>
          <w:bCs w:val="1"/>
          <w:color w:val="003B71"/>
        </w:rPr>
        <w:t xml:space="preserve"> </w:t>
      </w:r>
      <w:r>
        <w:rPr>
          <w:rFonts w:ascii="Arial" w:cs="Arial" w:eastAsia="Arial" w:hAnsi="Arial"/>
          <w:sz w:val="18"/>
          <w:szCs w:val="18"/>
          <w:color w:val="000000"/>
        </w:rPr>
        <w:t>through the selection of proper business performance metrics, the leverage built into the plans for performance achievement and the proper governance of the plans throughout the year by our Compensation Committee. We believe that profitable growth of our enterprise is primary while simultaneously reinforcing an ethical and performance-based culture. Our Compensation Committee approves all goals and awards in advance and monitors progress on their achievement throughout the year. Pursuant to the long-term incentive program implemented pursuant to the 2025 Omnibus Incentive Plan (the “2025 Plan”), we use a series of vehicles that are intended to reinforce this commitment to sustained shareholder value creation. Currently, these vehicles are stock options, RSUs and performance-based restricted stock units (“PSUs”). The Compensation Committee determines annually the appropriate use and weighting of each vehicle.</w:t>
      </w:r>
    </w:p>
    <w:p>
      <w:pPr>
        <w:spacing w:after="0" w:line="75"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Through this combination of vehicles and the design of our programs, we strive to achieve continuous improvement, growth and profitability, while effectively managing any undue risk elements.</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compensation philosophy guides us in our annual review of compensation and the assessment of the right pay for performance relationship. It also ensures that when strong performance is achieved, that performance is appropriately rewarded. Our Compensation Committee annually reviews this philosophy and our compensation plans to ensure they are continuing to meet their stated goals and objectives. If they are not, changes are made to reestablish the right alignment.</w:t>
      </w:r>
    </w:p>
    <w:p>
      <w:pPr>
        <w:spacing w:after="0" w:line="67"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In sum, this philosophy is intended to ensure that shareholders see a return on their investment in our Company and that we are getting the right return on our leadership compensation investment.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Compensation Practices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list summarizes executive compensation practices that we have to drive performance as well as executive compensation practices that we avoid because we do not believe they serve the long-term interests of our shareholders. The Company maintains an established shareholder outreach process through regular engagement meetings, feedback collection, and ongoing communication with investors to inform governance and strategic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29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27</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3" w:name="page34"/>
    <w:bookmarkEnd w:id="33"/>
    <w:p>
      <w:pPr>
        <w:ind w:left="40"/>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207645</wp:posOffset>
            </wp:positionH>
            <wp:positionV relativeFrom="page">
              <wp:posOffset>754380</wp:posOffset>
            </wp:positionV>
            <wp:extent cx="3438525" cy="161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38525" cy="161925"/>
                    </a:xfrm>
                    <a:prstGeom prst="rect">
                      <a:avLst/>
                    </a:prstGeom>
                    <a:noFill/>
                  </pic:spPr>
                </pic:pic>
              </a:graphicData>
            </a:graphic>
          </wp:anchor>
        </w:drawing>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wp:posOffset>
            </wp:positionV>
            <wp:extent cx="3438525" cy="1911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38525" cy="1911350"/>
                    </a:xfrm>
                    <a:prstGeom prst="rect">
                      <a:avLst/>
                    </a:prstGeom>
                    <a:noFill/>
                  </pic:spPr>
                </pic:pic>
              </a:graphicData>
            </a:graphic>
          </wp:anchor>
        </w:drawing>
      </w:r>
    </w:p>
    <w:p>
      <w:pPr>
        <w:spacing w:after="0" w:line="73" w:lineRule="exact"/>
        <w:rPr>
          <w:sz w:val="20"/>
          <w:szCs w:val="20"/>
          <w:color w:val="auto"/>
        </w:rPr>
      </w:pPr>
    </w:p>
    <w:p>
      <w:pPr>
        <w:ind w:left="440" w:hanging="240"/>
        <w:spacing w:after="0"/>
        <w:tabs>
          <w:tab w:leader="none" w:pos="440"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Set stock ownership guidelines for executives and directors</w:t>
      </w:r>
    </w:p>
    <w:p>
      <w:pPr>
        <w:spacing w:after="0" w:line="84" w:lineRule="exact"/>
        <w:rPr>
          <w:rFonts w:ascii="Wingdings" w:cs="Wingdings" w:eastAsia="Wingdings" w:hAnsi="Wingdings"/>
          <w:sz w:val="16"/>
          <w:szCs w:val="16"/>
          <w:b w:val="1"/>
          <w:bCs w:val="1"/>
          <w:color w:val="003B71"/>
        </w:rPr>
      </w:pPr>
    </w:p>
    <w:p>
      <w:pPr>
        <w:ind w:left="440" w:hanging="240"/>
        <w:spacing w:after="0"/>
        <w:tabs>
          <w:tab w:leader="none" w:pos="440"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Review tally sheets for executives</w:t>
      </w:r>
    </w:p>
    <w:p>
      <w:pPr>
        <w:spacing w:after="0" w:line="84" w:lineRule="exact"/>
        <w:rPr>
          <w:rFonts w:ascii="Wingdings" w:cs="Wingdings" w:eastAsia="Wingdings" w:hAnsi="Wingdings"/>
          <w:sz w:val="16"/>
          <w:szCs w:val="16"/>
          <w:b w:val="1"/>
          <w:bCs w:val="1"/>
          <w:color w:val="003B71"/>
        </w:rPr>
      </w:pPr>
    </w:p>
    <w:p>
      <w:pPr>
        <w:ind w:left="440" w:hanging="240"/>
        <w:spacing w:after="0"/>
        <w:tabs>
          <w:tab w:leader="none" w:pos="440"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Disclose performance goals for incentive payments</w:t>
      </w:r>
    </w:p>
    <w:p>
      <w:pPr>
        <w:spacing w:after="0" w:line="71" w:lineRule="exact"/>
        <w:rPr>
          <w:rFonts w:ascii="Wingdings" w:cs="Wingdings" w:eastAsia="Wingdings" w:hAnsi="Wingdings"/>
          <w:sz w:val="16"/>
          <w:szCs w:val="16"/>
          <w:b w:val="1"/>
          <w:bCs w:val="1"/>
          <w:color w:val="003B71"/>
        </w:rPr>
      </w:pPr>
    </w:p>
    <w:p>
      <w:pPr>
        <w:ind w:left="440" w:hanging="240"/>
        <w:spacing w:after="0"/>
        <w:tabs>
          <w:tab w:leader="none" w:pos="440"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Set maximum payout caps on our annual and long- term incentives</w:t>
      </w:r>
    </w:p>
    <w:p>
      <w:pPr>
        <w:spacing w:after="0" w:line="84" w:lineRule="exact"/>
        <w:rPr>
          <w:rFonts w:ascii="Wingdings" w:cs="Wingdings" w:eastAsia="Wingdings" w:hAnsi="Wingdings"/>
          <w:sz w:val="16"/>
          <w:szCs w:val="16"/>
          <w:b w:val="1"/>
          <w:bCs w:val="1"/>
          <w:color w:val="003B71"/>
        </w:rPr>
      </w:pPr>
    </w:p>
    <w:p>
      <w:pPr>
        <w:ind w:left="440" w:hanging="240"/>
        <w:spacing w:after="0" w:line="284" w:lineRule="auto"/>
        <w:tabs>
          <w:tab w:leader="none" w:pos="432"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Limit perquisites and other benefits, and do not include income tax gross-ups (except for relocation expenses)</w:t>
      </w:r>
    </w:p>
    <w:p>
      <w:pPr>
        <w:spacing w:after="0" w:line="21" w:lineRule="exact"/>
        <w:rPr>
          <w:rFonts w:ascii="Wingdings" w:cs="Wingdings" w:eastAsia="Wingdings" w:hAnsi="Wingdings"/>
          <w:sz w:val="16"/>
          <w:szCs w:val="16"/>
          <w:b w:val="1"/>
          <w:bCs w:val="1"/>
          <w:color w:val="003B71"/>
        </w:rPr>
      </w:pPr>
    </w:p>
    <w:p>
      <w:pPr>
        <w:ind w:left="440" w:hanging="240"/>
        <w:spacing w:after="0"/>
        <w:tabs>
          <w:tab w:leader="none" w:pos="440"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Subject all variable pay to a compensation recovery clawback policy</w:t>
      </w:r>
    </w:p>
    <w:p>
      <w:pPr>
        <w:spacing w:after="0" w:line="84" w:lineRule="exact"/>
        <w:rPr>
          <w:rFonts w:ascii="Wingdings" w:cs="Wingdings" w:eastAsia="Wingdings" w:hAnsi="Wingdings"/>
          <w:sz w:val="16"/>
          <w:szCs w:val="16"/>
          <w:b w:val="1"/>
          <w:bCs w:val="1"/>
          <w:color w:val="003B71"/>
        </w:rPr>
      </w:pPr>
    </w:p>
    <w:p>
      <w:pPr>
        <w:ind w:left="440" w:hanging="240"/>
        <w:spacing w:after="0"/>
        <w:tabs>
          <w:tab w:leader="none" w:pos="440"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Have double-trigger change of control agreements</w:t>
      </w:r>
    </w:p>
    <w:p>
      <w:pPr>
        <w:spacing w:after="0" w:line="84" w:lineRule="exact"/>
        <w:rPr>
          <w:rFonts w:ascii="Wingdings" w:cs="Wingdings" w:eastAsia="Wingdings" w:hAnsi="Wingdings"/>
          <w:sz w:val="16"/>
          <w:szCs w:val="16"/>
          <w:b w:val="1"/>
          <w:bCs w:val="1"/>
          <w:color w:val="003B71"/>
        </w:rPr>
      </w:pPr>
    </w:p>
    <w:p>
      <w:pPr>
        <w:ind w:left="440" w:hanging="240"/>
        <w:spacing w:after="0" w:line="284" w:lineRule="auto"/>
        <w:tabs>
          <w:tab w:leader="none" w:pos="432"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Independent Compensation Committee advised by an independent compensation consultant</w:t>
      </w:r>
    </w:p>
    <w:p>
      <w:pPr>
        <w:spacing w:after="0" w:line="21" w:lineRule="exact"/>
        <w:rPr>
          <w:rFonts w:ascii="Wingdings" w:cs="Wingdings" w:eastAsia="Wingdings" w:hAnsi="Wingdings"/>
          <w:sz w:val="16"/>
          <w:szCs w:val="16"/>
          <w:b w:val="1"/>
          <w:bCs w:val="1"/>
          <w:color w:val="003B71"/>
        </w:rPr>
      </w:pPr>
    </w:p>
    <w:p>
      <w:pPr>
        <w:ind w:left="440" w:hanging="240"/>
        <w:spacing w:after="0" w:line="284" w:lineRule="auto"/>
        <w:tabs>
          <w:tab w:leader="none" w:pos="432" w:val="left"/>
        </w:tabs>
        <w:numPr>
          <w:ilvl w:val="0"/>
          <w:numId w:val="71"/>
        </w:numPr>
        <w:rPr>
          <w:rFonts w:ascii="Wingdings" w:cs="Wingdings" w:eastAsia="Wingdings" w:hAnsi="Wingdings"/>
          <w:sz w:val="16"/>
          <w:szCs w:val="16"/>
          <w:b w:val="1"/>
          <w:bCs w:val="1"/>
          <w:color w:val="003B71"/>
        </w:rPr>
      </w:pPr>
      <w:r>
        <w:rPr>
          <w:rFonts w:ascii="Arial" w:cs="Arial" w:eastAsia="Arial" w:hAnsi="Arial"/>
          <w:sz w:val="16"/>
          <w:szCs w:val="16"/>
          <w:color w:val="auto"/>
        </w:rPr>
        <w:t>Enforce strict insider trading policies and black-out periods for executives and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FFFFFF"/>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-135890</wp:posOffset>
            </wp:positionV>
            <wp:extent cx="3438525" cy="128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38525" cy="1288415"/>
                    </a:xfrm>
                    <a:prstGeom prst="rect">
                      <a:avLst/>
                    </a:prstGeom>
                    <a:noFill/>
                  </pic:spPr>
                </pic:pic>
              </a:graphicData>
            </a:graphic>
          </wp:anchor>
        </w:drawing>
      </w:r>
    </w:p>
    <w:p>
      <w:pPr>
        <w:spacing w:after="0" w:line="46" w:lineRule="exact"/>
        <w:rPr>
          <w:sz w:val="20"/>
          <w:szCs w:val="20"/>
          <w:color w:val="auto"/>
        </w:rPr>
      </w:pPr>
    </w:p>
    <w:p>
      <w:pPr>
        <w:ind w:left="420" w:hanging="252"/>
        <w:spacing w:after="0"/>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hedging or pledging of our stock by executives or directors</w:t>
      </w:r>
    </w:p>
    <w:p>
      <w:pPr>
        <w:spacing w:after="0" w:line="111" w:lineRule="exact"/>
        <w:rPr>
          <w:rFonts w:ascii="Arial" w:cs="Arial" w:eastAsia="Arial" w:hAnsi="Arial"/>
          <w:sz w:val="16"/>
          <w:szCs w:val="16"/>
          <w:color w:val="auto"/>
        </w:rPr>
      </w:pPr>
    </w:p>
    <w:p>
      <w:pPr>
        <w:ind w:left="420" w:hanging="252"/>
        <w:spacing w:after="0"/>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dividends or dividend equivalents paid on unearned awards</w:t>
      </w:r>
    </w:p>
    <w:p>
      <w:pPr>
        <w:spacing w:after="0" w:line="125" w:lineRule="exact"/>
        <w:rPr>
          <w:rFonts w:ascii="Arial" w:cs="Arial" w:eastAsia="Arial" w:hAnsi="Arial"/>
          <w:sz w:val="16"/>
          <w:szCs w:val="16"/>
          <w:color w:val="auto"/>
        </w:rPr>
      </w:pPr>
    </w:p>
    <w:p>
      <w:pPr>
        <w:ind w:left="420" w:hanging="252"/>
        <w:spacing w:after="0"/>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excise tax gross-ups to any executive</w:t>
      </w:r>
    </w:p>
    <w:p>
      <w:pPr>
        <w:spacing w:after="0" w:line="111" w:lineRule="exact"/>
        <w:rPr>
          <w:rFonts w:ascii="Arial" w:cs="Arial" w:eastAsia="Arial" w:hAnsi="Arial"/>
          <w:sz w:val="16"/>
          <w:szCs w:val="16"/>
          <w:color w:val="auto"/>
        </w:rPr>
      </w:pPr>
    </w:p>
    <w:p>
      <w:pPr>
        <w:ind w:left="420" w:hanging="252"/>
        <w:spacing w:after="0"/>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repricing or cash buyout of underwater stock options</w:t>
      </w:r>
    </w:p>
    <w:p>
      <w:pPr>
        <w:spacing w:after="0" w:line="125" w:lineRule="exact"/>
        <w:rPr>
          <w:rFonts w:ascii="Arial" w:cs="Arial" w:eastAsia="Arial" w:hAnsi="Arial"/>
          <w:sz w:val="16"/>
          <w:szCs w:val="16"/>
          <w:color w:val="auto"/>
        </w:rPr>
      </w:pPr>
    </w:p>
    <w:p>
      <w:pPr>
        <w:ind w:left="420" w:hanging="252"/>
        <w:spacing w:after="0"/>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excessive perquisites</w:t>
      </w:r>
    </w:p>
    <w:p>
      <w:pPr>
        <w:spacing w:after="0" w:line="111" w:lineRule="exact"/>
        <w:rPr>
          <w:rFonts w:ascii="Arial" w:cs="Arial" w:eastAsia="Arial" w:hAnsi="Arial"/>
          <w:sz w:val="16"/>
          <w:szCs w:val="16"/>
          <w:color w:val="auto"/>
        </w:rPr>
      </w:pPr>
    </w:p>
    <w:p>
      <w:pPr>
        <w:ind w:left="420" w:hanging="252"/>
        <w:spacing w:after="0"/>
        <w:tabs>
          <w:tab w:leader="none" w:pos="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incentives that encourage risk-taking</w:t>
      </w:r>
    </w:p>
    <w:p>
      <w:pPr>
        <w:spacing w:after="0" w:line="1477" w:lineRule="exact"/>
        <w:rPr>
          <w:sz w:val="20"/>
          <w:szCs w:val="20"/>
          <w:color w:val="auto"/>
        </w:rPr>
      </w:pPr>
    </w:p>
    <w:p>
      <w:pPr>
        <w:sectPr>
          <w:pgSz w:w="11900" w:h="16838" w:orient="portrait"/>
          <w:cols w:equalWidth="0" w:num="2">
            <w:col w:w="5380" w:space="360"/>
            <w:col w:w="5500"/>
          </w:cols>
          <w:pgMar w:left="320" w:top="1196" w:right="339" w:bottom="1440" w:gutter="0" w:footer="0" w:header="0"/>
        </w:sectPr>
      </w:pPr>
    </w:p>
    <w:p>
      <w:pPr>
        <w:spacing w:after="0"/>
        <w:rPr>
          <w:sz w:val="20"/>
          <w:szCs w:val="20"/>
          <w:color w:val="auto"/>
        </w:rPr>
      </w:pPr>
      <w:r>
        <w:rPr>
          <w:rFonts w:ascii="Arial" w:cs="Arial" w:eastAsia="Arial" w:hAnsi="Arial"/>
          <w:sz w:val="18"/>
          <w:szCs w:val="18"/>
          <w:b w:val="1"/>
          <w:bCs w:val="1"/>
          <w:color w:val="003B71"/>
        </w:rPr>
        <w:t>Shareholder Say-on-Pay Vote for 2025 and Compensation Actions Taken</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investors supported these pay actions, with more than 98% of the votes cast voting in support of the compensation paid to our named executive officers at our 2025 annual meeting of shareholders. The positive result of this vote is one of the many factors our Compensation Committee considers in evaluating our executive compensation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Procedures for Determining Compensation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a delegation of authority from the Board of Directors, our Compensation Committee has the overall responsibility for designing and evaluating the salaries, incentive plan compensation, policies and programs for our executive officers, including the NEOs. The Compensation Committee relies on input from an independent compensation consultant and the experience of members of the Compensation Committee to guide its compensation decisions, including compensation decisions for our NEOs. In addition, the Compensation Committee relies on input from our Chief Executive Officer regarding an executive officer’s individual performance (other than himself) and an analysis of our corporate performance. Pursuant to the Compensation Committee’s charter, the Compensation Committee has the authority to delegate all or a portion of its duties and responsibilities to a subcommittee of the Compensation Committee.</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Compensation Committee has retained FW Cook as its independent compensation consultant to assist the committee in determining whether the company’s executive compensation program is reasonable and consistent with competitive practices. FW Cook provides advice and counsel on executive and director compensation matters and provides information and advice regarding market trends, competitive compensation programs and strategies. FW Cook did not provide any services to the company other than advising the Compensation Committee on executive officer and director compensation during 2025. In addition, the Compensation Committee annually evaluates whether any work provided by FW Cook may present a conflict of interest and determined that there was no conflict of interest for 2025.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of our executive officers typically consists primarily of four major components:</w:t>
      </w:r>
    </w:p>
    <w:p>
      <w:pPr>
        <w:spacing w:after="0" w:line="115" w:lineRule="exact"/>
        <w:rPr>
          <w:sz w:val="20"/>
          <w:szCs w:val="20"/>
          <w:color w:val="auto"/>
        </w:rPr>
      </w:pPr>
    </w:p>
    <w:p>
      <w:pPr>
        <w:ind w:left="400" w:hanging="312"/>
        <w:spacing w:after="0"/>
        <w:tabs>
          <w:tab w:leader="none" w:pos="400" w:val="left"/>
        </w:tabs>
        <w:numPr>
          <w:ilvl w:val="0"/>
          <w:numId w:val="73"/>
        </w:numPr>
        <w:rPr>
          <w:rFonts w:ascii="Arial" w:cs="Arial" w:eastAsia="Arial" w:hAnsi="Arial"/>
          <w:sz w:val="18"/>
          <w:szCs w:val="18"/>
          <w:b w:val="1"/>
          <w:bCs w:val="1"/>
          <w:color w:val="003B71"/>
        </w:rPr>
      </w:pPr>
      <w:r>
        <w:rPr>
          <w:rFonts w:ascii="Arial" w:cs="Arial" w:eastAsia="Arial" w:hAnsi="Arial"/>
          <w:sz w:val="18"/>
          <w:szCs w:val="18"/>
          <w:color w:val="auto"/>
        </w:rPr>
        <w:t>base salary;</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73"/>
        </w:numPr>
        <w:rPr>
          <w:rFonts w:ascii="Arial" w:cs="Arial" w:eastAsia="Arial" w:hAnsi="Arial"/>
          <w:sz w:val="18"/>
          <w:szCs w:val="18"/>
          <w:b w:val="1"/>
          <w:bCs w:val="1"/>
          <w:color w:val="003B71"/>
        </w:rPr>
      </w:pPr>
      <w:r>
        <w:rPr>
          <w:rFonts w:ascii="Arial" w:cs="Arial" w:eastAsia="Arial" w:hAnsi="Arial"/>
          <w:sz w:val="18"/>
          <w:szCs w:val="18"/>
          <w:color w:val="auto"/>
        </w:rPr>
        <w:t>annual incentive awards;</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73"/>
        </w:numPr>
        <w:rPr>
          <w:rFonts w:ascii="Arial" w:cs="Arial" w:eastAsia="Arial" w:hAnsi="Arial"/>
          <w:sz w:val="18"/>
          <w:szCs w:val="18"/>
          <w:b w:val="1"/>
          <w:bCs w:val="1"/>
          <w:color w:val="003B71"/>
        </w:rPr>
      </w:pPr>
      <w:r>
        <w:rPr>
          <w:rFonts w:ascii="Arial" w:cs="Arial" w:eastAsia="Arial" w:hAnsi="Arial"/>
          <w:sz w:val="18"/>
          <w:szCs w:val="18"/>
          <w:color w:val="auto"/>
        </w:rPr>
        <w:t>long-term incentive awards; and</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73"/>
        </w:numPr>
        <w:rPr>
          <w:rFonts w:ascii="Arial" w:cs="Arial" w:eastAsia="Arial" w:hAnsi="Arial"/>
          <w:sz w:val="18"/>
          <w:szCs w:val="18"/>
          <w:b w:val="1"/>
          <w:bCs w:val="1"/>
          <w:color w:val="003B71"/>
        </w:rPr>
      </w:pPr>
      <w:r>
        <w:rPr>
          <w:rFonts w:ascii="Arial" w:cs="Arial" w:eastAsia="Arial" w:hAnsi="Arial"/>
          <w:sz w:val="18"/>
          <w:szCs w:val="18"/>
          <w:color w:val="auto"/>
        </w:rPr>
        <w:t>other benefits.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Each of these components is discussed in detail in </w:t>
      </w:r>
      <w:r>
        <w:rPr>
          <w:rFonts w:ascii="Arial" w:cs="Arial" w:eastAsia="Arial" w:hAnsi="Arial"/>
          <w:sz w:val="18"/>
          <w:szCs w:val="18"/>
          <w:i w:val="1"/>
          <w:iCs w:val="1"/>
          <w:color w:val="auto"/>
        </w:rPr>
        <w:t>Elements of Compensation</w:t>
      </w:r>
      <w:r>
        <w:rPr>
          <w:rFonts w:ascii="Arial" w:cs="Arial" w:eastAsia="Arial" w:hAnsi="Arial"/>
          <w:sz w:val="18"/>
          <w:szCs w:val="18"/>
          <w:color w:val="auto"/>
        </w:rPr>
        <w:t xml:space="preserve"> below.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When making compensation decisions, the Compensation Committee considers, among other things:</w:t>
      </w:r>
    </w:p>
    <w:p>
      <w:pPr>
        <w:spacing w:after="0" w:line="115" w:lineRule="exact"/>
        <w:rPr>
          <w:sz w:val="20"/>
          <w:szCs w:val="20"/>
          <w:color w:val="auto"/>
        </w:rPr>
      </w:pPr>
    </w:p>
    <w:p>
      <w:pPr>
        <w:ind w:left="400" w:hanging="312"/>
        <w:spacing w:after="0"/>
        <w:tabs>
          <w:tab w:leader="none" w:pos="400" w:val="left"/>
        </w:tabs>
        <w:numPr>
          <w:ilvl w:val="0"/>
          <w:numId w:val="74"/>
        </w:numPr>
        <w:rPr>
          <w:rFonts w:ascii="Arial" w:cs="Arial" w:eastAsia="Arial" w:hAnsi="Arial"/>
          <w:sz w:val="18"/>
          <w:szCs w:val="18"/>
          <w:b w:val="1"/>
          <w:bCs w:val="1"/>
          <w:color w:val="003B71"/>
        </w:rPr>
      </w:pPr>
      <w:r>
        <w:rPr>
          <w:rFonts w:ascii="Arial" w:cs="Arial" w:eastAsia="Arial" w:hAnsi="Arial"/>
          <w:sz w:val="18"/>
          <w:szCs w:val="18"/>
          <w:color w:val="auto"/>
        </w:rPr>
        <w:t>the Company’s short- and long-term performance relative to financial and strategic targets;</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74"/>
        </w:numPr>
        <w:rPr>
          <w:rFonts w:ascii="Arial" w:cs="Arial" w:eastAsia="Arial" w:hAnsi="Arial"/>
          <w:sz w:val="18"/>
          <w:szCs w:val="18"/>
          <w:b w:val="1"/>
          <w:bCs w:val="1"/>
          <w:color w:val="003B71"/>
        </w:rPr>
      </w:pPr>
      <w:r>
        <w:rPr>
          <w:rFonts w:ascii="Arial" w:cs="Arial" w:eastAsia="Arial" w:hAnsi="Arial"/>
          <w:sz w:val="18"/>
          <w:szCs w:val="18"/>
          <w:color w:val="auto"/>
        </w:rPr>
        <w:t>the executive officer’s prior experience and sustained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290195</wp:posOffset>
            </wp:positionV>
            <wp:extent cx="71329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28</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type w:val="continuous"/>
        </w:sectPr>
      </w:pPr>
    </w:p>
    <w:bookmarkStart w:id="34" w:name="page35"/>
    <w:bookmarkEnd w:id="34"/>
    <w:p>
      <w:pPr>
        <w:ind w:left="400" w:hanging="312"/>
        <w:spacing w:after="0"/>
        <w:tabs>
          <w:tab w:leader="none" w:pos="400" w:val="left"/>
        </w:tabs>
        <w:numPr>
          <w:ilvl w:val="0"/>
          <w:numId w:val="75"/>
        </w:numPr>
        <w:rPr>
          <w:rFonts w:ascii="Arial" w:cs="Arial" w:eastAsia="Arial" w:hAnsi="Arial"/>
          <w:sz w:val="18"/>
          <w:szCs w:val="18"/>
          <w:b w:val="1"/>
          <w:bCs w:val="1"/>
          <w:color w:val="003B71"/>
        </w:rPr>
      </w:pPr>
      <w:r>
        <w:rPr>
          <w:rFonts w:ascii="Arial" w:cs="Arial" w:eastAsia="Arial" w:hAnsi="Arial"/>
          <w:sz w:val="18"/>
          <w:szCs w:val="18"/>
          <w:color w:val="auto"/>
        </w:rPr>
        <w:t>the significance of the executive officer’s contributions to the ongoing success of the Company;</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75"/>
        </w:numPr>
        <w:rPr>
          <w:rFonts w:ascii="Arial" w:cs="Arial" w:eastAsia="Arial" w:hAnsi="Arial"/>
          <w:sz w:val="18"/>
          <w:szCs w:val="18"/>
          <w:b w:val="1"/>
          <w:bCs w:val="1"/>
          <w:color w:val="003B71"/>
        </w:rPr>
      </w:pPr>
      <w:r>
        <w:rPr>
          <w:rFonts w:ascii="Arial" w:cs="Arial" w:eastAsia="Arial" w:hAnsi="Arial"/>
          <w:sz w:val="18"/>
          <w:szCs w:val="18"/>
          <w:color w:val="auto"/>
        </w:rPr>
        <w:t>the scope of the executive officer’s responsibilities;</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75"/>
        </w:numPr>
        <w:rPr>
          <w:rFonts w:ascii="Arial" w:cs="Arial" w:eastAsia="Arial" w:hAnsi="Arial"/>
          <w:sz w:val="18"/>
          <w:szCs w:val="18"/>
          <w:b w:val="1"/>
          <w:bCs w:val="1"/>
          <w:color w:val="003B71"/>
        </w:rPr>
      </w:pPr>
      <w:r>
        <w:rPr>
          <w:rFonts w:ascii="Arial" w:cs="Arial" w:eastAsia="Arial" w:hAnsi="Arial"/>
          <w:sz w:val="18"/>
          <w:szCs w:val="18"/>
          <w:color w:val="auto"/>
        </w:rPr>
        <w:t>the future value the executive officer is expected to bring to the Company; and</w:t>
      </w:r>
    </w:p>
    <w:p>
      <w:pPr>
        <w:spacing w:after="0" w:line="115" w:lineRule="exact"/>
        <w:rPr>
          <w:rFonts w:ascii="Arial" w:cs="Arial" w:eastAsia="Arial" w:hAnsi="Arial"/>
          <w:sz w:val="18"/>
          <w:szCs w:val="18"/>
          <w:b w:val="1"/>
          <w:bCs w:val="1"/>
          <w:color w:val="003B71"/>
        </w:rPr>
      </w:pPr>
    </w:p>
    <w:p>
      <w:pPr>
        <w:ind w:left="420" w:hanging="332"/>
        <w:spacing w:after="0" w:line="285" w:lineRule="auto"/>
        <w:tabs>
          <w:tab w:leader="none" w:pos="415" w:val="left"/>
        </w:tabs>
        <w:numPr>
          <w:ilvl w:val="0"/>
          <w:numId w:val="75"/>
        </w:numPr>
        <w:rPr>
          <w:rFonts w:ascii="Arial" w:cs="Arial" w:eastAsia="Arial" w:hAnsi="Arial"/>
          <w:sz w:val="18"/>
          <w:szCs w:val="18"/>
          <w:b w:val="1"/>
          <w:bCs w:val="1"/>
          <w:color w:val="003B71"/>
        </w:rPr>
      </w:pPr>
      <w:r>
        <w:rPr>
          <w:rFonts w:ascii="Arial" w:cs="Arial" w:eastAsia="Arial" w:hAnsi="Arial"/>
          <w:sz w:val="18"/>
          <w:szCs w:val="18"/>
          <w:color w:val="auto"/>
        </w:rPr>
        <w:t>the results of benchmarking studies, which illustrate the value of the executive officer’s total compensation package relative to others in the industries with which we compete for talent.</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the Compensation Committee does not establish compensation levels solely based on a review of benchmarking studies or benchmark to any particular level, it believes such data is a useful tool in its deliberations and setting of competitive compensation policies. Annually, the Compensation Committee engages a compensation consulting firm to conduct a benchmarking study of executive compensation programs and non-employee board members, provide analysis and advice regarding plan design for short- and long-term incentive plans, and provide analysis and advice concerning trends and regulatory developments in executive compensation. In fiscal 2025, the Company’s independent compensation consultant, FW Cook, evaluated our market competitiveness against (a) a custom peer group and (b) a robust industry-specific survey of restaurant and hospitality companies. The peer group against which we compared ourselves includes (i) casual dining restaurants that offer an “experience”; (ii) casual dining concepts with which we compete for leadership talent; (iii) companies that focus on entertainment, including casino and gaming companies; (iv) hotels, resorts and cruise lines; and (v) leisure facilities. At the time of comparison, the peer group companies in aggregate had a restaurant/entertainment mix similar to our income mix:</w:t>
      </w:r>
      <w:r>
        <w:rPr>
          <w:rFonts w:ascii="Arial" w:cs="Arial" w:eastAsia="Arial" w:hAnsi="Arial"/>
          <w:sz w:val="23"/>
          <w:szCs w:val="23"/>
          <w:color w:val="auto"/>
          <w:vertAlign w:val="superscript"/>
        </w:rPr>
        <w:t>(1)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080" w:type="dxa"/>
            <w:vAlign w:val="bottom"/>
            <w:tcBorders>
              <w:top w:val="single" w:sz="8" w:color="00497F"/>
            </w:tcBorders>
            <w:shd w:val="clear" w:color="auto" w:fill="E5E5E5"/>
          </w:tcPr>
          <w:p>
            <w:pPr>
              <w:ind w:left="20"/>
              <w:spacing w:after="0"/>
              <w:rPr>
                <w:sz w:val="20"/>
                <w:szCs w:val="20"/>
                <w:color w:val="auto"/>
              </w:rPr>
            </w:pPr>
            <w:r>
              <w:rPr>
                <w:rFonts w:ascii="Arial" w:cs="Arial" w:eastAsia="Arial" w:hAnsi="Arial"/>
                <w:sz w:val="16"/>
                <w:szCs w:val="16"/>
                <w:color w:val="auto"/>
              </w:rPr>
              <w:t>Bally’s Entertainment</w:t>
            </w:r>
          </w:p>
        </w:tc>
        <w:tc>
          <w:tcPr>
            <w:tcW w:w="3940" w:type="dxa"/>
            <w:vAlign w:val="bottom"/>
            <w:tcBorders>
              <w:top w:val="single" w:sz="8" w:color="00497F"/>
            </w:tcBorders>
            <w:shd w:val="clear" w:color="auto" w:fill="E5E5E5"/>
          </w:tcPr>
          <w:p>
            <w:pPr>
              <w:ind w:left="680"/>
              <w:spacing w:after="0"/>
              <w:rPr>
                <w:sz w:val="20"/>
                <w:szCs w:val="20"/>
                <w:color w:val="auto"/>
              </w:rPr>
            </w:pPr>
            <w:r>
              <w:rPr>
                <w:rFonts w:ascii="Arial" w:cs="Arial" w:eastAsia="Arial" w:hAnsi="Arial"/>
                <w:sz w:val="16"/>
                <w:szCs w:val="16"/>
                <w:color w:val="auto"/>
              </w:rPr>
              <w:t>The Cheesecake Factory Incorporated</w:t>
            </w:r>
          </w:p>
        </w:tc>
        <w:tc>
          <w:tcPr>
            <w:tcW w:w="4220" w:type="dxa"/>
            <w:vAlign w:val="bottom"/>
            <w:tcBorders>
              <w:top w:val="single" w:sz="8" w:color="00497F"/>
            </w:tcBorders>
            <w:shd w:val="clear" w:color="auto" w:fill="E5E5E5"/>
          </w:tcPr>
          <w:p>
            <w:pPr>
              <w:ind w:left="480"/>
              <w:spacing w:after="0"/>
              <w:rPr>
                <w:sz w:val="20"/>
                <w:szCs w:val="20"/>
                <w:color w:val="auto"/>
              </w:rPr>
            </w:pPr>
            <w:r>
              <w:rPr>
                <w:rFonts w:ascii="Arial" w:cs="Arial" w:eastAsia="Arial" w:hAnsi="Arial"/>
                <w:sz w:val="16"/>
                <w:szCs w:val="16"/>
                <w:color w:val="auto"/>
              </w:rPr>
              <w:t>Red Rock Resorts, Inc.</w:t>
            </w:r>
          </w:p>
        </w:tc>
      </w:tr>
      <w:tr>
        <w:trPr>
          <w:trHeight w:val="242"/>
        </w:trPr>
        <w:tc>
          <w:tcPr>
            <w:tcW w:w="3080" w:type="dxa"/>
            <w:vAlign w:val="bottom"/>
          </w:tcPr>
          <w:p>
            <w:pPr>
              <w:ind w:left="20"/>
              <w:spacing w:after="0"/>
              <w:rPr>
                <w:sz w:val="20"/>
                <w:szCs w:val="20"/>
                <w:color w:val="auto"/>
              </w:rPr>
            </w:pPr>
            <w:r>
              <w:rPr>
                <w:rFonts w:ascii="Arial" w:cs="Arial" w:eastAsia="Arial" w:hAnsi="Arial"/>
                <w:sz w:val="16"/>
                <w:szCs w:val="16"/>
                <w:color w:val="auto"/>
              </w:rPr>
              <w:t>BJ’s Restaurants, Inc.</w:t>
            </w:r>
          </w:p>
        </w:tc>
        <w:tc>
          <w:tcPr>
            <w:tcW w:w="3940" w:type="dxa"/>
            <w:vAlign w:val="bottom"/>
          </w:tcPr>
          <w:p>
            <w:pPr>
              <w:ind w:left="680"/>
              <w:spacing w:after="0"/>
              <w:rPr>
                <w:sz w:val="20"/>
                <w:szCs w:val="20"/>
                <w:color w:val="auto"/>
              </w:rPr>
            </w:pPr>
            <w:r>
              <w:rPr>
                <w:rFonts w:ascii="Arial" w:cs="Arial" w:eastAsia="Arial" w:hAnsi="Arial"/>
                <w:sz w:val="16"/>
                <w:szCs w:val="16"/>
                <w:color w:val="auto"/>
              </w:rPr>
              <w:t>Churchill Downs Incorporated</w:t>
            </w:r>
          </w:p>
        </w:tc>
        <w:tc>
          <w:tcPr>
            <w:tcW w:w="4220" w:type="dxa"/>
            <w:vAlign w:val="bottom"/>
          </w:tcPr>
          <w:p>
            <w:pPr>
              <w:ind w:left="480"/>
              <w:spacing w:after="0"/>
              <w:rPr>
                <w:sz w:val="20"/>
                <w:szCs w:val="20"/>
                <w:color w:val="auto"/>
              </w:rPr>
            </w:pPr>
            <w:r>
              <w:rPr>
                <w:rFonts w:ascii="Arial" w:cs="Arial" w:eastAsia="Arial" w:hAnsi="Arial"/>
                <w:sz w:val="16"/>
                <w:szCs w:val="16"/>
                <w:color w:val="auto"/>
              </w:rPr>
              <w:t>Six Flags Entertainment Corp.</w:t>
            </w:r>
            <w:r>
              <w:rPr>
                <w:rFonts w:ascii="Arial" w:cs="Arial" w:eastAsia="Arial" w:hAnsi="Arial"/>
                <w:sz w:val="20"/>
                <w:szCs w:val="20"/>
                <w:color w:val="auto"/>
                <w:vertAlign w:val="superscript"/>
              </w:rPr>
              <w:t>(1)</w:t>
            </w:r>
          </w:p>
        </w:tc>
      </w:tr>
      <w:tr>
        <w:trPr>
          <w:trHeight w:val="242"/>
        </w:trPr>
        <w:tc>
          <w:tcPr>
            <w:tcW w:w="3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Bloomin’ Brands, Inc.</w:t>
            </w:r>
          </w:p>
        </w:tc>
        <w:tc>
          <w:tcPr>
            <w:tcW w:w="3940" w:type="dxa"/>
            <w:vAlign w:val="bottom"/>
            <w:shd w:val="clear" w:color="auto" w:fill="E5E5E5"/>
          </w:tcPr>
          <w:p>
            <w:pPr>
              <w:ind w:left="680"/>
              <w:spacing w:after="0"/>
              <w:rPr>
                <w:sz w:val="20"/>
                <w:szCs w:val="20"/>
                <w:color w:val="auto"/>
              </w:rPr>
            </w:pPr>
            <w:r>
              <w:rPr>
                <w:rFonts w:ascii="Arial" w:cs="Arial" w:eastAsia="Arial" w:hAnsi="Arial"/>
                <w:sz w:val="16"/>
                <w:szCs w:val="16"/>
                <w:color w:val="auto"/>
              </w:rPr>
              <w:t>Cinemark Holdings, Inc.</w:t>
            </w:r>
          </w:p>
        </w:tc>
        <w:tc>
          <w:tcPr>
            <w:tcW w:w="42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Texas Roadhouse, Inc.</w:t>
            </w:r>
          </w:p>
        </w:tc>
      </w:tr>
      <w:tr>
        <w:trPr>
          <w:trHeight w:val="234"/>
        </w:trPr>
        <w:tc>
          <w:tcPr>
            <w:tcW w:w="3080" w:type="dxa"/>
            <w:vAlign w:val="bottom"/>
          </w:tcPr>
          <w:p>
            <w:pPr>
              <w:ind w:left="20"/>
              <w:spacing w:after="0"/>
              <w:rPr>
                <w:sz w:val="20"/>
                <w:szCs w:val="20"/>
                <w:color w:val="auto"/>
              </w:rPr>
            </w:pPr>
            <w:r>
              <w:rPr>
                <w:rFonts w:ascii="Arial" w:cs="Arial" w:eastAsia="Arial" w:hAnsi="Arial"/>
                <w:sz w:val="16"/>
                <w:szCs w:val="16"/>
                <w:color w:val="auto"/>
              </w:rPr>
              <w:t>Lucky Strike Entertainment Corp.</w:t>
            </w:r>
          </w:p>
        </w:tc>
        <w:tc>
          <w:tcPr>
            <w:tcW w:w="3940" w:type="dxa"/>
            <w:vAlign w:val="bottom"/>
          </w:tcPr>
          <w:p>
            <w:pPr>
              <w:ind w:left="680"/>
              <w:spacing w:after="0"/>
              <w:rPr>
                <w:sz w:val="20"/>
                <w:szCs w:val="20"/>
                <w:color w:val="auto"/>
              </w:rPr>
            </w:pPr>
            <w:r>
              <w:rPr>
                <w:rFonts w:ascii="Arial" w:cs="Arial" w:eastAsia="Arial" w:hAnsi="Arial"/>
                <w:sz w:val="16"/>
                <w:szCs w:val="16"/>
                <w:color w:val="auto"/>
              </w:rPr>
              <w:t>Cracker Barrel Old Country Store, Inc.</w:t>
            </w:r>
          </w:p>
        </w:tc>
        <w:tc>
          <w:tcPr>
            <w:tcW w:w="4220" w:type="dxa"/>
            <w:vAlign w:val="bottom"/>
          </w:tcPr>
          <w:p>
            <w:pPr>
              <w:ind w:left="480"/>
              <w:spacing w:after="0"/>
              <w:rPr>
                <w:sz w:val="20"/>
                <w:szCs w:val="20"/>
                <w:color w:val="auto"/>
              </w:rPr>
            </w:pPr>
            <w:r>
              <w:rPr>
                <w:rFonts w:ascii="Arial" w:cs="Arial" w:eastAsia="Arial" w:hAnsi="Arial"/>
                <w:sz w:val="16"/>
                <w:szCs w:val="16"/>
                <w:color w:val="auto"/>
              </w:rPr>
              <w:t>Callaway Golf Company</w:t>
            </w:r>
          </w:p>
        </w:tc>
      </w:tr>
      <w:tr>
        <w:trPr>
          <w:trHeight w:val="249"/>
        </w:trPr>
        <w:tc>
          <w:tcPr>
            <w:tcW w:w="3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Brinker International, Inc.</w:t>
            </w:r>
          </w:p>
        </w:tc>
        <w:tc>
          <w:tcPr>
            <w:tcW w:w="3940" w:type="dxa"/>
            <w:vAlign w:val="bottom"/>
            <w:shd w:val="clear" w:color="auto" w:fill="E5E5E5"/>
          </w:tcPr>
          <w:p>
            <w:pPr>
              <w:ind w:left="680"/>
              <w:spacing w:after="0"/>
              <w:rPr>
                <w:sz w:val="20"/>
                <w:szCs w:val="20"/>
                <w:color w:val="auto"/>
              </w:rPr>
            </w:pPr>
            <w:r>
              <w:rPr>
                <w:rFonts w:ascii="Arial" w:cs="Arial" w:eastAsia="Arial" w:hAnsi="Arial"/>
                <w:sz w:val="16"/>
                <w:szCs w:val="16"/>
                <w:color w:val="auto"/>
              </w:rPr>
              <w:t>Dine Brands Global, Inc.</w:t>
            </w:r>
          </w:p>
        </w:tc>
        <w:tc>
          <w:tcPr>
            <w:tcW w:w="4220" w:type="dxa"/>
            <w:vAlign w:val="bottom"/>
            <w:shd w:val="clear" w:color="auto" w:fill="E5E5E5"/>
          </w:tcPr>
          <w:p>
            <w:pPr>
              <w:ind w:left="480"/>
              <w:spacing w:after="0"/>
              <w:rPr>
                <w:sz w:val="20"/>
                <w:szCs w:val="20"/>
                <w:color w:val="auto"/>
              </w:rPr>
            </w:pPr>
            <w:r>
              <w:rPr>
                <w:rFonts w:ascii="Arial" w:cs="Arial" w:eastAsia="Arial" w:hAnsi="Arial"/>
                <w:sz w:val="16"/>
                <w:szCs w:val="16"/>
                <w:color w:val="auto"/>
              </w:rPr>
              <w:t>United Parks &amp; Resorts, Inc.</w:t>
            </w:r>
          </w:p>
        </w:tc>
      </w:tr>
      <w:tr>
        <w:trPr>
          <w:trHeight w:val="235"/>
        </w:trPr>
        <w:tc>
          <w:tcPr>
            <w:tcW w:w="3080" w:type="dxa"/>
            <w:vAlign w:val="bottom"/>
            <w:tcBorders>
              <w:bottom w:val="single" w:sz="8" w:color="00497F"/>
            </w:tcBorders>
          </w:tcPr>
          <w:p>
            <w:pPr>
              <w:spacing w:after="0"/>
              <w:rPr>
                <w:sz w:val="20"/>
                <w:szCs w:val="20"/>
                <w:color w:val="auto"/>
              </w:rPr>
            </w:pPr>
          </w:p>
        </w:tc>
        <w:tc>
          <w:tcPr>
            <w:tcW w:w="3940" w:type="dxa"/>
            <w:vAlign w:val="bottom"/>
            <w:tcBorders>
              <w:bottom w:val="single" w:sz="8" w:color="00497F"/>
            </w:tcBorders>
          </w:tcPr>
          <w:p>
            <w:pPr>
              <w:ind w:left="680"/>
              <w:spacing w:after="0"/>
              <w:rPr>
                <w:sz w:val="20"/>
                <w:szCs w:val="20"/>
                <w:color w:val="auto"/>
              </w:rPr>
            </w:pPr>
            <w:r>
              <w:rPr>
                <w:rFonts w:ascii="Arial" w:cs="Arial" w:eastAsia="Arial" w:hAnsi="Arial"/>
                <w:sz w:val="16"/>
                <w:szCs w:val="16"/>
                <w:color w:val="auto"/>
              </w:rPr>
              <w:t>Golden Entertainment, Inc.</w:t>
            </w:r>
          </w:p>
        </w:tc>
        <w:tc>
          <w:tcPr>
            <w:tcW w:w="4220" w:type="dxa"/>
            <w:vAlign w:val="bottom"/>
            <w:tcBorders>
              <w:bottom w:val="single" w:sz="8" w:color="00497F"/>
            </w:tcBorders>
          </w:tcPr>
          <w:p>
            <w:pPr>
              <w:ind w:left="480"/>
              <w:spacing w:after="0"/>
              <w:rPr>
                <w:sz w:val="20"/>
                <w:szCs w:val="20"/>
                <w:color w:val="auto"/>
              </w:rPr>
            </w:pPr>
            <w:r>
              <w:rPr>
                <w:rFonts w:ascii="Arial" w:cs="Arial" w:eastAsia="Arial" w:hAnsi="Arial"/>
                <w:sz w:val="16"/>
                <w:szCs w:val="16"/>
                <w:color w:val="auto"/>
              </w:rPr>
              <w:t>Vail Resorts, Inc.</w:t>
            </w:r>
          </w:p>
        </w:tc>
      </w:tr>
    </w:tbl>
    <w:p>
      <w:pPr>
        <w:spacing w:after="0" w:line="144" w:lineRule="exact"/>
        <w:rPr>
          <w:sz w:val="20"/>
          <w:szCs w:val="20"/>
          <w:color w:val="auto"/>
        </w:rPr>
      </w:pPr>
    </w:p>
    <w:p>
      <w:pPr>
        <w:ind w:left="200" w:hanging="193"/>
        <w:spacing w:after="0"/>
        <w:tabs>
          <w:tab w:leader="none" w:pos="200" w:val="left"/>
        </w:tabs>
        <w:numPr>
          <w:ilvl w:val="0"/>
          <w:numId w:val="76"/>
        </w:numPr>
        <w:rPr>
          <w:rFonts w:ascii="Arial" w:cs="Arial" w:eastAsia="Arial" w:hAnsi="Arial"/>
          <w:sz w:val="23"/>
          <w:szCs w:val="23"/>
          <w:color w:val="auto"/>
          <w:vertAlign w:val="superscript"/>
        </w:rPr>
      </w:pPr>
      <w:r>
        <w:rPr>
          <w:rFonts w:ascii="Arial" w:cs="Arial" w:eastAsia="Arial" w:hAnsi="Arial"/>
          <w:sz w:val="14"/>
          <w:szCs w:val="14"/>
          <w:color w:val="auto"/>
        </w:rPr>
        <w:t>Cedar Fair, L.P. merged with Six Flags in July 2024 and now operates under the name “Six Flags Entertainment Corporation.”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Pay for Performance Alignment</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Typically, we work to leverage our executive compensation structure to drive outstanding Company performance and provide appropriate rewards for sustained, strong individual performance. A significant portion of each executive officer’s pay is at-risk and awarded in the form of cash- and stock-based short- and long -term incentive grants. These incentive grants, which are discussed below and were granted under the 2025 Plan, are intended to link each executive officer’s annual compensation to the achievement of short- and long- term financial and strategic goals. As such, executive officers, including the NEOs, face a risk of forfeiture or a reduced payout if the Company fails to meet its financial and strategic objectives. Under each incentive plan, target compensation is only earned if the designated financial and strategic objectives are met. Each incentive plan offers above-target payouts for outstanding performance; alternatively, no incentive will be earned if a threshold level of performance is not achieved. Further, the Compensation Committee aims to link any adjustments to an executive officer’s base salary to his or her individual performance.</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evaluating whether our executive compensation programs appropriately link each executive officer’s compensation to Company performance, the Compensation Committee reviews and evaluates the achievements of the Company during the applicable fiscal year.</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fiscal 2025 compensation packages for our CEOs and other NEOs were heavily weighted towards variable compensation. In doing so, we continued our focus on compensation for our CEOs and NEOs tied to variable, long-term compensation and strengthening the alignment between compensation and our shareholders’ long-term interests. Long-term incentives constituted the largest portion of the target total compensation opportunity for our CEOs and other NEOs. The graphs below show the fiscal 2025 target pay mix for our CEOs and the average of the other NEOs based on annual base salary, annual short-term cash incentives at target and the economic value (at the time of grant) of RSUs, PSUs and stock options granted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331470</wp:posOffset>
            </wp:positionV>
            <wp:extent cx="71329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29</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762635</wp:posOffset>
            </wp:positionH>
            <wp:positionV relativeFrom="page">
              <wp:posOffset>600710</wp:posOffset>
            </wp:positionV>
            <wp:extent cx="6023610" cy="2457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23610" cy="245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144065"/>
        </w:rPr>
        <w:t>Elements of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portion of each executive officer’s total compensation is in the form of base salary. This is a fixed cash amount, expressed as an annualized salary. The salary component is designed to provide our executive officers with consistent income and to attract and retain talented and experienced executives capable of managing our operations and strategic growth. In alignment with our compensation philosophy, the Compensation Committee believes having base salary levels that position us appropriately relative to the market and reflect the performance and level of responsibility of each executive officer is key to providing a competitive total compensation package. Annually, the performance of each executive officer, including the NEOs, is reviewed by the Compensation Committee using information and evaluations provided by the Chief Executive Officer, taking into account our operating and financial results for the year, an assessment of the contribution of each executive officer to such results, the achievement of our strategic growth and any changes in the role and responsibility of an executive officer. In addition, the Compensation Committee considers the results of the benchmarking study and the market competitiveness of each NEO’s base salary to determine appropriate merit- and market-based increases to each executive’s base salary. As noted in the chart below, the NEOs did not receive any increase to base salary in fiscal 2025 from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46990</wp:posOffset>
            </wp:positionV>
            <wp:extent cx="71329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80" w:type="dxa"/>
            <w:vAlign w:val="bottom"/>
            <w:tcBorders>
              <w:bottom w:val="single" w:sz="8" w:color="00497F"/>
            </w:tcBorders>
          </w:tcPr>
          <w:p>
            <w:pPr>
              <w:ind w:left="20"/>
              <w:spacing w:after="0"/>
              <w:rPr>
                <w:sz w:val="20"/>
                <w:szCs w:val="20"/>
                <w:color w:val="auto"/>
              </w:rPr>
            </w:pPr>
            <w:r>
              <w:rPr>
                <w:rFonts w:ascii="Arial" w:cs="Arial" w:eastAsia="Arial" w:hAnsi="Arial"/>
                <w:sz w:val="14"/>
                <w:szCs w:val="14"/>
                <w:b w:val="1"/>
                <w:bCs w:val="1"/>
                <w:color w:val="144065"/>
              </w:rPr>
              <w:t>Name</w:t>
            </w:r>
          </w:p>
        </w:tc>
        <w:tc>
          <w:tcPr>
            <w:tcW w:w="2620" w:type="dxa"/>
            <w:vAlign w:val="bottom"/>
            <w:tcBorders>
              <w:bottom w:val="single" w:sz="8" w:color="00497F"/>
            </w:tcBorders>
          </w:tcPr>
          <w:p>
            <w:pPr>
              <w:spacing w:after="0"/>
              <w:rPr>
                <w:sz w:val="17"/>
                <w:szCs w:val="17"/>
                <w:color w:val="auto"/>
              </w:rPr>
            </w:pPr>
          </w:p>
        </w:tc>
        <w:tc>
          <w:tcPr>
            <w:tcW w:w="1380" w:type="dxa"/>
            <w:vAlign w:val="bottom"/>
            <w:tcBorders>
              <w:bottom w:val="single" w:sz="8" w:color="00497F"/>
            </w:tcBorders>
          </w:tcPr>
          <w:p>
            <w:pPr>
              <w:jc w:val="right"/>
              <w:ind w:right="61"/>
              <w:spacing w:after="0"/>
              <w:rPr>
                <w:sz w:val="20"/>
                <w:szCs w:val="20"/>
                <w:color w:val="auto"/>
              </w:rPr>
            </w:pPr>
            <w:r>
              <w:rPr>
                <w:rFonts w:ascii="Arial" w:cs="Arial" w:eastAsia="Arial" w:hAnsi="Arial"/>
                <w:sz w:val="14"/>
                <w:szCs w:val="14"/>
                <w:b w:val="1"/>
                <w:bCs w:val="1"/>
                <w:color w:val="144065"/>
              </w:rPr>
              <w:t>Base (Fiscal 2025)</w:t>
            </w:r>
          </w:p>
        </w:tc>
        <w:tc>
          <w:tcPr>
            <w:tcW w:w="180" w:type="dxa"/>
            <w:vAlign w:val="bottom"/>
            <w:tcBorders>
              <w:bottom w:val="single" w:sz="8" w:color="00497F"/>
            </w:tcBorders>
          </w:tcPr>
          <w:p>
            <w:pPr>
              <w:spacing w:after="0"/>
              <w:rPr>
                <w:sz w:val="17"/>
                <w:szCs w:val="17"/>
                <w:color w:val="auto"/>
              </w:rPr>
            </w:pPr>
          </w:p>
        </w:tc>
        <w:tc>
          <w:tcPr>
            <w:tcW w:w="1480" w:type="dxa"/>
            <w:vAlign w:val="bottom"/>
            <w:tcBorders>
              <w:bottom w:val="single" w:sz="8" w:color="00497F"/>
            </w:tcBorders>
          </w:tcPr>
          <w:p>
            <w:pPr>
              <w:jc w:val="right"/>
              <w:ind w:right="141"/>
              <w:spacing w:after="0"/>
              <w:rPr>
                <w:sz w:val="20"/>
                <w:szCs w:val="20"/>
                <w:color w:val="auto"/>
              </w:rPr>
            </w:pPr>
            <w:r>
              <w:rPr>
                <w:rFonts w:ascii="Arial" w:cs="Arial" w:eastAsia="Arial" w:hAnsi="Arial"/>
                <w:sz w:val="14"/>
                <w:szCs w:val="14"/>
                <w:b w:val="1"/>
                <w:bCs w:val="1"/>
                <w:color w:val="144065"/>
              </w:rPr>
              <w:t>Base (Fiscal 2024)</w:t>
            </w:r>
          </w:p>
        </w:tc>
        <w:tc>
          <w:tcPr>
            <w:tcW w:w="1600" w:type="dxa"/>
            <w:vAlign w:val="bottom"/>
            <w:tcBorders>
              <w:bottom w:val="single" w:sz="8" w:color="00497F"/>
            </w:tcBorders>
          </w:tcPr>
          <w:p>
            <w:pPr>
              <w:jc w:val="right"/>
              <w:ind w:right="61"/>
              <w:spacing w:after="0"/>
              <w:rPr>
                <w:sz w:val="20"/>
                <w:szCs w:val="20"/>
                <w:color w:val="auto"/>
              </w:rPr>
            </w:pPr>
            <w:r>
              <w:rPr>
                <w:rFonts w:ascii="Arial" w:cs="Arial" w:eastAsia="Arial" w:hAnsi="Arial"/>
                <w:sz w:val="14"/>
                <w:szCs w:val="14"/>
                <w:b w:val="1"/>
                <w:bCs w:val="1"/>
                <w:color w:val="144065"/>
              </w:rPr>
              <w:t>Percentage Change</w:t>
            </w:r>
          </w:p>
        </w:tc>
      </w:tr>
      <w:tr>
        <w:trPr>
          <w:trHeight w:val="242"/>
        </w:trPr>
        <w:tc>
          <w:tcPr>
            <w:tcW w:w="3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Tarun Lal</w:t>
            </w:r>
            <w:r>
              <w:rPr>
                <w:rFonts w:ascii="Arial" w:cs="Arial" w:eastAsia="Arial" w:hAnsi="Arial"/>
                <w:sz w:val="20"/>
                <w:szCs w:val="20"/>
                <w:color w:val="auto"/>
                <w:vertAlign w:val="superscript"/>
              </w:rPr>
              <w:t>(1)</w:t>
            </w:r>
          </w:p>
        </w:tc>
        <w:tc>
          <w:tcPr>
            <w:tcW w:w="2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800,000</w:t>
            </w:r>
          </w:p>
        </w:tc>
        <w:tc>
          <w:tcPr>
            <w:tcW w:w="180" w:type="dxa"/>
            <w:vAlign w:val="bottom"/>
            <w:shd w:val="clear" w:color="auto" w:fill="E5E5E5"/>
          </w:tcPr>
          <w:p>
            <w:pPr>
              <w:spacing w:after="0"/>
              <w:rPr>
                <w:sz w:val="21"/>
                <w:szCs w:val="21"/>
                <w:color w:val="auto"/>
              </w:rPr>
            </w:pPr>
          </w:p>
        </w:tc>
        <w:tc>
          <w:tcPr>
            <w:tcW w:w="1480" w:type="dxa"/>
            <w:vAlign w:val="bottom"/>
            <w:shd w:val="clear" w:color="auto" w:fill="E5E5E5"/>
          </w:tcPr>
          <w:p>
            <w:pPr>
              <w:jc w:val="right"/>
              <w:ind w:right="41"/>
              <w:spacing w:after="0"/>
              <w:rPr>
                <w:sz w:val="20"/>
                <w:szCs w:val="20"/>
                <w:color w:val="auto"/>
              </w:rPr>
            </w:pPr>
            <w:r>
              <w:rPr>
                <w:rFonts w:ascii="Arial" w:cs="Arial" w:eastAsia="Arial" w:hAnsi="Arial"/>
                <w:sz w:val="16"/>
                <w:szCs w:val="16"/>
                <w:color w:val="auto"/>
              </w:rPr>
              <w:t>N/A</w:t>
            </w:r>
          </w:p>
        </w:tc>
        <w:tc>
          <w:tcPr>
            <w:tcW w:w="1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N/A</w:t>
            </w:r>
          </w:p>
        </w:tc>
      </w:tr>
      <w:tr>
        <w:trPr>
          <w:trHeight w:val="242"/>
        </w:trPr>
        <w:tc>
          <w:tcPr>
            <w:tcW w:w="3980" w:type="dxa"/>
            <w:vAlign w:val="bottom"/>
          </w:tcPr>
          <w:p>
            <w:pPr>
              <w:ind w:left="20"/>
              <w:spacing w:after="0"/>
              <w:rPr>
                <w:sz w:val="20"/>
                <w:szCs w:val="20"/>
                <w:color w:val="auto"/>
              </w:rPr>
            </w:pPr>
            <w:r>
              <w:rPr>
                <w:rFonts w:ascii="Arial" w:cs="Arial" w:eastAsia="Arial" w:hAnsi="Arial"/>
                <w:sz w:val="16"/>
                <w:szCs w:val="16"/>
                <w:color w:val="auto"/>
              </w:rPr>
              <w:t>Kevin M. Sheehan</w:t>
            </w:r>
            <w:r>
              <w:rPr>
                <w:rFonts w:ascii="Arial" w:cs="Arial" w:eastAsia="Arial" w:hAnsi="Arial"/>
                <w:sz w:val="20"/>
                <w:szCs w:val="20"/>
                <w:color w:val="auto"/>
                <w:vertAlign w:val="superscript"/>
              </w:rPr>
              <w:t>(2)</w:t>
            </w:r>
          </w:p>
        </w:tc>
        <w:tc>
          <w:tcPr>
            <w:tcW w:w="26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850,000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850,000</w:t>
            </w:r>
          </w:p>
        </w:tc>
        <w:tc>
          <w:tcPr>
            <w:tcW w:w="16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2"/>
        </w:trPr>
        <w:tc>
          <w:tcPr>
            <w:tcW w:w="3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Darin Harper</w:t>
            </w:r>
          </w:p>
        </w:tc>
        <w:tc>
          <w:tcPr>
            <w:tcW w:w="2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475,000</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475,000</w:t>
            </w:r>
          </w:p>
        </w:tc>
        <w:tc>
          <w:tcPr>
            <w:tcW w:w="1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w:t>
            </w:r>
          </w:p>
        </w:tc>
      </w:tr>
      <w:tr>
        <w:trPr>
          <w:trHeight w:val="234"/>
        </w:trPr>
        <w:tc>
          <w:tcPr>
            <w:tcW w:w="3980" w:type="dxa"/>
            <w:vAlign w:val="bottom"/>
          </w:tcPr>
          <w:p>
            <w:pPr>
              <w:ind w:left="20"/>
              <w:spacing w:after="0"/>
              <w:rPr>
                <w:sz w:val="20"/>
                <w:szCs w:val="20"/>
                <w:color w:val="auto"/>
              </w:rPr>
            </w:pPr>
            <w:r>
              <w:rPr>
                <w:rFonts w:ascii="Arial" w:cs="Arial" w:eastAsia="Arial" w:hAnsi="Arial"/>
                <w:sz w:val="16"/>
                <w:szCs w:val="16"/>
                <w:color w:val="auto"/>
              </w:rPr>
              <w:t>Antonio Bautista</w:t>
            </w:r>
          </w:p>
        </w:tc>
        <w:tc>
          <w:tcPr>
            <w:tcW w:w="26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427,000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427,000</w:t>
            </w:r>
          </w:p>
        </w:tc>
        <w:tc>
          <w:tcPr>
            <w:tcW w:w="16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49"/>
        </w:trPr>
        <w:tc>
          <w:tcPr>
            <w:tcW w:w="3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Steve Klohn</w:t>
            </w:r>
          </w:p>
        </w:tc>
        <w:tc>
          <w:tcPr>
            <w:tcW w:w="2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400,000</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E5E5"/>
          </w:tcPr>
          <w:p>
            <w:pPr>
              <w:jc w:val="right"/>
              <w:ind w:right="101"/>
              <w:spacing w:after="0"/>
              <w:rPr>
                <w:sz w:val="20"/>
                <w:szCs w:val="20"/>
                <w:color w:val="auto"/>
              </w:rPr>
            </w:pPr>
            <w:r>
              <w:rPr>
                <w:rFonts w:ascii="Arial" w:cs="Arial" w:eastAsia="Arial" w:hAnsi="Arial"/>
                <w:sz w:val="16"/>
                <w:szCs w:val="16"/>
                <w:color w:val="auto"/>
              </w:rPr>
              <w:t>400,000</w:t>
            </w:r>
          </w:p>
        </w:tc>
        <w:tc>
          <w:tcPr>
            <w:tcW w:w="1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398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Tony Wehner</w:t>
            </w:r>
          </w:p>
        </w:tc>
        <w:tc>
          <w:tcPr>
            <w:tcW w:w="262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00497F"/>
            </w:tcBorders>
          </w:tcPr>
          <w:p>
            <w:pPr>
              <w:jc w:val="right"/>
              <w:ind w:right="1"/>
              <w:spacing w:after="0"/>
              <w:rPr>
                <w:sz w:val="20"/>
                <w:szCs w:val="20"/>
                <w:color w:val="auto"/>
              </w:rPr>
            </w:pPr>
            <w:r>
              <w:rPr>
                <w:rFonts w:ascii="Arial" w:cs="Arial" w:eastAsia="Arial" w:hAnsi="Arial"/>
                <w:sz w:val="16"/>
                <w:szCs w:val="16"/>
                <w:color w:val="auto"/>
              </w:rPr>
              <w:t>450,000</w:t>
            </w:r>
          </w:p>
        </w:tc>
        <w:tc>
          <w:tcPr>
            <w:tcW w:w="18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0497F"/>
            </w:tcBorders>
          </w:tcPr>
          <w:p>
            <w:pPr>
              <w:jc w:val="right"/>
              <w:ind w:right="101"/>
              <w:spacing w:after="0"/>
              <w:rPr>
                <w:sz w:val="20"/>
                <w:szCs w:val="20"/>
                <w:color w:val="auto"/>
              </w:rPr>
            </w:pPr>
            <w:r>
              <w:rPr>
                <w:rFonts w:ascii="Arial" w:cs="Arial" w:eastAsia="Arial" w:hAnsi="Arial"/>
                <w:sz w:val="16"/>
                <w:szCs w:val="16"/>
                <w:color w:val="auto"/>
              </w:rPr>
              <w:t>450,000</w:t>
            </w:r>
          </w:p>
        </w:tc>
        <w:tc>
          <w:tcPr>
            <w:tcW w:w="160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 %</w:t>
            </w:r>
          </w:p>
        </w:tc>
      </w:tr>
    </w:tbl>
    <w:p>
      <w:pPr>
        <w:spacing w:after="0" w:line="139" w:lineRule="exact"/>
        <w:rPr>
          <w:sz w:val="20"/>
          <w:szCs w:val="20"/>
          <w:color w:val="auto"/>
        </w:rPr>
      </w:pPr>
    </w:p>
    <w:p>
      <w:pPr>
        <w:ind w:left="420" w:hanging="413"/>
        <w:spacing w:after="0" w:line="221" w:lineRule="auto"/>
        <w:tabs>
          <w:tab w:leader="none" w:pos="413" w:val="left"/>
        </w:tabs>
        <w:numPr>
          <w:ilvl w:val="0"/>
          <w:numId w:val="77"/>
        </w:numPr>
        <w:rPr>
          <w:rFonts w:ascii="Arial" w:cs="Arial" w:eastAsia="Arial" w:hAnsi="Arial"/>
          <w:sz w:val="19"/>
          <w:szCs w:val="19"/>
          <w:color w:val="auto"/>
          <w:vertAlign w:val="superscript"/>
        </w:rPr>
      </w:pPr>
      <w:r>
        <w:rPr>
          <w:rFonts w:ascii="Arial" w:cs="Arial" w:eastAsia="Arial" w:hAnsi="Arial"/>
          <w:sz w:val="14"/>
          <w:szCs w:val="14"/>
          <w:color w:val="auto"/>
        </w:rPr>
        <w:t>Mr. Lal was appointed to serve as the Company’s Chief Executive Officer effective July 14, 2025 and, therefore, only received a prorated portion of his base salary in fiscal 2025.</w:t>
      </w:r>
    </w:p>
    <w:p>
      <w:pPr>
        <w:jc w:val="both"/>
        <w:ind w:left="420" w:hanging="413"/>
        <w:spacing w:after="0" w:line="271" w:lineRule="auto"/>
        <w:tabs>
          <w:tab w:leader="none" w:pos="413" w:val="left"/>
        </w:tabs>
        <w:numPr>
          <w:ilvl w:val="0"/>
          <w:numId w:val="77"/>
        </w:numPr>
        <w:rPr>
          <w:rFonts w:ascii="Arial" w:cs="Arial" w:eastAsia="Arial" w:hAnsi="Arial"/>
          <w:sz w:val="9"/>
          <w:szCs w:val="9"/>
          <w:color w:val="auto"/>
        </w:rPr>
      </w:pPr>
      <w:r>
        <w:rPr>
          <w:rFonts w:ascii="Arial" w:cs="Arial" w:eastAsia="Arial" w:hAnsi="Arial"/>
          <w:sz w:val="14"/>
          <w:szCs w:val="14"/>
          <w:color w:val="auto"/>
        </w:rPr>
        <w:t xml:space="preserve">Mr. Sheehan resigned from his position as Interim Chief Executive Officer effective July 15, 2025 and did not receive a bonus for fiscal 2025. Prior and subsequent to his service as Interim Chief Executive Officer, Mr. Sheehan was compensated as a non-employee director.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 xml:space="preserve"> and </w:t>
      </w:r>
      <w:r>
        <w:rPr>
          <w:rFonts w:ascii="Arial" w:cs="Arial" w:eastAsia="Arial" w:hAnsi="Arial"/>
          <w:sz w:val="14"/>
          <w:szCs w:val="14"/>
          <w:i w:val="1"/>
          <w:iCs w:val="1"/>
          <w:color w:val="auto"/>
        </w:rPr>
        <w:t>2025 Summary 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Table </w:t>
      </w:r>
      <w:r>
        <w:rPr>
          <w:rFonts w:ascii="Arial" w:cs="Arial" w:eastAsia="Arial" w:hAnsi="Arial"/>
          <w:sz w:val="14"/>
          <w:szCs w:val="14"/>
          <w:color w:val="auto"/>
        </w:rPr>
        <w:t>elsewhere in this Proxy Statement for additional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Incentive Plan (Annual Incentive Plan)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Executive Incentive Plan administered under the 2025 Plan was designed to recognize and reward our employees for contributing towards the achievement of our annual business plan. The Compensation Committee believes the Executive Incentive Plan provides a valuable short-term incentive program that will deliver a short-term bonus opportunity for key employees, including the NEOs (other than Mr. Lal), upon achievement of targeted operating results, as determined by the Compensation Committee and the Board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259080</wp:posOffset>
            </wp:positionV>
            <wp:extent cx="71329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30</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both"/>
        <w:spacing w:after="0" w:line="285" w:lineRule="auto"/>
        <w:rPr>
          <w:sz w:val="20"/>
          <w:szCs w:val="20"/>
          <w:color w:val="auto"/>
        </w:rPr>
      </w:pPr>
      <w:r>
        <w:rPr>
          <w:rFonts w:ascii="Arial" w:cs="Arial" w:eastAsia="Arial" w:hAnsi="Arial"/>
          <w:sz w:val="18"/>
          <w:szCs w:val="18"/>
          <w:color w:val="auto"/>
        </w:rPr>
        <w:t>Directors. The Executive Incentive Plan also supports our efforts to integrate our compensation philosophies with our annual business objectives and focus our executive officers on the fulfillment of those objectives.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considering and approving the design of the Executive Incentive Plan, the Compensation Committee reviews target bonus percentages for each executive officer, including the NEOs, and considers the value of the incentive award relative to the individual’s total compensation package, the value of the incentive award and total compensation package relative to benchmark data, and the degree to which the individual can influence the Company’s achievement of its short-term financial and strategic objectives. The Compensation Committee also reviews annually the financial and strategic objectives that will comprise the components of the Executive Incentive Plan, the target for each component, and the payout percentages at threshold, target, and maximum performance for each component. The Compensation Committee considers input from FW Cook, the results of benchmarking data, and analysis from our Chief Executive Officer to determine the appropriateness of the target bonus percentages for each executive officer (including the NEOs), the components of the Executive Incentive Plan, the targets for each component, and the payout percentages at each level of performance.</w:t>
      </w:r>
    </w:p>
    <w:p>
      <w:pPr>
        <w:spacing w:after="0" w:line="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each participating executive officer’s employment agreement and the Executive Incentive Plan, the target bonus opportunity is expressed as a percentage of annualized base salary as of the end of the performance period, and prorated according to the percentage of the performance period the executive officer is employed by the Company. Target levels are established based upon a review of market practices and aligned to the Company’s compensation philosophy. Bonuses above or below the target level may be paid subject to a prescribed maximum or minimum. Bonus attainment is calculated separately for each component of the Executive Incentive Plan. In the event a minimum threshold level of performance is not achieved, no bonuses will be payable under the Executive Incentive Plan. If performance falls between threshold and target or target and maximum, the bonus payout will be determined on an interpolated basis. The threshold, target, and maximum percentages for each of the NEOs for fiscal 2025 under the Executive Incentive Plan are outlined in the table below (based on participation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71329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4100" w:type="dxa"/>
            <w:vAlign w:val="bottom"/>
          </w:tcPr>
          <w:p>
            <w:pPr>
              <w:jc w:val="right"/>
              <w:ind w:right="442"/>
              <w:spacing w:after="0"/>
              <w:rPr>
                <w:sz w:val="20"/>
                <w:szCs w:val="20"/>
                <w:color w:val="auto"/>
              </w:rPr>
            </w:pPr>
            <w:r>
              <w:rPr>
                <w:rFonts w:ascii="Arial" w:cs="Arial" w:eastAsia="Arial" w:hAnsi="Arial"/>
                <w:sz w:val="14"/>
                <w:szCs w:val="14"/>
                <w:b w:val="1"/>
                <w:bCs w:val="1"/>
                <w:color w:val="144065"/>
              </w:rPr>
              <w:t>% of Salary at</w:t>
            </w:r>
          </w:p>
        </w:tc>
        <w:tc>
          <w:tcPr>
            <w:tcW w:w="1680" w:type="dxa"/>
            <w:vAlign w:val="bottom"/>
          </w:tcPr>
          <w:p>
            <w:pPr>
              <w:jc w:val="right"/>
              <w:ind w:right="442"/>
              <w:spacing w:after="0"/>
              <w:rPr>
                <w:sz w:val="20"/>
                <w:szCs w:val="20"/>
                <w:color w:val="auto"/>
              </w:rPr>
            </w:pPr>
            <w:r>
              <w:rPr>
                <w:rFonts w:ascii="Arial" w:cs="Arial" w:eastAsia="Arial" w:hAnsi="Arial"/>
                <w:sz w:val="14"/>
                <w:szCs w:val="14"/>
                <w:b w:val="1"/>
                <w:bCs w:val="1"/>
                <w:color w:val="144065"/>
              </w:rPr>
              <w:t>% of Salary at</w:t>
            </w:r>
          </w:p>
        </w:tc>
        <w:tc>
          <w:tcPr>
            <w:tcW w:w="1480" w:type="dxa"/>
            <w:vAlign w:val="bottom"/>
          </w:tcPr>
          <w:p>
            <w:pPr>
              <w:jc w:val="right"/>
              <w:ind w:right="242"/>
              <w:spacing w:after="0"/>
              <w:rPr>
                <w:sz w:val="20"/>
                <w:szCs w:val="20"/>
                <w:color w:val="auto"/>
              </w:rPr>
            </w:pPr>
            <w:r>
              <w:rPr>
                <w:rFonts w:ascii="Arial" w:cs="Arial" w:eastAsia="Arial" w:hAnsi="Arial"/>
                <w:sz w:val="14"/>
                <w:szCs w:val="14"/>
                <w:b w:val="1"/>
                <w:bCs w:val="1"/>
                <w:color w:val="144065"/>
              </w:rPr>
              <w:t>% of Salary at</w:t>
            </w:r>
          </w:p>
        </w:tc>
      </w:tr>
      <w:tr>
        <w:trPr>
          <w:trHeight w:val="204"/>
        </w:trPr>
        <w:tc>
          <w:tcPr>
            <w:tcW w:w="3980" w:type="dxa"/>
            <w:vAlign w:val="bottom"/>
            <w:tcBorders>
              <w:bottom w:val="single" w:sz="8" w:color="00497F"/>
            </w:tcBorders>
          </w:tcPr>
          <w:p>
            <w:pPr>
              <w:ind w:left="20"/>
              <w:spacing w:after="0"/>
              <w:rPr>
                <w:sz w:val="20"/>
                <w:szCs w:val="20"/>
                <w:color w:val="auto"/>
              </w:rPr>
            </w:pPr>
            <w:r>
              <w:rPr>
                <w:rFonts w:ascii="Arial" w:cs="Arial" w:eastAsia="Arial" w:hAnsi="Arial"/>
                <w:sz w:val="14"/>
                <w:szCs w:val="14"/>
                <w:b w:val="1"/>
                <w:bCs w:val="1"/>
                <w:color w:val="144065"/>
              </w:rPr>
              <w:t>Name</w:t>
            </w:r>
          </w:p>
        </w:tc>
        <w:tc>
          <w:tcPr>
            <w:tcW w:w="4100" w:type="dxa"/>
            <w:vAlign w:val="bottom"/>
            <w:tcBorders>
              <w:bottom w:val="single" w:sz="8" w:color="00497F"/>
            </w:tcBorders>
          </w:tcPr>
          <w:p>
            <w:pPr>
              <w:jc w:val="right"/>
              <w:ind w:right="562"/>
              <w:spacing w:after="0"/>
              <w:rPr>
                <w:sz w:val="20"/>
                <w:szCs w:val="20"/>
                <w:color w:val="auto"/>
              </w:rPr>
            </w:pPr>
            <w:r>
              <w:rPr>
                <w:rFonts w:ascii="Arial" w:cs="Arial" w:eastAsia="Arial" w:hAnsi="Arial"/>
                <w:sz w:val="14"/>
                <w:szCs w:val="14"/>
                <w:b w:val="1"/>
                <w:bCs w:val="1"/>
                <w:color w:val="144065"/>
              </w:rPr>
              <w:t>Threshold</w:t>
            </w:r>
          </w:p>
        </w:tc>
        <w:tc>
          <w:tcPr>
            <w:tcW w:w="1680" w:type="dxa"/>
            <w:vAlign w:val="bottom"/>
            <w:tcBorders>
              <w:bottom w:val="single" w:sz="8" w:color="00497F"/>
            </w:tcBorders>
          </w:tcPr>
          <w:p>
            <w:pPr>
              <w:jc w:val="right"/>
              <w:ind w:right="702"/>
              <w:spacing w:after="0"/>
              <w:rPr>
                <w:sz w:val="20"/>
                <w:szCs w:val="20"/>
                <w:color w:val="auto"/>
              </w:rPr>
            </w:pPr>
            <w:r>
              <w:rPr>
                <w:rFonts w:ascii="Arial" w:cs="Arial" w:eastAsia="Arial" w:hAnsi="Arial"/>
                <w:sz w:val="14"/>
                <w:szCs w:val="14"/>
                <w:b w:val="1"/>
                <w:bCs w:val="1"/>
                <w:color w:val="144065"/>
              </w:rPr>
              <w:t>Target</w:t>
            </w:r>
          </w:p>
        </w:tc>
        <w:tc>
          <w:tcPr>
            <w:tcW w:w="1480" w:type="dxa"/>
            <w:vAlign w:val="bottom"/>
            <w:tcBorders>
              <w:bottom w:val="single" w:sz="8" w:color="00497F"/>
            </w:tcBorders>
          </w:tcPr>
          <w:p>
            <w:pPr>
              <w:jc w:val="right"/>
              <w:ind w:right="382"/>
              <w:spacing w:after="0"/>
              <w:rPr>
                <w:sz w:val="20"/>
                <w:szCs w:val="20"/>
                <w:color w:val="auto"/>
              </w:rPr>
            </w:pPr>
            <w:r>
              <w:rPr>
                <w:rFonts w:ascii="Arial" w:cs="Arial" w:eastAsia="Arial" w:hAnsi="Arial"/>
                <w:sz w:val="14"/>
                <w:szCs w:val="14"/>
                <w:b w:val="1"/>
                <w:bCs w:val="1"/>
                <w:color w:val="144065"/>
              </w:rPr>
              <w:t>Maximum</w:t>
            </w:r>
          </w:p>
        </w:tc>
      </w:tr>
      <w:tr>
        <w:trPr>
          <w:trHeight w:val="242"/>
        </w:trPr>
        <w:tc>
          <w:tcPr>
            <w:tcW w:w="3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Tarun Lal</w:t>
            </w:r>
          </w:p>
        </w:tc>
        <w:tc>
          <w:tcPr>
            <w:tcW w:w="410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50.0 %</w:t>
            </w:r>
          </w:p>
        </w:tc>
        <w:tc>
          <w:tcPr>
            <w:tcW w:w="168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100.0 %</w:t>
            </w:r>
          </w:p>
        </w:tc>
        <w:tc>
          <w:tcPr>
            <w:tcW w:w="14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200.0 %</w:t>
            </w:r>
          </w:p>
        </w:tc>
      </w:tr>
      <w:tr>
        <w:trPr>
          <w:trHeight w:val="234"/>
        </w:trPr>
        <w:tc>
          <w:tcPr>
            <w:tcW w:w="3980" w:type="dxa"/>
            <w:vAlign w:val="bottom"/>
          </w:tcPr>
          <w:p>
            <w:pPr>
              <w:ind w:left="20"/>
              <w:spacing w:after="0"/>
              <w:rPr>
                <w:sz w:val="20"/>
                <w:szCs w:val="20"/>
                <w:color w:val="auto"/>
              </w:rPr>
            </w:pPr>
            <w:r>
              <w:rPr>
                <w:rFonts w:ascii="Arial" w:cs="Arial" w:eastAsia="Arial" w:hAnsi="Arial"/>
                <w:sz w:val="16"/>
                <w:szCs w:val="16"/>
                <w:color w:val="auto"/>
              </w:rPr>
              <w:t>Kevin M. Sheehan</w:t>
            </w:r>
          </w:p>
        </w:tc>
        <w:tc>
          <w:tcPr>
            <w:tcW w:w="4100" w:type="dxa"/>
            <w:vAlign w:val="bottom"/>
          </w:tcPr>
          <w:p>
            <w:pPr>
              <w:jc w:val="right"/>
              <w:ind w:right="142"/>
              <w:spacing w:after="0"/>
              <w:rPr>
                <w:sz w:val="20"/>
                <w:szCs w:val="20"/>
                <w:color w:val="auto"/>
              </w:rPr>
            </w:pPr>
            <w:r>
              <w:rPr>
                <w:rFonts w:ascii="Arial" w:cs="Arial" w:eastAsia="Arial" w:hAnsi="Arial"/>
                <w:sz w:val="16"/>
                <w:szCs w:val="16"/>
                <w:color w:val="auto"/>
              </w:rPr>
              <w:t>50.0 %</w:t>
            </w:r>
          </w:p>
        </w:tc>
        <w:tc>
          <w:tcPr>
            <w:tcW w:w="1680" w:type="dxa"/>
            <w:vAlign w:val="bottom"/>
          </w:tcPr>
          <w:p>
            <w:pPr>
              <w:jc w:val="right"/>
              <w:ind w:right="162"/>
              <w:spacing w:after="0"/>
              <w:rPr>
                <w:sz w:val="20"/>
                <w:szCs w:val="20"/>
                <w:color w:val="auto"/>
              </w:rPr>
            </w:pPr>
            <w:r>
              <w:rPr>
                <w:rFonts w:ascii="Arial" w:cs="Arial" w:eastAsia="Arial" w:hAnsi="Arial"/>
                <w:sz w:val="16"/>
                <w:szCs w:val="16"/>
                <w:color w:val="auto"/>
              </w:rPr>
              <w:t>100.0 %</w:t>
            </w:r>
          </w:p>
        </w:tc>
        <w:tc>
          <w:tcPr>
            <w:tcW w:w="1480" w:type="dxa"/>
            <w:vAlign w:val="bottom"/>
          </w:tcPr>
          <w:p>
            <w:pPr>
              <w:jc w:val="right"/>
              <w:spacing w:after="0"/>
              <w:rPr>
                <w:sz w:val="20"/>
                <w:szCs w:val="20"/>
                <w:color w:val="auto"/>
              </w:rPr>
            </w:pPr>
            <w:r>
              <w:rPr>
                <w:rFonts w:ascii="Arial" w:cs="Arial" w:eastAsia="Arial" w:hAnsi="Arial"/>
                <w:sz w:val="16"/>
                <w:szCs w:val="16"/>
                <w:color w:val="auto"/>
              </w:rPr>
              <w:t>200.0 %</w:t>
            </w:r>
          </w:p>
        </w:tc>
      </w:tr>
      <w:tr>
        <w:trPr>
          <w:trHeight w:val="249"/>
        </w:trPr>
        <w:tc>
          <w:tcPr>
            <w:tcW w:w="3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Darin Harper</w:t>
            </w:r>
          </w:p>
        </w:tc>
        <w:tc>
          <w:tcPr>
            <w:tcW w:w="410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40.0 %</w:t>
            </w:r>
          </w:p>
        </w:tc>
        <w:tc>
          <w:tcPr>
            <w:tcW w:w="168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80.0 %</w:t>
            </w:r>
          </w:p>
        </w:tc>
        <w:tc>
          <w:tcPr>
            <w:tcW w:w="14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160.0 %</w:t>
            </w:r>
          </w:p>
        </w:tc>
      </w:tr>
      <w:tr>
        <w:trPr>
          <w:trHeight w:val="234"/>
        </w:trPr>
        <w:tc>
          <w:tcPr>
            <w:tcW w:w="3980" w:type="dxa"/>
            <w:vAlign w:val="bottom"/>
          </w:tcPr>
          <w:p>
            <w:pPr>
              <w:ind w:left="20"/>
              <w:spacing w:after="0"/>
              <w:rPr>
                <w:sz w:val="20"/>
                <w:szCs w:val="20"/>
                <w:color w:val="auto"/>
              </w:rPr>
            </w:pPr>
            <w:r>
              <w:rPr>
                <w:rFonts w:ascii="Arial" w:cs="Arial" w:eastAsia="Arial" w:hAnsi="Arial"/>
                <w:sz w:val="16"/>
                <w:szCs w:val="16"/>
                <w:color w:val="auto"/>
              </w:rPr>
              <w:t>Antonio Bautista</w:t>
            </w:r>
          </w:p>
        </w:tc>
        <w:tc>
          <w:tcPr>
            <w:tcW w:w="4100" w:type="dxa"/>
            <w:vAlign w:val="bottom"/>
          </w:tcPr>
          <w:p>
            <w:pPr>
              <w:jc w:val="right"/>
              <w:ind w:right="142"/>
              <w:spacing w:after="0"/>
              <w:rPr>
                <w:sz w:val="20"/>
                <w:szCs w:val="20"/>
                <w:color w:val="auto"/>
              </w:rPr>
            </w:pPr>
            <w:r>
              <w:rPr>
                <w:rFonts w:ascii="Arial" w:cs="Arial" w:eastAsia="Arial" w:hAnsi="Arial"/>
                <w:sz w:val="16"/>
                <w:szCs w:val="16"/>
                <w:color w:val="auto"/>
              </w:rPr>
              <w:t>30.0 %</w:t>
            </w:r>
          </w:p>
        </w:tc>
        <w:tc>
          <w:tcPr>
            <w:tcW w:w="1680" w:type="dxa"/>
            <w:vAlign w:val="bottom"/>
          </w:tcPr>
          <w:p>
            <w:pPr>
              <w:jc w:val="right"/>
              <w:ind w:right="162"/>
              <w:spacing w:after="0"/>
              <w:rPr>
                <w:sz w:val="20"/>
                <w:szCs w:val="20"/>
                <w:color w:val="auto"/>
              </w:rPr>
            </w:pPr>
            <w:r>
              <w:rPr>
                <w:rFonts w:ascii="Arial" w:cs="Arial" w:eastAsia="Arial" w:hAnsi="Arial"/>
                <w:sz w:val="16"/>
                <w:szCs w:val="16"/>
                <w:color w:val="auto"/>
              </w:rPr>
              <w:t>60.0 %</w:t>
            </w:r>
          </w:p>
        </w:tc>
        <w:tc>
          <w:tcPr>
            <w:tcW w:w="1480" w:type="dxa"/>
            <w:vAlign w:val="bottom"/>
          </w:tcPr>
          <w:p>
            <w:pPr>
              <w:jc w:val="right"/>
              <w:spacing w:after="0"/>
              <w:rPr>
                <w:sz w:val="20"/>
                <w:szCs w:val="20"/>
                <w:color w:val="auto"/>
              </w:rPr>
            </w:pPr>
            <w:r>
              <w:rPr>
                <w:rFonts w:ascii="Arial" w:cs="Arial" w:eastAsia="Arial" w:hAnsi="Arial"/>
                <w:sz w:val="16"/>
                <w:szCs w:val="16"/>
                <w:color w:val="auto"/>
              </w:rPr>
              <w:t>120.0 %</w:t>
            </w:r>
          </w:p>
        </w:tc>
      </w:tr>
      <w:tr>
        <w:trPr>
          <w:trHeight w:val="249"/>
        </w:trPr>
        <w:tc>
          <w:tcPr>
            <w:tcW w:w="3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Steve Klohn</w:t>
            </w:r>
          </w:p>
        </w:tc>
        <w:tc>
          <w:tcPr>
            <w:tcW w:w="4100" w:type="dxa"/>
            <w:vAlign w:val="bottom"/>
            <w:shd w:val="clear" w:color="auto" w:fill="E5E5E5"/>
          </w:tcPr>
          <w:p>
            <w:pPr>
              <w:jc w:val="right"/>
              <w:ind w:right="142"/>
              <w:spacing w:after="0"/>
              <w:rPr>
                <w:sz w:val="20"/>
                <w:szCs w:val="20"/>
                <w:color w:val="auto"/>
              </w:rPr>
            </w:pPr>
            <w:r>
              <w:rPr>
                <w:rFonts w:ascii="Arial" w:cs="Arial" w:eastAsia="Arial" w:hAnsi="Arial"/>
                <w:sz w:val="16"/>
                <w:szCs w:val="16"/>
                <w:color w:val="auto"/>
              </w:rPr>
              <w:t>30.0 %</w:t>
            </w:r>
          </w:p>
        </w:tc>
        <w:tc>
          <w:tcPr>
            <w:tcW w:w="168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rPr>
              <w:t>60.0 %</w:t>
            </w:r>
          </w:p>
        </w:tc>
        <w:tc>
          <w:tcPr>
            <w:tcW w:w="14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120.0 %</w:t>
            </w:r>
          </w:p>
        </w:tc>
      </w:tr>
      <w:tr>
        <w:trPr>
          <w:trHeight w:val="235"/>
        </w:trPr>
        <w:tc>
          <w:tcPr>
            <w:tcW w:w="398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Tony Wehner</w:t>
            </w:r>
          </w:p>
        </w:tc>
        <w:tc>
          <w:tcPr>
            <w:tcW w:w="4100" w:type="dxa"/>
            <w:vAlign w:val="bottom"/>
            <w:tcBorders>
              <w:bottom w:val="single" w:sz="8" w:color="00497F"/>
            </w:tcBorders>
          </w:tcPr>
          <w:p>
            <w:pPr>
              <w:jc w:val="right"/>
              <w:ind w:right="142"/>
              <w:spacing w:after="0"/>
              <w:rPr>
                <w:sz w:val="20"/>
                <w:szCs w:val="20"/>
                <w:color w:val="auto"/>
              </w:rPr>
            </w:pPr>
            <w:r>
              <w:rPr>
                <w:rFonts w:ascii="Arial" w:cs="Arial" w:eastAsia="Arial" w:hAnsi="Arial"/>
                <w:sz w:val="16"/>
                <w:szCs w:val="16"/>
                <w:color w:val="auto"/>
              </w:rPr>
              <w:t>40.0 %</w:t>
            </w:r>
          </w:p>
        </w:tc>
        <w:tc>
          <w:tcPr>
            <w:tcW w:w="1680" w:type="dxa"/>
            <w:vAlign w:val="bottom"/>
            <w:tcBorders>
              <w:bottom w:val="single" w:sz="8" w:color="00497F"/>
            </w:tcBorders>
          </w:tcPr>
          <w:p>
            <w:pPr>
              <w:jc w:val="right"/>
              <w:ind w:right="162"/>
              <w:spacing w:after="0"/>
              <w:rPr>
                <w:sz w:val="20"/>
                <w:szCs w:val="20"/>
                <w:color w:val="auto"/>
              </w:rPr>
            </w:pPr>
            <w:r>
              <w:rPr>
                <w:rFonts w:ascii="Arial" w:cs="Arial" w:eastAsia="Arial" w:hAnsi="Arial"/>
                <w:sz w:val="16"/>
                <w:szCs w:val="16"/>
                <w:color w:val="auto"/>
              </w:rPr>
              <w:t>80.0 %</w:t>
            </w:r>
          </w:p>
        </w:tc>
        <w:tc>
          <w:tcPr>
            <w:tcW w:w="148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160.0 %</w:t>
            </w:r>
          </w:p>
        </w:tc>
      </w:tr>
    </w:tbl>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Executive Incentive Plan for fiscal 2025, (i) 50% of each participating executive officer’s bonus opportunity was based on the Company’s performance relative to targeted Incentive Adjusted EBITDA (calculated as net income, plus interest expense (net), loss on debt refinancing, provision for (benefit from) income taxes, depreciation and amortization expense, share-based compensation, transaction and integration costs, system implementation costs, (gain) loss on property and equipment transactions and impairments, and other costs, net and pre-opening expenses); (ii) 10% of each participating executive officer's bonus opportunity was based on the Company’s performance relative to targeted Total Revenue; (iii) 20% of each executive officer's bonus opportunity was based on the Company's performance relative to targeted Comparable Store Sales Growth; and (iv) 20% of each participating executive officer’s bonus opportunity was based on the individual officer’s performance.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44065"/>
        </w:rPr>
        <w:t>Fiscal 2025 Performance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71329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0" w:type="dxa"/>
            <w:vAlign w:val="bottom"/>
          </w:tcPr>
          <w:p>
            <w:pPr>
              <w:spacing w:after="0"/>
              <w:rPr>
                <w:sz w:val="17"/>
                <w:szCs w:val="17"/>
                <w:color w:val="auto"/>
              </w:rPr>
            </w:pPr>
          </w:p>
        </w:tc>
        <w:tc>
          <w:tcPr>
            <w:tcW w:w="200" w:type="dxa"/>
            <w:vAlign w:val="bottom"/>
            <w:tcBorders>
              <w:bottom w:val="single" w:sz="8" w:color="144065"/>
            </w:tcBorders>
          </w:tcPr>
          <w:p>
            <w:pPr>
              <w:spacing w:after="0"/>
              <w:rPr>
                <w:sz w:val="17"/>
                <w:szCs w:val="17"/>
                <w:color w:val="auto"/>
              </w:rPr>
            </w:pPr>
          </w:p>
        </w:tc>
        <w:tc>
          <w:tcPr>
            <w:tcW w:w="1140" w:type="dxa"/>
            <w:vAlign w:val="bottom"/>
            <w:tcBorders>
              <w:bottom w:val="single" w:sz="8" w:color="144065"/>
            </w:tcBorders>
          </w:tcPr>
          <w:p>
            <w:pPr>
              <w:spacing w:after="0"/>
              <w:rPr>
                <w:sz w:val="17"/>
                <w:szCs w:val="17"/>
                <w:color w:val="auto"/>
              </w:rPr>
            </w:pPr>
          </w:p>
        </w:tc>
        <w:tc>
          <w:tcPr>
            <w:tcW w:w="220" w:type="dxa"/>
            <w:vAlign w:val="bottom"/>
            <w:tcBorders>
              <w:bottom w:val="single" w:sz="8" w:color="144065"/>
            </w:tcBorders>
          </w:tcPr>
          <w:p>
            <w:pPr>
              <w:spacing w:after="0"/>
              <w:rPr>
                <w:sz w:val="17"/>
                <w:szCs w:val="17"/>
                <w:color w:val="auto"/>
              </w:rPr>
            </w:pPr>
          </w:p>
        </w:tc>
        <w:tc>
          <w:tcPr>
            <w:tcW w:w="1180" w:type="dxa"/>
            <w:vAlign w:val="bottom"/>
            <w:tcBorders>
              <w:bottom w:val="single" w:sz="8" w:color="144065"/>
            </w:tcBorders>
          </w:tcPr>
          <w:p>
            <w:pPr>
              <w:jc w:val="right"/>
              <w:ind w:right="183"/>
              <w:spacing w:after="0"/>
              <w:rPr>
                <w:sz w:val="20"/>
                <w:szCs w:val="20"/>
                <w:color w:val="auto"/>
              </w:rPr>
            </w:pPr>
            <w:r>
              <w:rPr>
                <w:rFonts w:ascii="Arial" w:cs="Arial" w:eastAsia="Arial" w:hAnsi="Arial"/>
                <w:sz w:val="14"/>
                <w:szCs w:val="14"/>
                <w:b w:val="1"/>
                <w:bCs w:val="1"/>
                <w:color w:val="144065"/>
              </w:rPr>
              <w:t>Performance</w:t>
            </w:r>
          </w:p>
        </w:tc>
        <w:tc>
          <w:tcPr>
            <w:tcW w:w="260" w:type="dxa"/>
            <w:vAlign w:val="bottom"/>
            <w:tcBorders>
              <w:bottom w:val="single" w:sz="8" w:color="144065"/>
            </w:tcBorders>
          </w:tcPr>
          <w:p>
            <w:pPr>
              <w:spacing w:after="0"/>
              <w:rPr>
                <w:sz w:val="17"/>
                <w:szCs w:val="17"/>
                <w:color w:val="auto"/>
              </w:rPr>
            </w:pPr>
          </w:p>
        </w:tc>
        <w:tc>
          <w:tcPr>
            <w:tcW w:w="1100" w:type="dxa"/>
            <w:vAlign w:val="bottom"/>
            <w:tcBorders>
              <w:bottom w:val="single" w:sz="8" w:color="144065"/>
            </w:tcBorders>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003B71"/>
            </w:tcBorders>
            <w:gridSpan w:val="3"/>
          </w:tcPr>
          <w:p>
            <w:pPr>
              <w:jc w:val="right"/>
              <w:ind w:right="82"/>
              <w:spacing w:after="0"/>
              <w:rPr>
                <w:sz w:val="20"/>
                <w:szCs w:val="20"/>
                <w:color w:val="auto"/>
              </w:rPr>
            </w:pPr>
            <w:r>
              <w:rPr>
                <w:rFonts w:ascii="Arial" w:cs="Arial" w:eastAsia="Arial" w:hAnsi="Arial"/>
                <w:sz w:val="14"/>
                <w:szCs w:val="14"/>
                <w:b w:val="1"/>
                <w:bCs w:val="1"/>
                <w:color w:val="144065"/>
              </w:rPr>
              <w:t>Bonus as % of Target</w:t>
            </w:r>
          </w:p>
        </w:tc>
        <w:tc>
          <w:tcPr>
            <w:tcW w:w="1140" w:type="dxa"/>
            <w:vAlign w:val="bottom"/>
            <w:tcBorders>
              <w:bottom w:val="single" w:sz="8" w:color="003B71"/>
            </w:tcBorders>
          </w:tcPr>
          <w:p>
            <w:pPr>
              <w:spacing w:after="0"/>
              <w:rPr>
                <w:sz w:val="17"/>
                <w:szCs w:val="17"/>
                <w:color w:val="auto"/>
              </w:rPr>
            </w:pPr>
          </w:p>
        </w:tc>
      </w:tr>
      <w:tr>
        <w:trPr>
          <w:trHeight w:val="222"/>
        </w:trPr>
        <w:tc>
          <w:tcPr>
            <w:tcW w:w="3000" w:type="dxa"/>
            <w:vAlign w:val="bottom"/>
          </w:tcPr>
          <w:p>
            <w:pPr>
              <w:ind w:left="20"/>
              <w:spacing w:after="0"/>
              <w:rPr>
                <w:sz w:val="20"/>
                <w:szCs w:val="20"/>
                <w:color w:val="auto"/>
              </w:rPr>
            </w:pPr>
            <w:r>
              <w:rPr>
                <w:rFonts w:ascii="Arial" w:cs="Arial" w:eastAsia="Arial" w:hAnsi="Arial"/>
                <w:sz w:val="14"/>
                <w:szCs w:val="14"/>
                <w:b w:val="1"/>
                <w:bCs w:val="1"/>
                <w:color w:val="144065"/>
              </w:rPr>
              <w:t>Component</w:t>
            </w:r>
          </w:p>
        </w:tc>
        <w:tc>
          <w:tcPr>
            <w:tcW w:w="200" w:type="dxa"/>
            <w:vAlign w:val="bottom"/>
          </w:tcPr>
          <w:p>
            <w:pPr>
              <w:spacing w:after="0"/>
              <w:rPr>
                <w:sz w:val="19"/>
                <w:szCs w:val="19"/>
                <w:color w:val="auto"/>
              </w:rPr>
            </w:pPr>
          </w:p>
        </w:tc>
        <w:tc>
          <w:tcPr>
            <w:tcW w:w="1140" w:type="dxa"/>
            <w:vAlign w:val="bottom"/>
          </w:tcPr>
          <w:p>
            <w:pPr>
              <w:jc w:val="right"/>
              <w:ind w:right="282"/>
              <w:spacing w:after="0"/>
              <w:rPr>
                <w:sz w:val="20"/>
                <w:szCs w:val="20"/>
                <w:color w:val="auto"/>
              </w:rPr>
            </w:pPr>
            <w:r>
              <w:rPr>
                <w:rFonts w:ascii="Arial" w:cs="Arial" w:eastAsia="Arial" w:hAnsi="Arial"/>
                <w:sz w:val="14"/>
                <w:szCs w:val="14"/>
                <w:b w:val="1"/>
                <w:bCs w:val="1"/>
                <w:color w:val="144065"/>
              </w:rPr>
              <w:t>Threshold</w:t>
            </w:r>
          </w:p>
        </w:tc>
        <w:tc>
          <w:tcPr>
            <w:tcW w:w="220" w:type="dxa"/>
            <w:vAlign w:val="bottom"/>
          </w:tcPr>
          <w:p>
            <w:pPr>
              <w:spacing w:after="0"/>
              <w:rPr>
                <w:sz w:val="19"/>
                <w:szCs w:val="19"/>
                <w:color w:val="auto"/>
              </w:rPr>
            </w:pPr>
          </w:p>
        </w:tc>
        <w:tc>
          <w:tcPr>
            <w:tcW w:w="1180" w:type="dxa"/>
            <w:vAlign w:val="bottom"/>
          </w:tcPr>
          <w:p>
            <w:pPr>
              <w:jc w:val="right"/>
              <w:ind w:right="403"/>
              <w:spacing w:after="0"/>
              <w:rPr>
                <w:sz w:val="20"/>
                <w:szCs w:val="20"/>
                <w:color w:val="auto"/>
              </w:rPr>
            </w:pPr>
            <w:r>
              <w:rPr>
                <w:rFonts w:ascii="Arial" w:cs="Arial" w:eastAsia="Arial" w:hAnsi="Arial"/>
                <w:sz w:val="14"/>
                <w:szCs w:val="14"/>
                <w:b w:val="1"/>
                <w:bCs w:val="1"/>
                <w:color w:val="144065"/>
              </w:rPr>
              <w:t>Target</w:t>
            </w:r>
          </w:p>
        </w:tc>
        <w:tc>
          <w:tcPr>
            <w:tcW w:w="26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144065"/>
              </w:rPr>
              <w:t>Maximum</w:t>
            </w: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144065"/>
              </w:rPr>
              <w:t>Threshold</w:t>
            </w:r>
          </w:p>
        </w:tc>
        <w:tc>
          <w:tcPr>
            <w:tcW w:w="1500" w:type="dxa"/>
            <w:vAlign w:val="bottom"/>
          </w:tcPr>
          <w:p>
            <w:pPr>
              <w:jc w:val="right"/>
              <w:ind w:right="582"/>
              <w:spacing w:after="0"/>
              <w:rPr>
                <w:sz w:val="20"/>
                <w:szCs w:val="20"/>
                <w:color w:val="auto"/>
              </w:rPr>
            </w:pPr>
            <w:r>
              <w:rPr>
                <w:rFonts w:ascii="Arial" w:cs="Arial" w:eastAsia="Arial" w:hAnsi="Arial"/>
                <w:sz w:val="14"/>
                <w:szCs w:val="14"/>
                <w:b w:val="1"/>
                <w:bCs w:val="1"/>
                <w:color w:val="144065"/>
              </w:rPr>
              <w:t>Target</w:t>
            </w:r>
          </w:p>
        </w:tc>
        <w:tc>
          <w:tcPr>
            <w:tcW w:w="1140" w:type="dxa"/>
            <w:vAlign w:val="bottom"/>
          </w:tcPr>
          <w:p>
            <w:pPr>
              <w:jc w:val="right"/>
              <w:ind w:right="242"/>
              <w:spacing w:after="0"/>
              <w:rPr>
                <w:sz w:val="20"/>
                <w:szCs w:val="20"/>
                <w:color w:val="auto"/>
              </w:rPr>
            </w:pPr>
            <w:r>
              <w:rPr>
                <w:rFonts w:ascii="Arial" w:cs="Arial" w:eastAsia="Arial" w:hAnsi="Arial"/>
                <w:sz w:val="14"/>
                <w:szCs w:val="14"/>
                <w:b w:val="1"/>
                <w:bCs w:val="1"/>
                <w:color w:val="144065"/>
              </w:rPr>
              <w:t>Maximum</w:t>
            </w:r>
          </w:p>
        </w:tc>
      </w:tr>
      <w:tr>
        <w:trPr>
          <w:trHeight w:val="242"/>
        </w:trPr>
        <w:tc>
          <w:tcPr>
            <w:tcW w:w="3000" w:type="dxa"/>
            <w:vAlign w:val="bottom"/>
            <w:tcBorders>
              <w:top w:val="single" w:sz="8" w:color="144065"/>
            </w:tcBorders>
            <w:shd w:val="clear" w:color="auto" w:fill="E5E5E5"/>
          </w:tcPr>
          <w:p>
            <w:pPr>
              <w:ind w:left="20"/>
              <w:spacing w:after="0"/>
              <w:rPr>
                <w:sz w:val="20"/>
                <w:szCs w:val="20"/>
                <w:color w:val="auto"/>
              </w:rPr>
            </w:pPr>
            <w:r>
              <w:rPr>
                <w:rFonts w:ascii="Arial" w:cs="Arial" w:eastAsia="Arial" w:hAnsi="Arial"/>
                <w:sz w:val="16"/>
                <w:szCs w:val="16"/>
                <w:color w:val="auto"/>
              </w:rPr>
              <w:t>Incentive Adjusted EBITDA</w:t>
            </w:r>
            <w:r>
              <w:rPr>
                <w:rFonts w:ascii="Arial" w:cs="Arial" w:eastAsia="Arial" w:hAnsi="Arial"/>
                <w:sz w:val="20"/>
                <w:szCs w:val="20"/>
                <w:color w:val="auto"/>
                <w:vertAlign w:val="superscript"/>
              </w:rPr>
              <w:t>(1)</w:t>
            </w:r>
          </w:p>
        </w:tc>
        <w:tc>
          <w:tcPr>
            <w:tcW w:w="200" w:type="dxa"/>
            <w:vAlign w:val="bottom"/>
            <w:tcBorders>
              <w:top w:val="single" w:sz="8" w:color="144065"/>
            </w:tcBorders>
            <w:shd w:val="clear" w:color="auto" w:fill="E5E5E5"/>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144065"/>
            </w:tcBorders>
            <w:shd w:val="clear" w:color="auto" w:fill="E5E5E5"/>
          </w:tcPr>
          <w:p>
            <w:pPr>
              <w:jc w:val="right"/>
              <w:ind w:right="182"/>
              <w:spacing w:after="0"/>
              <w:rPr>
                <w:sz w:val="20"/>
                <w:szCs w:val="20"/>
                <w:color w:val="auto"/>
              </w:rPr>
            </w:pPr>
            <w:r>
              <w:rPr>
                <w:rFonts w:ascii="Arial" w:cs="Arial" w:eastAsia="Arial" w:hAnsi="Arial"/>
                <w:sz w:val="16"/>
                <w:szCs w:val="16"/>
                <w:color w:val="auto"/>
              </w:rPr>
              <w:t>526.2</w:t>
            </w:r>
          </w:p>
        </w:tc>
        <w:tc>
          <w:tcPr>
            <w:tcW w:w="220" w:type="dxa"/>
            <w:vAlign w:val="bottom"/>
            <w:tcBorders>
              <w:top w:val="single" w:sz="8" w:color="144065"/>
            </w:tcBorders>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144065"/>
            </w:tcBorders>
            <w:shd w:val="clear" w:color="auto" w:fill="E5E5E5"/>
          </w:tcPr>
          <w:p>
            <w:pPr>
              <w:jc w:val="right"/>
              <w:ind w:right="183"/>
              <w:spacing w:after="0"/>
              <w:rPr>
                <w:sz w:val="20"/>
                <w:szCs w:val="20"/>
                <w:color w:val="auto"/>
              </w:rPr>
            </w:pPr>
            <w:r>
              <w:rPr>
                <w:rFonts w:ascii="Arial" w:cs="Arial" w:eastAsia="Arial" w:hAnsi="Arial"/>
                <w:sz w:val="16"/>
                <w:szCs w:val="16"/>
                <w:color w:val="auto"/>
              </w:rPr>
              <w:t>565.0</w:t>
            </w:r>
          </w:p>
        </w:tc>
        <w:tc>
          <w:tcPr>
            <w:tcW w:w="260" w:type="dxa"/>
            <w:vAlign w:val="bottom"/>
            <w:tcBorders>
              <w:top w:val="single" w:sz="8" w:color="144065"/>
            </w:tcBorders>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144065"/>
            </w:tcBorders>
            <w:shd w:val="clear" w:color="auto" w:fill="E5E5E5"/>
          </w:tcPr>
          <w:p>
            <w:pPr>
              <w:jc w:val="right"/>
              <w:ind w:right="122"/>
              <w:spacing w:after="0"/>
              <w:rPr>
                <w:sz w:val="20"/>
                <w:szCs w:val="20"/>
                <w:color w:val="auto"/>
              </w:rPr>
            </w:pPr>
            <w:r>
              <w:rPr>
                <w:rFonts w:ascii="Arial" w:cs="Arial" w:eastAsia="Arial" w:hAnsi="Arial"/>
                <w:sz w:val="16"/>
                <w:szCs w:val="16"/>
                <w:color w:val="auto"/>
              </w:rPr>
              <w:t>621.5</w:t>
            </w:r>
          </w:p>
        </w:tc>
        <w:tc>
          <w:tcPr>
            <w:tcW w:w="100" w:type="dxa"/>
            <w:vAlign w:val="bottom"/>
            <w:tcBorders>
              <w:top w:val="single" w:sz="8" w:color="003B71"/>
            </w:tcBorders>
            <w:shd w:val="clear" w:color="auto" w:fill="E5E5E5"/>
          </w:tcPr>
          <w:p>
            <w:pPr>
              <w:spacing w:after="0"/>
              <w:rPr>
                <w:sz w:val="21"/>
                <w:szCs w:val="21"/>
                <w:color w:val="auto"/>
              </w:rPr>
            </w:pPr>
          </w:p>
        </w:tc>
        <w:tc>
          <w:tcPr>
            <w:tcW w:w="1320" w:type="dxa"/>
            <w:vAlign w:val="bottom"/>
            <w:tcBorders>
              <w:top w:val="single" w:sz="8" w:color="144065"/>
            </w:tcBorders>
            <w:shd w:val="clear" w:color="auto" w:fill="E5E5E5"/>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top w:val="single" w:sz="8" w:color="003B71"/>
            </w:tcBorders>
            <w:shd w:val="clear" w:color="auto" w:fill="E5E5E5"/>
          </w:tcPr>
          <w:p>
            <w:pPr>
              <w:spacing w:after="0"/>
              <w:rPr>
                <w:sz w:val="21"/>
                <w:szCs w:val="21"/>
                <w:color w:val="auto"/>
              </w:rPr>
            </w:pPr>
          </w:p>
        </w:tc>
        <w:tc>
          <w:tcPr>
            <w:tcW w:w="1500" w:type="dxa"/>
            <w:vAlign w:val="bottom"/>
            <w:tcBorders>
              <w:top w:val="single" w:sz="8" w:color="144065"/>
            </w:tcBorders>
            <w:shd w:val="clear" w:color="auto" w:fill="E5E5E5"/>
          </w:tcPr>
          <w:p>
            <w:pPr>
              <w:jc w:val="right"/>
              <w:ind w:right="202"/>
              <w:spacing w:after="0"/>
              <w:rPr>
                <w:sz w:val="20"/>
                <w:szCs w:val="20"/>
                <w:color w:val="auto"/>
              </w:rPr>
            </w:pPr>
            <w:r>
              <w:rPr>
                <w:rFonts w:ascii="Arial" w:cs="Arial" w:eastAsia="Arial" w:hAnsi="Arial"/>
                <w:sz w:val="16"/>
                <w:szCs w:val="16"/>
                <w:color w:val="auto"/>
              </w:rPr>
              <w:t>100 %</w:t>
            </w:r>
          </w:p>
        </w:tc>
        <w:tc>
          <w:tcPr>
            <w:tcW w:w="1140" w:type="dxa"/>
            <w:vAlign w:val="bottom"/>
            <w:tcBorders>
              <w:top w:val="single" w:sz="8" w:color="144065"/>
            </w:tcBorders>
            <w:shd w:val="clear" w:color="auto" w:fill="E5E5E5"/>
          </w:tcPr>
          <w:p>
            <w:pPr>
              <w:jc w:val="right"/>
              <w:spacing w:after="0"/>
              <w:rPr>
                <w:sz w:val="20"/>
                <w:szCs w:val="20"/>
                <w:color w:val="auto"/>
              </w:rPr>
            </w:pPr>
            <w:r>
              <w:rPr>
                <w:rFonts w:ascii="Arial" w:cs="Arial" w:eastAsia="Arial" w:hAnsi="Arial"/>
                <w:sz w:val="16"/>
                <w:szCs w:val="16"/>
                <w:color w:val="auto"/>
              </w:rPr>
              <w:t>200 %</w:t>
            </w:r>
          </w:p>
        </w:tc>
      </w:tr>
      <w:tr>
        <w:trPr>
          <w:trHeight w:val="242"/>
        </w:trPr>
        <w:tc>
          <w:tcPr>
            <w:tcW w:w="3000" w:type="dxa"/>
            <w:vAlign w:val="bottom"/>
          </w:tcPr>
          <w:p>
            <w:pPr>
              <w:ind w:left="20"/>
              <w:spacing w:after="0"/>
              <w:rPr>
                <w:sz w:val="20"/>
                <w:szCs w:val="20"/>
                <w:color w:val="auto"/>
              </w:rPr>
            </w:pPr>
            <w:r>
              <w:rPr>
                <w:rFonts w:ascii="Arial" w:cs="Arial" w:eastAsia="Arial" w:hAnsi="Arial"/>
                <w:sz w:val="16"/>
                <w:szCs w:val="16"/>
                <w:color w:val="auto"/>
              </w:rPr>
              <w:t>Total Revenue</w:t>
            </w:r>
            <w:r>
              <w:rPr>
                <w:rFonts w:ascii="Arial" w:cs="Arial" w:eastAsia="Arial" w:hAnsi="Arial"/>
                <w:sz w:val="20"/>
                <w:szCs w:val="20"/>
                <w:color w:val="auto"/>
                <w:vertAlign w:val="superscript"/>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82"/>
              <w:spacing w:after="0"/>
              <w:rPr>
                <w:sz w:val="20"/>
                <w:szCs w:val="20"/>
                <w:color w:val="auto"/>
              </w:rPr>
            </w:pPr>
            <w:r>
              <w:rPr>
                <w:rFonts w:ascii="Arial" w:cs="Arial" w:eastAsia="Arial" w:hAnsi="Arial"/>
                <w:sz w:val="16"/>
                <w:szCs w:val="16"/>
                <w:color w:val="auto"/>
              </w:rPr>
              <w:t>2,205.0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83"/>
              <w:spacing w:after="0"/>
              <w:rPr>
                <w:sz w:val="20"/>
                <w:szCs w:val="20"/>
                <w:color w:val="auto"/>
              </w:rPr>
            </w:pPr>
            <w:r>
              <w:rPr>
                <w:rFonts w:ascii="Arial" w:cs="Arial" w:eastAsia="Arial" w:hAnsi="Arial"/>
                <w:sz w:val="16"/>
                <w:szCs w:val="16"/>
                <w:color w:val="auto"/>
              </w:rPr>
              <w:t>2,324.0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2,444.0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50 %</w:t>
            </w:r>
          </w:p>
        </w:tc>
        <w:tc>
          <w:tcPr>
            <w:tcW w:w="80" w:type="dxa"/>
            <w:vAlign w:val="bottom"/>
          </w:tcPr>
          <w:p>
            <w:pPr>
              <w:spacing w:after="0"/>
              <w:rPr>
                <w:sz w:val="21"/>
                <w:szCs w:val="21"/>
                <w:color w:val="auto"/>
              </w:rPr>
            </w:pPr>
          </w:p>
        </w:tc>
        <w:tc>
          <w:tcPr>
            <w:tcW w:w="1500" w:type="dxa"/>
            <w:vAlign w:val="bottom"/>
          </w:tcPr>
          <w:p>
            <w:pPr>
              <w:jc w:val="right"/>
              <w:ind w:right="202"/>
              <w:spacing w:after="0"/>
              <w:rPr>
                <w:sz w:val="20"/>
                <w:szCs w:val="20"/>
                <w:color w:val="auto"/>
              </w:rPr>
            </w:pPr>
            <w:r>
              <w:rPr>
                <w:rFonts w:ascii="Arial" w:cs="Arial" w:eastAsia="Arial" w:hAnsi="Arial"/>
                <w:sz w:val="16"/>
                <w:szCs w:val="16"/>
                <w:color w:val="auto"/>
              </w:rPr>
              <w:t>100 %</w:t>
            </w:r>
          </w:p>
        </w:tc>
        <w:tc>
          <w:tcPr>
            <w:tcW w:w="1140" w:type="dxa"/>
            <w:vAlign w:val="bottom"/>
          </w:tcPr>
          <w:p>
            <w:pPr>
              <w:jc w:val="right"/>
              <w:spacing w:after="0"/>
              <w:rPr>
                <w:sz w:val="20"/>
                <w:szCs w:val="20"/>
                <w:color w:val="auto"/>
              </w:rPr>
            </w:pPr>
            <w:r>
              <w:rPr>
                <w:rFonts w:ascii="Arial" w:cs="Arial" w:eastAsia="Arial" w:hAnsi="Arial"/>
                <w:sz w:val="16"/>
                <w:szCs w:val="16"/>
                <w:color w:val="auto"/>
              </w:rPr>
              <w:t>200 %</w:t>
            </w:r>
          </w:p>
        </w:tc>
      </w:tr>
      <w:tr>
        <w:trPr>
          <w:trHeight w:val="235"/>
        </w:trPr>
        <w:tc>
          <w:tcPr>
            <w:tcW w:w="3000" w:type="dxa"/>
            <w:vAlign w:val="bottom"/>
            <w:tcBorders>
              <w:bottom w:val="single" w:sz="8" w:color="003B71"/>
            </w:tcBorders>
            <w:shd w:val="clear" w:color="auto" w:fill="E5E5E5"/>
          </w:tcPr>
          <w:p>
            <w:pPr>
              <w:ind w:left="20"/>
              <w:spacing w:after="0"/>
              <w:rPr>
                <w:sz w:val="20"/>
                <w:szCs w:val="20"/>
                <w:color w:val="auto"/>
              </w:rPr>
            </w:pPr>
            <w:r>
              <w:rPr>
                <w:rFonts w:ascii="Arial" w:cs="Arial" w:eastAsia="Arial" w:hAnsi="Arial"/>
                <w:sz w:val="16"/>
                <w:szCs w:val="16"/>
                <w:color w:val="auto"/>
              </w:rPr>
              <w:t>Comparable Store Sales Growth</w:t>
            </w:r>
          </w:p>
        </w:tc>
        <w:tc>
          <w:tcPr>
            <w:tcW w:w="200" w:type="dxa"/>
            <w:vAlign w:val="bottom"/>
            <w:tcBorders>
              <w:bottom w:val="single" w:sz="8" w:color="003B71"/>
            </w:tcBorders>
            <w:shd w:val="clear" w:color="auto" w:fill="E5E5E5"/>
          </w:tcPr>
          <w:p>
            <w:pPr>
              <w:spacing w:after="0"/>
              <w:rPr>
                <w:sz w:val="20"/>
                <w:szCs w:val="20"/>
                <w:color w:val="auto"/>
              </w:rPr>
            </w:pPr>
          </w:p>
        </w:tc>
        <w:tc>
          <w:tcPr>
            <w:tcW w:w="114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1.1 %</w:t>
            </w:r>
          </w:p>
        </w:tc>
        <w:tc>
          <w:tcPr>
            <w:tcW w:w="220" w:type="dxa"/>
            <w:vAlign w:val="bottom"/>
            <w:tcBorders>
              <w:bottom w:val="single" w:sz="8" w:color="003B71"/>
            </w:tcBorders>
            <w:shd w:val="clear" w:color="auto" w:fill="E5E5E5"/>
          </w:tcPr>
          <w:p>
            <w:pPr>
              <w:spacing w:after="0"/>
              <w:rPr>
                <w:sz w:val="20"/>
                <w:szCs w:val="20"/>
                <w:color w:val="auto"/>
              </w:rPr>
            </w:pPr>
          </w:p>
        </w:tc>
        <w:tc>
          <w:tcPr>
            <w:tcW w:w="118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3.3 %</w:t>
            </w:r>
          </w:p>
        </w:tc>
        <w:tc>
          <w:tcPr>
            <w:tcW w:w="260" w:type="dxa"/>
            <w:vAlign w:val="bottom"/>
            <w:tcBorders>
              <w:bottom w:val="single" w:sz="8" w:color="003B71"/>
            </w:tcBorders>
            <w:shd w:val="clear" w:color="auto" w:fill="E5E5E5"/>
          </w:tcPr>
          <w:p>
            <w:pPr>
              <w:spacing w:after="0"/>
              <w:rPr>
                <w:sz w:val="20"/>
                <w:szCs w:val="20"/>
                <w:color w:val="auto"/>
              </w:rPr>
            </w:pPr>
          </w:p>
        </w:tc>
        <w:tc>
          <w:tcPr>
            <w:tcW w:w="110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4.8 %</w:t>
            </w:r>
          </w:p>
        </w:tc>
        <w:tc>
          <w:tcPr>
            <w:tcW w:w="100" w:type="dxa"/>
            <w:vAlign w:val="bottom"/>
            <w:tcBorders>
              <w:bottom w:val="single" w:sz="8" w:color="003B71"/>
            </w:tcBorders>
            <w:shd w:val="clear" w:color="auto" w:fill="E5E5E5"/>
          </w:tcPr>
          <w:p>
            <w:pPr>
              <w:spacing w:after="0"/>
              <w:rPr>
                <w:sz w:val="20"/>
                <w:szCs w:val="20"/>
                <w:color w:val="auto"/>
              </w:rPr>
            </w:pPr>
          </w:p>
        </w:tc>
        <w:tc>
          <w:tcPr>
            <w:tcW w:w="132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50 %</w:t>
            </w:r>
          </w:p>
        </w:tc>
        <w:tc>
          <w:tcPr>
            <w:tcW w:w="80" w:type="dxa"/>
            <w:vAlign w:val="bottom"/>
            <w:tcBorders>
              <w:bottom w:val="single" w:sz="8" w:color="003B71"/>
            </w:tcBorders>
            <w:shd w:val="clear" w:color="auto" w:fill="E5E5E5"/>
          </w:tcPr>
          <w:p>
            <w:pPr>
              <w:spacing w:after="0"/>
              <w:rPr>
                <w:sz w:val="20"/>
                <w:szCs w:val="20"/>
                <w:color w:val="auto"/>
              </w:rPr>
            </w:pPr>
          </w:p>
        </w:tc>
        <w:tc>
          <w:tcPr>
            <w:tcW w:w="1500" w:type="dxa"/>
            <w:vAlign w:val="bottom"/>
            <w:tcBorders>
              <w:bottom w:val="single" w:sz="8" w:color="003B71"/>
            </w:tcBorders>
            <w:shd w:val="clear" w:color="auto" w:fill="E5E5E5"/>
          </w:tcPr>
          <w:p>
            <w:pPr>
              <w:jc w:val="right"/>
              <w:ind w:right="202"/>
              <w:spacing w:after="0"/>
              <w:rPr>
                <w:sz w:val="20"/>
                <w:szCs w:val="20"/>
                <w:color w:val="auto"/>
              </w:rPr>
            </w:pPr>
            <w:r>
              <w:rPr>
                <w:rFonts w:ascii="Arial" w:cs="Arial" w:eastAsia="Arial" w:hAnsi="Arial"/>
                <w:sz w:val="16"/>
                <w:szCs w:val="16"/>
                <w:color w:val="auto"/>
              </w:rPr>
              <w:t>100 %</w:t>
            </w:r>
          </w:p>
        </w:tc>
        <w:tc>
          <w:tcPr>
            <w:tcW w:w="1140" w:type="dxa"/>
            <w:vAlign w:val="bottom"/>
            <w:tcBorders>
              <w:bottom w:val="single" w:sz="8" w:color="003B71"/>
            </w:tcBorders>
            <w:shd w:val="clear" w:color="auto" w:fill="E5E5E5"/>
          </w:tcPr>
          <w:p>
            <w:pPr>
              <w:jc w:val="right"/>
              <w:spacing w:after="0"/>
              <w:rPr>
                <w:sz w:val="20"/>
                <w:szCs w:val="20"/>
                <w:color w:val="auto"/>
              </w:rPr>
            </w:pPr>
            <w:r>
              <w:rPr>
                <w:rFonts w:ascii="Arial" w:cs="Arial" w:eastAsia="Arial" w:hAnsi="Arial"/>
                <w:sz w:val="16"/>
                <w:szCs w:val="16"/>
                <w:color w:val="auto"/>
              </w:rPr>
              <w:t>200 %</w:t>
            </w:r>
          </w:p>
        </w:tc>
      </w:tr>
    </w:tbl>
    <w:p>
      <w:pPr>
        <w:spacing w:after="0" w:line="93" w:lineRule="exact"/>
        <w:rPr>
          <w:sz w:val="20"/>
          <w:szCs w:val="20"/>
          <w:color w:val="auto"/>
        </w:rPr>
      </w:pPr>
    </w:p>
    <w:p>
      <w:pPr>
        <w:ind w:left="400" w:hanging="393"/>
        <w:spacing w:after="0"/>
        <w:tabs>
          <w:tab w:leader="none" w:pos="400" w:val="left"/>
        </w:tabs>
        <w:numPr>
          <w:ilvl w:val="0"/>
          <w:numId w:val="78"/>
        </w:numPr>
        <w:rPr>
          <w:rFonts w:ascii="Arial" w:cs="Arial" w:eastAsia="Arial" w:hAnsi="Arial"/>
          <w:sz w:val="21"/>
          <w:szCs w:val="21"/>
          <w:color w:val="auto"/>
          <w:vertAlign w:val="superscript"/>
        </w:rPr>
      </w:pPr>
      <w:r>
        <w:rPr>
          <w:rFonts w:ascii="Arial" w:cs="Arial" w:eastAsia="Arial" w:hAnsi="Arial"/>
          <w:sz w:val="16"/>
          <w:szCs w:val="16"/>
          <w:color w:val="auto"/>
        </w:rPr>
        <w:t>Dollar amounts are represented in millions.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Given Mr. Lal’s July 2025 appointment date, the Compensation Committee established specific eligibility conditions for any annual bonus opportunity for Mr. Lal with respect to fiscal 2025. His bonus eligibility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71329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31</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7" w:name="page38"/>
    <w:bookmarkEnd w:id="37"/>
    <w:p>
      <w:pPr>
        <w:jc w:val="both"/>
        <w:spacing w:after="0" w:line="285" w:lineRule="auto"/>
        <w:rPr>
          <w:sz w:val="20"/>
          <w:szCs w:val="20"/>
          <w:color w:val="auto"/>
        </w:rPr>
      </w:pPr>
      <w:r>
        <w:rPr>
          <w:rFonts w:ascii="Arial" w:cs="Arial" w:eastAsia="Arial" w:hAnsi="Arial"/>
          <w:sz w:val="18"/>
          <w:szCs w:val="18"/>
          <w:color w:val="auto"/>
        </w:rPr>
        <w:t>subject to two conditions: the achievement of positive same store sales during the fourth fiscal quarter of fiscal 2025 and Mr. Lal’s successful assembly of an executive management team satisfactory to the Board.</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the close of the performance period and following the audit and reporting of financial results for fiscal 2025, the Compensation Committee determined that the target Company performance components of the Executive Incentive Plan had not been met, as set forth in the first table below. As a result, no bonus was paid to any NEO for fiscal 2025 under the Executive Incentive Plan. Likewise, Mr. Lal did not receive any bonus for fiscal 2025, as the Compensation Committee determined that the eligibility conditions applicable to him, described above, were not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158750</wp:posOffset>
            </wp:positionV>
            <wp:extent cx="71329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80" w:type="dxa"/>
            <w:vAlign w:val="bottom"/>
            <w:tcBorders>
              <w:bottom w:val="single" w:sz="8" w:color="00497F"/>
            </w:tcBorders>
          </w:tcPr>
          <w:p>
            <w:pPr>
              <w:ind w:left="180"/>
              <w:spacing w:after="0"/>
              <w:rPr>
                <w:sz w:val="20"/>
                <w:szCs w:val="20"/>
                <w:color w:val="auto"/>
              </w:rPr>
            </w:pPr>
            <w:r>
              <w:rPr>
                <w:rFonts w:ascii="Arial" w:cs="Arial" w:eastAsia="Arial" w:hAnsi="Arial"/>
                <w:sz w:val="16"/>
                <w:szCs w:val="16"/>
                <w:b w:val="1"/>
                <w:bCs w:val="1"/>
                <w:color w:val="auto"/>
              </w:rPr>
              <w:t>Fiscal 2025 Full-Year Results</w:t>
            </w:r>
          </w:p>
        </w:tc>
        <w:tc>
          <w:tcPr>
            <w:tcW w:w="1180" w:type="dxa"/>
            <w:vAlign w:val="bottom"/>
            <w:tcBorders>
              <w:bottom w:val="single" w:sz="8" w:color="00497F"/>
            </w:tcBorders>
          </w:tcPr>
          <w:p>
            <w:pPr>
              <w:spacing w:after="0"/>
              <w:rPr>
                <w:sz w:val="19"/>
                <w:szCs w:val="19"/>
                <w:color w:val="auto"/>
              </w:rPr>
            </w:pPr>
          </w:p>
        </w:tc>
        <w:tc>
          <w:tcPr>
            <w:tcW w:w="1280" w:type="dxa"/>
            <w:vAlign w:val="bottom"/>
            <w:tcBorders>
              <w:bottom w:val="single" w:sz="8" w:color="00497F"/>
            </w:tcBorders>
          </w:tcPr>
          <w:p>
            <w:pPr>
              <w:jc w:val="right"/>
              <w:ind w:right="499"/>
              <w:spacing w:after="0"/>
              <w:rPr>
                <w:sz w:val="20"/>
                <w:szCs w:val="20"/>
                <w:color w:val="auto"/>
              </w:rPr>
            </w:pPr>
            <w:r>
              <w:rPr>
                <w:rFonts w:ascii="Arial" w:cs="Arial" w:eastAsia="Arial" w:hAnsi="Arial"/>
                <w:sz w:val="16"/>
                <w:szCs w:val="16"/>
                <w:b w:val="1"/>
                <w:bCs w:val="1"/>
                <w:color w:val="auto"/>
              </w:rPr>
              <w:t>Target</w:t>
            </w:r>
          </w:p>
        </w:tc>
        <w:tc>
          <w:tcPr>
            <w:tcW w:w="380" w:type="dxa"/>
            <w:vAlign w:val="bottom"/>
            <w:tcBorders>
              <w:bottom w:val="single" w:sz="8" w:color="00497F"/>
            </w:tcBorders>
          </w:tcPr>
          <w:p>
            <w:pPr>
              <w:spacing w:after="0"/>
              <w:rPr>
                <w:sz w:val="19"/>
                <w:szCs w:val="19"/>
                <w:color w:val="auto"/>
              </w:rPr>
            </w:pPr>
          </w:p>
        </w:tc>
        <w:tc>
          <w:tcPr>
            <w:tcW w:w="1440" w:type="dxa"/>
            <w:vAlign w:val="bottom"/>
            <w:tcBorders>
              <w:bottom w:val="single" w:sz="8" w:color="00497F"/>
            </w:tcBorders>
          </w:tcPr>
          <w:p>
            <w:pPr>
              <w:jc w:val="right"/>
              <w:ind w:right="659"/>
              <w:spacing w:after="0"/>
              <w:rPr>
                <w:sz w:val="20"/>
                <w:szCs w:val="20"/>
                <w:color w:val="auto"/>
              </w:rPr>
            </w:pPr>
            <w:r>
              <w:rPr>
                <w:rFonts w:ascii="Arial" w:cs="Arial" w:eastAsia="Arial" w:hAnsi="Arial"/>
                <w:sz w:val="16"/>
                <w:szCs w:val="16"/>
                <w:b w:val="1"/>
                <w:bCs w:val="1"/>
                <w:color w:val="auto"/>
              </w:rPr>
              <w:t>Actual</w:t>
            </w:r>
          </w:p>
        </w:tc>
        <w:tc>
          <w:tcPr>
            <w:tcW w:w="1680" w:type="dxa"/>
            <w:vAlign w:val="bottom"/>
            <w:tcBorders>
              <w:bottom w:val="single" w:sz="8" w:color="00497F"/>
            </w:tcBorders>
          </w:tcPr>
          <w:p>
            <w:pPr>
              <w:jc w:val="right"/>
              <w:ind w:right="499"/>
              <w:spacing w:after="0"/>
              <w:rPr>
                <w:sz w:val="20"/>
                <w:szCs w:val="20"/>
                <w:color w:val="auto"/>
              </w:rPr>
            </w:pPr>
            <w:r>
              <w:rPr>
                <w:rFonts w:ascii="Arial" w:cs="Arial" w:eastAsia="Arial" w:hAnsi="Arial"/>
                <w:sz w:val="16"/>
                <w:szCs w:val="16"/>
                <w:b w:val="1"/>
                <w:bCs w:val="1"/>
                <w:color w:val="auto"/>
              </w:rPr>
              <w:t>% of Target</w:t>
            </w:r>
          </w:p>
        </w:tc>
        <w:tc>
          <w:tcPr>
            <w:tcW w:w="1400" w:type="dxa"/>
            <w:vAlign w:val="bottom"/>
            <w:tcBorders>
              <w:bottom w:val="single" w:sz="8" w:color="00497F"/>
            </w:tcBorders>
          </w:tcPr>
          <w:p>
            <w:pPr>
              <w:jc w:val="right"/>
              <w:ind w:right="339"/>
              <w:spacing w:after="0"/>
              <w:rPr>
                <w:sz w:val="20"/>
                <w:szCs w:val="20"/>
                <w:color w:val="auto"/>
              </w:rPr>
            </w:pPr>
            <w:r>
              <w:rPr>
                <w:rFonts w:ascii="Arial" w:cs="Arial" w:eastAsia="Arial" w:hAnsi="Arial"/>
                <w:sz w:val="16"/>
                <w:szCs w:val="16"/>
                <w:b w:val="1"/>
                <w:bCs w:val="1"/>
                <w:color w:val="auto"/>
              </w:rPr>
              <w:t>Payout %</w:t>
            </w:r>
          </w:p>
        </w:tc>
      </w:tr>
      <w:tr>
        <w:trPr>
          <w:trHeight w:val="239"/>
        </w:trPr>
        <w:tc>
          <w:tcPr>
            <w:tcW w:w="38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Incentive Adjusted EBITDA</w:t>
            </w:r>
            <w:r>
              <w:rPr>
                <w:rFonts w:ascii="Arial" w:cs="Arial" w:eastAsia="Arial" w:hAnsi="Arial"/>
                <w:sz w:val="20"/>
                <w:szCs w:val="20"/>
                <w:color w:val="auto"/>
                <w:vertAlign w:val="superscript"/>
              </w:rPr>
              <w:t>(1)</w:t>
            </w:r>
          </w:p>
        </w:tc>
        <w:tc>
          <w:tcPr>
            <w:tcW w:w="11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565.0</w:t>
            </w:r>
          </w:p>
        </w:tc>
        <w:tc>
          <w:tcPr>
            <w:tcW w:w="38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BDBDB"/>
          </w:tcPr>
          <w:p>
            <w:pPr>
              <w:jc w:val="right"/>
              <w:ind w:right="319"/>
              <w:spacing w:after="0"/>
              <w:rPr>
                <w:sz w:val="20"/>
                <w:szCs w:val="20"/>
                <w:color w:val="auto"/>
              </w:rPr>
            </w:pPr>
            <w:r>
              <w:rPr>
                <w:rFonts w:ascii="Arial" w:cs="Arial" w:eastAsia="Arial" w:hAnsi="Arial"/>
                <w:sz w:val="16"/>
                <w:szCs w:val="16"/>
                <w:color w:val="auto"/>
              </w:rPr>
              <w:t>455.6</w:t>
            </w:r>
          </w:p>
        </w:tc>
        <w:tc>
          <w:tcPr>
            <w:tcW w:w="168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80.6 %</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0.0 %</w:t>
            </w:r>
          </w:p>
        </w:tc>
      </w:tr>
      <w:tr>
        <w:trPr>
          <w:trHeight w:val="242"/>
        </w:trPr>
        <w:tc>
          <w:tcPr>
            <w:tcW w:w="3880" w:type="dxa"/>
            <w:vAlign w:val="bottom"/>
          </w:tcPr>
          <w:p>
            <w:pPr>
              <w:ind w:left="20"/>
              <w:spacing w:after="0"/>
              <w:rPr>
                <w:sz w:val="20"/>
                <w:szCs w:val="20"/>
                <w:color w:val="auto"/>
              </w:rPr>
            </w:pPr>
            <w:r>
              <w:rPr>
                <w:rFonts w:ascii="Arial" w:cs="Arial" w:eastAsia="Arial" w:hAnsi="Arial"/>
                <w:sz w:val="16"/>
                <w:szCs w:val="16"/>
                <w:color w:val="auto"/>
              </w:rPr>
              <w:t>Total Revenue</w:t>
            </w:r>
            <w:r>
              <w:rPr>
                <w:rFonts w:ascii="Arial" w:cs="Arial" w:eastAsia="Arial" w:hAnsi="Arial"/>
                <w:sz w:val="20"/>
                <w:szCs w:val="20"/>
                <w:color w:val="auto"/>
                <w:vertAlign w:val="superscript"/>
              </w:rPr>
              <w:t>(1)</w:t>
            </w: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79"/>
              <w:spacing w:after="0"/>
              <w:rPr>
                <w:sz w:val="20"/>
                <w:szCs w:val="20"/>
                <w:color w:val="auto"/>
              </w:rPr>
            </w:pPr>
            <w:r>
              <w:rPr>
                <w:rFonts w:ascii="Arial" w:cs="Arial" w:eastAsia="Arial" w:hAnsi="Arial"/>
                <w:sz w:val="16"/>
                <w:szCs w:val="16"/>
                <w:color w:val="auto"/>
              </w:rPr>
              <w:t>2,324.0</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2,102.8</w:t>
            </w:r>
          </w:p>
        </w:tc>
        <w:tc>
          <w:tcPr>
            <w:tcW w:w="1680" w:type="dxa"/>
            <w:vAlign w:val="bottom"/>
          </w:tcPr>
          <w:p>
            <w:pPr>
              <w:jc w:val="right"/>
              <w:ind w:right="179"/>
              <w:spacing w:after="0"/>
              <w:rPr>
                <w:sz w:val="20"/>
                <w:szCs w:val="20"/>
                <w:color w:val="auto"/>
              </w:rPr>
            </w:pPr>
            <w:r>
              <w:rPr>
                <w:rFonts w:ascii="Arial" w:cs="Arial" w:eastAsia="Arial" w:hAnsi="Arial"/>
                <w:sz w:val="16"/>
                <w:szCs w:val="16"/>
                <w:color w:val="auto"/>
              </w:rPr>
              <w:t>90.5 %</w:t>
            </w:r>
          </w:p>
        </w:tc>
        <w:tc>
          <w:tcPr>
            <w:tcW w:w="1400" w:type="dxa"/>
            <w:vAlign w:val="bottom"/>
          </w:tcPr>
          <w:p>
            <w:pPr>
              <w:jc w:val="right"/>
              <w:spacing w:after="0"/>
              <w:rPr>
                <w:sz w:val="20"/>
                <w:szCs w:val="20"/>
                <w:color w:val="auto"/>
              </w:rPr>
            </w:pPr>
            <w:r>
              <w:rPr>
                <w:rFonts w:ascii="Arial" w:cs="Arial" w:eastAsia="Arial" w:hAnsi="Arial"/>
                <w:sz w:val="16"/>
                <w:szCs w:val="16"/>
                <w:color w:val="auto"/>
              </w:rPr>
              <w:t>0.0 %</w:t>
            </w:r>
          </w:p>
        </w:tc>
      </w:tr>
      <w:tr>
        <w:trPr>
          <w:trHeight w:val="235"/>
        </w:trPr>
        <w:tc>
          <w:tcPr>
            <w:tcW w:w="3880" w:type="dxa"/>
            <w:vAlign w:val="bottom"/>
            <w:tcBorders>
              <w:bottom w:val="single" w:sz="8" w:color="00497F"/>
            </w:tcBorders>
            <w:shd w:val="clear" w:color="auto" w:fill="DBDBDB"/>
          </w:tcPr>
          <w:p>
            <w:pPr>
              <w:ind w:left="20"/>
              <w:spacing w:after="0"/>
              <w:rPr>
                <w:sz w:val="20"/>
                <w:szCs w:val="20"/>
                <w:color w:val="auto"/>
              </w:rPr>
            </w:pPr>
            <w:r>
              <w:rPr>
                <w:rFonts w:ascii="Arial" w:cs="Arial" w:eastAsia="Arial" w:hAnsi="Arial"/>
                <w:sz w:val="16"/>
                <w:szCs w:val="16"/>
                <w:color w:val="auto"/>
              </w:rPr>
              <w:t>Comparable Store Sales Growth (decline)</w:t>
            </w:r>
          </w:p>
        </w:tc>
        <w:tc>
          <w:tcPr>
            <w:tcW w:w="1180" w:type="dxa"/>
            <w:vAlign w:val="bottom"/>
            <w:tcBorders>
              <w:bottom w:val="single" w:sz="8" w:color="00497F"/>
            </w:tcBorders>
            <w:shd w:val="clear" w:color="auto" w:fill="DBDBDB"/>
          </w:tcPr>
          <w:p>
            <w:pPr>
              <w:spacing w:after="0"/>
              <w:rPr>
                <w:sz w:val="20"/>
                <w:szCs w:val="20"/>
                <w:color w:val="auto"/>
              </w:rPr>
            </w:pPr>
          </w:p>
        </w:tc>
        <w:tc>
          <w:tcPr>
            <w:tcW w:w="1280" w:type="dxa"/>
            <w:vAlign w:val="bottom"/>
            <w:tcBorders>
              <w:bottom w:val="single" w:sz="8" w:color="00497F"/>
            </w:tcBorders>
            <w:shd w:val="clear" w:color="auto" w:fill="DBDBDB"/>
          </w:tcPr>
          <w:p>
            <w:pPr>
              <w:jc w:val="right"/>
              <w:spacing w:after="0"/>
              <w:rPr>
                <w:sz w:val="20"/>
                <w:szCs w:val="20"/>
                <w:color w:val="auto"/>
              </w:rPr>
            </w:pPr>
            <w:r>
              <w:rPr>
                <w:rFonts w:ascii="Arial" w:cs="Arial" w:eastAsia="Arial" w:hAnsi="Arial"/>
                <w:sz w:val="16"/>
                <w:szCs w:val="16"/>
                <w:color w:val="auto"/>
              </w:rPr>
              <w:t>3.3 %</w:t>
            </w:r>
          </w:p>
        </w:tc>
        <w:tc>
          <w:tcPr>
            <w:tcW w:w="380" w:type="dxa"/>
            <w:vAlign w:val="bottom"/>
            <w:tcBorders>
              <w:bottom w:val="single" w:sz="8" w:color="00497F"/>
            </w:tcBorders>
            <w:shd w:val="clear" w:color="auto" w:fill="DBDBDB"/>
          </w:tcPr>
          <w:p>
            <w:pPr>
              <w:spacing w:after="0"/>
              <w:rPr>
                <w:sz w:val="20"/>
                <w:szCs w:val="20"/>
                <w:color w:val="auto"/>
              </w:rPr>
            </w:pPr>
          </w:p>
        </w:tc>
        <w:tc>
          <w:tcPr>
            <w:tcW w:w="1440" w:type="dxa"/>
            <w:vAlign w:val="bottom"/>
            <w:tcBorders>
              <w:bottom w:val="single" w:sz="8" w:color="00497F"/>
            </w:tcBorders>
            <w:shd w:val="clear" w:color="auto" w:fill="DBDBDB"/>
          </w:tcPr>
          <w:p>
            <w:pPr>
              <w:jc w:val="right"/>
              <w:ind w:right="139"/>
              <w:spacing w:after="0"/>
              <w:rPr>
                <w:sz w:val="20"/>
                <w:szCs w:val="20"/>
                <w:color w:val="auto"/>
              </w:rPr>
            </w:pPr>
            <w:r>
              <w:rPr>
                <w:rFonts w:ascii="Arial" w:cs="Arial" w:eastAsia="Arial" w:hAnsi="Arial"/>
                <w:sz w:val="16"/>
                <w:szCs w:val="16"/>
                <w:color w:val="auto"/>
              </w:rPr>
              <w:t>(5.0)%</w:t>
            </w:r>
          </w:p>
        </w:tc>
        <w:tc>
          <w:tcPr>
            <w:tcW w:w="1680" w:type="dxa"/>
            <w:vAlign w:val="bottom"/>
            <w:tcBorders>
              <w:bottom w:val="single" w:sz="8" w:color="00497F"/>
            </w:tcBorders>
            <w:shd w:val="clear" w:color="auto" w:fill="DBDBDB"/>
          </w:tcPr>
          <w:p>
            <w:pPr>
              <w:jc w:val="right"/>
              <w:ind w:right="179"/>
              <w:spacing w:after="0"/>
              <w:rPr>
                <w:sz w:val="20"/>
                <w:szCs w:val="20"/>
                <w:color w:val="auto"/>
              </w:rPr>
            </w:pPr>
            <w:r>
              <w:rPr>
                <w:rFonts w:ascii="Arial" w:cs="Arial" w:eastAsia="Arial" w:hAnsi="Arial"/>
                <w:sz w:val="16"/>
                <w:szCs w:val="16"/>
                <w:color w:val="auto"/>
              </w:rPr>
              <w:t>0.0 %</w:t>
            </w:r>
          </w:p>
        </w:tc>
        <w:tc>
          <w:tcPr>
            <w:tcW w:w="1400" w:type="dxa"/>
            <w:vAlign w:val="bottom"/>
            <w:tcBorders>
              <w:bottom w:val="single" w:sz="8" w:color="00497F"/>
            </w:tcBorders>
            <w:shd w:val="clear" w:color="auto" w:fill="DBDBDB"/>
          </w:tcPr>
          <w:p>
            <w:pPr>
              <w:jc w:val="right"/>
              <w:spacing w:after="0"/>
              <w:rPr>
                <w:sz w:val="20"/>
                <w:szCs w:val="20"/>
                <w:color w:val="auto"/>
              </w:rPr>
            </w:pPr>
            <w:r>
              <w:rPr>
                <w:rFonts w:ascii="Arial" w:cs="Arial" w:eastAsia="Arial" w:hAnsi="Arial"/>
                <w:sz w:val="16"/>
                <w:szCs w:val="16"/>
                <w:color w:val="auto"/>
              </w:rPr>
              <w:t>0.0 %</w:t>
            </w:r>
          </w:p>
        </w:tc>
      </w:tr>
    </w:tbl>
    <w:p>
      <w:pPr>
        <w:spacing w:after="0" w:line="80" w:lineRule="exact"/>
        <w:rPr>
          <w:sz w:val="20"/>
          <w:szCs w:val="20"/>
          <w:color w:val="auto"/>
        </w:rPr>
      </w:pPr>
    </w:p>
    <w:p>
      <w:pPr>
        <w:ind w:left="160" w:hanging="153"/>
        <w:spacing w:after="0"/>
        <w:tabs>
          <w:tab w:leader="none" w:pos="160" w:val="left"/>
        </w:tabs>
        <w:numPr>
          <w:ilvl w:val="0"/>
          <w:numId w:val="79"/>
        </w:numPr>
        <w:rPr>
          <w:rFonts w:ascii="Arial" w:cs="Arial" w:eastAsia="Arial" w:hAnsi="Arial"/>
          <w:sz w:val="18"/>
          <w:szCs w:val="18"/>
          <w:color w:val="auto"/>
          <w:vertAlign w:val="superscript"/>
        </w:rPr>
      </w:pPr>
      <w:r>
        <w:rPr>
          <w:rFonts w:ascii="Arial" w:cs="Arial" w:eastAsia="Arial" w:hAnsi="Arial"/>
          <w:sz w:val="14"/>
          <w:szCs w:val="14"/>
          <w:color w:val="auto"/>
        </w:rPr>
        <w:t>Dollar amounts are represented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150495</wp:posOffset>
            </wp:positionV>
            <wp:extent cx="68345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4505" cy="8255"/>
                    </a:xfrm>
                    <a:prstGeom prst="rect">
                      <a:avLst/>
                    </a:prstGeom>
                    <a:noFill/>
                  </pic:spPr>
                </pic:pic>
              </a:graphicData>
            </a:graphic>
          </wp:anchor>
        </w:drawing>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6180" w:type="dxa"/>
            <w:vAlign w:val="bottom"/>
            <w:tcBorders>
              <w:bottom w:val="single" w:sz="8" w:color="144065"/>
            </w:tcBorders>
          </w:tcPr>
          <w:p>
            <w:pPr>
              <w:ind w:left="20"/>
              <w:spacing w:after="0"/>
              <w:rPr>
                <w:sz w:val="20"/>
                <w:szCs w:val="20"/>
                <w:color w:val="auto"/>
              </w:rPr>
            </w:pPr>
            <w:r>
              <w:rPr>
                <w:rFonts w:ascii="Arial" w:cs="Arial" w:eastAsia="Arial" w:hAnsi="Arial"/>
                <w:sz w:val="14"/>
                <w:szCs w:val="14"/>
                <w:b w:val="1"/>
                <w:bCs w:val="1"/>
                <w:color w:val="144065"/>
              </w:rPr>
              <w:t>Name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144065"/>
              </w:rPr>
              <w:t>Target Bonus</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144065"/>
              </w:rPr>
              <w:t xml:space="preserve">Bonus Paid </w:t>
            </w:r>
            <w:r>
              <w:rPr>
                <w:rFonts w:ascii="Arial" w:cs="Arial" w:eastAsia="Arial" w:hAnsi="Arial"/>
                <w:sz w:val="18"/>
                <w:szCs w:val="18"/>
                <w:b w:val="1"/>
                <w:bCs w:val="1"/>
                <w:color w:val="144065"/>
                <w:vertAlign w:val="superscript"/>
              </w:rPr>
              <w:t>(2)</w:t>
            </w:r>
          </w:p>
        </w:tc>
        <w:tc>
          <w:tcPr>
            <w:tcW w:w="14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144065"/>
              </w:rPr>
              <w:t>% of Target</w:t>
            </w:r>
          </w:p>
        </w:tc>
      </w:tr>
      <w:tr>
        <w:trPr>
          <w:trHeight w:val="235"/>
        </w:trPr>
        <w:tc>
          <w:tcPr>
            <w:tcW w:w="6180" w:type="dxa"/>
            <w:vAlign w:val="bottom"/>
            <w:shd w:val="clear" w:color="auto" w:fill="E5E5E5"/>
          </w:tcPr>
          <w:p>
            <w:pPr>
              <w:ind w:left="20"/>
              <w:spacing w:after="0"/>
              <w:rPr>
                <w:sz w:val="20"/>
                <w:szCs w:val="20"/>
                <w:color w:val="auto"/>
              </w:rPr>
            </w:pPr>
            <w:r>
              <w:rPr>
                <w:rFonts w:ascii="Arial" w:cs="Arial" w:eastAsia="Arial" w:hAnsi="Arial"/>
                <w:sz w:val="16"/>
                <w:szCs w:val="16"/>
                <w:color w:val="auto"/>
              </w:rPr>
              <w:t>Tarun Lal</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451,507</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ind w:left="1080"/>
              <w:spacing w:after="0"/>
              <w:rPr>
                <w:sz w:val="20"/>
                <w:szCs w:val="20"/>
                <w:color w:val="auto"/>
              </w:rPr>
            </w:pPr>
            <w:r>
              <w:rPr>
                <w:rFonts w:ascii="Arial" w:cs="Arial" w:eastAsia="Arial" w:hAnsi="Arial"/>
                <w:sz w:val="16"/>
                <w:szCs w:val="16"/>
                <w:color w:val="auto"/>
              </w:rPr>
              <w:t>— %</w:t>
            </w:r>
          </w:p>
        </w:tc>
      </w:tr>
      <w:tr>
        <w:trPr>
          <w:trHeight w:val="242"/>
        </w:trPr>
        <w:tc>
          <w:tcPr>
            <w:tcW w:w="6180" w:type="dxa"/>
            <w:vAlign w:val="bottom"/>
          </w:tcPr>
          <w:p>
            <w:pPr>
              <w:ind w:left="20"/>
              <w:spacing w:after="0"/>
              <w:rPr>
                <w:sz w:val="20"/>
                <w:szCs w:val="20"/>
                <w:color w:val="auto"/>
              </w:rPr>
            </w:pPr>
            <w:r>
              <w:rPr>
                <w:rFonts w:ascii="Arial" w:cs="Arial" w:eastAsia="Arial" w:hAnsi="Arial"/>
                <w:sz w:val="16"/>
                <w:szCs w:val="16"/>
                <w:color w:val="auto"/>
              </w:rPr>
              <w:t>Kevin M. Sheehan</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370,274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ind w:left="1020"/>
              <w:spacing w:after="0"/>
              <w:rPr>
                <w:sz w:val="20"/>
                <w:szCs w:val="20"/>
                <w:color w:val="auto"/>
              </w:rPr>
            </w:pPr>
            <w:r>
              <w:rPr>
                <w:rFonts w:ascii="Arial" w:cs="Arial" w:eastAsia="Arial" w:hAnsi="Arial"/>
                <w:sz w:val="16"/>
                <w:szCs w:val="16"/>
                <w:color w:val="auto"/>
              </w:rPr>
              <w:t>—</w:t>
            </w:r>
          </w:p>
        </w:tc>
        <w:tc>
          <w:tcPr>
            <w:tcW w:w="1460" w:type="dxa"/>
            <w:vAlign w:val="bottom"/>
          </w:tcPr>
          <w:p>
            <w:pPr>
              <w:ind w:left="1080"/>
              <w:spacing w:after="0"/>
              <w:rPr>
                <w:sz w:val="20"/>
                <w:szCs w:val="20"/>
                <w:color w:val="auto"/>
              </w:rPr>
            </w:pPr>
            <w:r>
              <w:rPr>
                <w:rFonts w:ascii="Arial" w:cs="Arial" w:eastAsia="Arial" w:hAnsi="Arial"/>
                <w:sz w:val="16"/>
                <w:szCs w:val="16"/>
                <w:color w:val="auto"/>
              </w:rPr>
              <w:t>— %</w:t>
            </w:r>
          </w:p>
        </w:tc>
      </w:tr>
      <w:tr>
        <w:trPr>
          <w:trHeight w:val="242"/>
        </w:trPr>
        <w:tc>
          <w:tcPr>
            <w:tcW w:w="61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Darin Harper</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380,000</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ind w:left="1080"/>
              <w:spacing w:after="0"/>
              <w:rPr>
                <w:sz w:val="20"/>
                <w:szCs w:val="20"/>
                <w:color w:val="auto"/>
              </w:rPr>
            </w:pPr>
            <w:r>
              <w:rPr>
                <w:rFonts w:ascii="Arial" w:cs="Arial" w:eastAsia="Arial" w:hAnsi="Arial"/>
                <w:sz w:val="16"/>
                <w:szCs w:val="16"/>
                <w:color w:val="auto"/>
              </w:rPr>
              <w:t>— %</w:t>
            </w:r>
          </w:p>
        </w:tc>
      </w:tr>
      <w:tr>
        <w:trPr>
          <w:trHeight w:val="234"/>
        </w:trPr>
        <w:tc>
          <w:tcPr>
            <w:tcW w:w="6180" w:type="dxa"/>
            <w:vAlign w:val="bottom"/>
          </w:tcPr>
          <w:p>
            <w:pPr>
              <w:ind w:left="20"/>
              <w:spacing w:after="0"/>
              <w:rPr>
                <w:sz w:val="20"/>
                <w:szCs w:val="20"/>
                <w:color w:val="auto"/>
              </w:rPr>
            </w:pPr>
            <w:r>
              <w:rPr>
                <w:rFonts w:ascii="Arial" w:cs="Arial" w:eastAsia="Arial" w:hAnsi="Arial"/>
                <w:sz w:val="16"/>
                <w:szCs w:val="16"/>
                <w:color w:val="auto"/>
              </w:rPr>
              <w:t>Antonio Bautista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256,200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ind w:left="1020"/>
              <w:spacing w:after="0"/>
              <w:rPr>
                <w:sz w:val="20"/>
                <w:szCs w:val="20"/>
                <w:color w:val="auto"/>
              </w:rPr>
            </w:pPr>
            <w:r>
              <w:rPr>
                <w:rFonts w:ascii="Arial" w:cs="Arial" w:eastAsia="Arial" w:hAnsi="Arial"/>
                <w:sz w:val="16"/>
                <w:szCs w:val="16"/>
                <w:color w:val="auto"/>
              </w:rPr>
              <w:t>—</w:t>
            </w:r>
          </w:p>
        </w:tc>
        <w:tc>
          <w:tcPr>
            <w:tcW w:w="1460" w:type="dxa"/>
            <w:vAlign w:val="bottom"/>
          </w:tcPr>
          <w:p>
            <w:pPr>
              <w:ind w:left="1080"/>
              <w:spacing w:after="0"/>
              <w:rPr>
                <w:sz w:val="20"/>
                <w:szCs w:val="20"/>
                <w:color w:val="auto"/>
              </w:rPr>
            </w:pPr>
            <w:r>
              <w:rPr>
                <w:rFonts w:ascii="Arial" w:cs="Arial" w:eastAsia="Arial" w:hAnsi="Arial"/>
                <w:sz w:val="16"/>
                <w:szCs w:val="16"/>
                <w:color w:val="auto"/>
              </w:rPr>
              <w:t>— %</w:t>
            </w:r>
          </w:p>
        </w:tc>
      </w:tr>
      <w:tr>
        <w:trPr>
          <w:trHeight w:val="249"/>
        </w:trPr>
        <w:tc>
          <w:tcPr>
            <w:tcW w:w="6180" w:type="dxa"/>
            <w:vAlign w:val="bottom"/>
            <w:shd w:val="clear" w:color="auto" w:fill="E5E5E5"/>
          </w:tcPr>
          <w:p>
            <w:pPr>
              <w:ind w:left="20"/>
              <w:spacing w:after="0"/>
              <w:rPr>
                <w:sz w:val="20"/>
                <w:szCs w:val="20"/>
                <w:color w:val="auto"/>
              </w:rPr>
            </w:pPr>
            <w:r>
              <w:rPr>
                <w:rFonts w:ascii="Arial" w:cs="Arial" w:eastAsia="Arial" w:hAnsi="Arial"/>
                <w:sz w:val="16"/>
                <w:szCs w:val="16"/>
                <w:color w:val="auto"/>
              </w:rPr>
              <w:t>Steve Klohn</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240,000</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E5E5E5"/>
          </w:tcPr>
          <w:p>
            <w:pPr>
              <w:ind w:left="10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ind w:left="1080"/>
              <w:spacing w:after="0"/>
              <w:rPr>
                <w:sz w:val="20"/>
                <w:szCs w:val="20"/>
                <w:color w:val="auto"/>
              </w:rPr>
            </w:pPr>
            <w:r>
              <w:rPr>
                <w:rFonts w:ascii="Arial" w:cs="Arial" w:eastAsia="Arial" w:hAnsi="Arial"/>
                <w:sz w:val="16"/>
                <w:szCs w:val="16"/>
                <w:color w:val="auto"/>
              </w:rPr>
              <w:t>— %</w:t>
            </w:r>
          </w:p>
        </w:tc>
      </w:tr>
      <w:tr>
        <w:trPr>
          <w:trHeight w:val="235"/>
        </w:trPr>
        <w:tc>
          <w:tcPr>
            <w:tcW w:w="618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Tony Wehner</w:t>
            </w:r>
          </w:p>
        </w:tc>
        <w:tc>
          <w:tcPr>
            <w:tcW w:w="18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00497F"/>
            </w:tcBorders>
          </w:tcPr>
          <w:p>
            <w:pPr>
              <w:jc w:val="right"/>
              <w:ind w:right="1"/>
              <w:spacing w:after="0"/>
              <w:rPr>
                <w:sz w:val="20"/>
                <w:szCs w:val="20"/>
                <w:color w:val="auto"/>
              </w:rPr>
            </w:pPr>
            <w:r>
              <w:rPr>
                <w:rFonts w:ascii="Arial" w:cs="Arial" w:eastAsia="Arial" w:hAnsi="Arial"/>
                <w:sz w:val="16"/>
                <w:szCs w:val="16"/>
                <w:color w:val="auto"/>
              </w:rPr>
              <w:t>360,000</w:t>
            </w:r>
          </w:p>
        </w:tc>
        <w:tc>
          <w:tcPr>
            <w:tcW w:w="26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00497F"/>
            </w:tcBorders>
          </w:tcPr>
          <w:p>
            <w:pPr>
              <w:ind w:left="10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00497F"/>
            </w:tcBorders>
          </w:tcPr>
          <w:p>
            <w:pPr>
              <w:ind w:left="1080"/>
              <w:spacing w:after="0"/>
              <w:rPr>
                <w:sz w:val="20"/>
                <w:szCs w:val="20"/>
                <w:color w:val="auto"/>
              </w:rPr>
            </w:pPr>
            <w:r>
              <w:rPr>
                <w:rFonts w:ascii="Arial" w:cs="Arial" w:eastAsia="Arial" w:hAnsi="Arial"/>
                <w:sz w:val="16"/>
                <w:szCs w:val="16"/>
                <w:color w:val="auto"/>
              </w:rPr>
              <w:t>— %</w:t>
            </w:r>
          </w:p>
        </w:tc>
      </w:tr>
    </w:tbl>
    <w:p>
      <w:pPr>
        <w:spacing w:after="0" w:line="66" w:lineRule="exact"/>
        <w:rPr>
          <w:sz w:val="20"/>
          <w:szCs w:val="20"/>
          <w:color w:val="auto"/>
        </w:rPr>
      </w:pPr>
    </w:p>
    <w:p>
      <w:pPr>
        <w:ind w:left="180" w:hanging="173"/>
        <w:spacing w:after="0"/>
        <w:tabs>
          <w:tab w:leader="none" w:pos="180" w:val="left"/>
        </w:tabs>
        <w:numPr>
          <w:ilvl w:val="0"/>
          <w:numId w:val="80"/>
        </w:numPr>
        <w:rPr>
          <w:rFonts w:ascii="Arial" w:cs="Arial" w:eastAsia="Arial" w:hAnsi="Arial"/>
          <w:sz w:val="21"/>
          <w:szCs w:val="21"/>
          <w:color w:val="auto"/>
          <w:vertAlign w:val="superscript"/>
        </w:rPr>
      </w:pPr>
      <w:r>
        <w:rPr>
          <w:rFonts w:ascii="Arial" w:cs="Arial" w:eastAsia="Arial" w:hAnsi="Arial"/>
          <w:sz w:val="16"/>
          <w:szCs w:val="16"/>
          <w:color w:val="auto"/>
        </w:rPr>
        <w:t>Mr. Sheehan resigned as Interim Chief Executive Officer effective July 15, 2025 and did not receive a bonus.</w:t>
      </w:r>
    </w:p>
    <w:p>
      <w:pPr>
        <w:spacing w:after="0" w:line="78" w:lineRule="exact"/>
        <w:rPr>
          <w:rFonts w:ascii="Arial" w:cs="Arial" w:eastAsia="Arial" w:hAnsi="Arial"/>
          <w:sz w:val="21"/>
          <w:szCs w:val="21"/>
          <w:color w:val="auto"/>
          <w:vertAlign w:val="superscript"/>
        </w:rPr>
      </w:pPr>
    </w:p>
    <w:p>
      <w:pPr>
        <w:spacing w:after="0"/>
        <w:rPr>
          <w:rFonts w:ascii="Arial" w:cs="Arial" w:eastAsia="Arial" w:hAnsi="Arial"/>
          <w:sz w:val="21"/>
          <w:szCs w:val="21"/>
          <w:color w:val="auto"/>
          <w:vertAlign w:val="superscript"/>
        </w:rPr>
      </w:pPr>
      <w:r>
        <w:rPr>
          <w:rFonts w:ascii="Arial" w:cs="Arial" w:eastAsia="Arial" w:hAnsi="Arial"/>
          <w:sz w:val="18"/>
          <w:szCs w:val="18"/>
          <w:b w:val="1"/>
          <w:bCs w:val="1"/>
          <w:i w:val="1"/>
          <w:iCs w:val="1"/>
          <w:color w:val="auto"/>
        </w:rPr>
        <w:t>Long-Term Incentive Awards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Compensation Committee believes that it is essential to align the interests of our executive officers, including the NEOs, and other key management personnel responsible for our growth with the interests of our shareholders. The Compensation Committee has also identified the need to retain tenured, high performing executives. The Compensation Committee believes that these objectives are accomplished through the provision of cash- and stock-based incentives that align the interests of management personnel with the long-term objectives of enhancing our value, as set forth in the 2025 Plan.</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Annually, the Compensation Committee determines whether to grant long-term cash- and/or stock-based incentives to our executive officers, including the NEOs, and other key management personnel. In determining whether to grant long-term incentive awards, the Compensation Committee considers Company performance, individual performance, the significance of the individual's contributions to the ongoing success of the Company, the valuation of the grants relative to the individual’s total compensation, value creation, and the recommendations of our Chief Executive Officer. In addition, the Compensation Committee considers the benchmarking data and additional analysis provided by its compensation consultant in determining appropriate grant levels for our executive officers, including the NEOs. Annual equity awards have historically been granted to our executive officers in April of the applicable year. In fiscal 2025, following stockholder approval of the 2025 Omnibus Incentive Plan, annual equity awards were granted in June 2025. In October 2025, the Compensation Committee approved additional one-time equity grants and, in connection therewith, cancelled and regranted certain previously outstanding PSU awards to better align performance metrics with the Company’s updated strategic priorities following the appointment of a new Chief Executive Officer.</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 fiscal 2025, the Compensation Committee approved the 2025 long-term incentive program pursuant to the 2025 Plan. The 2025 long-term incentive program applied to all of our NEOs other than Mr. Sheehan, whose compensation as Interim Chief Executive Officer is detailed in his letter agreement with the Company dated December 9, 2024 and discussed under </w:t>
      </w:r>
      <w:r>
        <w:rPr>
          <w:rFonts w:ascii="Arial" w:cs="Arial" w:eastAsia="Arial" w:hAnsi="Arial"/>
          <w:sz w:val="18"/>
          <w:szCs w:val="18"/>
          <w:i w:val="1"/>
          <w:iCs w:val="1"/>
          <w:color w:val="auto"/>
        </w:rPr>
        <w:t>Employment Agreements and Other Arrangements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Grants of Plan Based Awards in Fiscal 2025 </w:t>
      </w:r>
      <w:r>
        <w:rPr>
          <w:rFonts w:ascii="Arial" w:cs="Arial" w:eastAsia="Arial" w:hAnsi="Arial"/>
          <w:sz w:val="18"/>
          <w:szCs w:val="18"/>
          <w:color w:val="auto"/>
        </w:rPr>
        <w:t>below. Awards under the 2025 long-term incentive program included a mix of RSUs, two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PSUs with different vesting requirements, service-based non-qualified stock options, and performance-based stock options. The RSUs, which comprised 33% of each applicable NEO’s award, vest in equal installments over a three-year period. The service-based stock options and performance-based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329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32</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t>options together comprised 33% of each applicable NEO’s award. The performance-based stock options vest on achievement of certain performance thresholds during the performance period. The two types of PSUs, which together comprised 33% of each applicable NEO’s award, vest after a defined performance period, subject to achieving performance thresholds during the period; specifically, (i) targeted same</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store sales growth for four consecutive quarters, or (ii) targeted growth of Adjusted EBITDA and Same Store Sales. The actual number of PSUs earned will be determined at the end of the three-year performance period. If performance falls between threshold and target or target and maximum, the number of PSUs that vest will be determined on an interpolated basis. The Compensation Committee believes that the mix of one-third each of RSUs, PSUs and stock options appropriately balances retention, mid-term performance and long-term shareholder return objectives while motivating and rewarding executive officers and other key employees who deliver mid- and long-term financial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481965</wp:posOffset>
            </wp:positionV>
            <wp:extent cx="71329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33</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39" w:name="page40"/>
    <w:bookmarkEnd w:id="39"/>
    <w:p>
      <w:pPr>
        <w:jc w:val="both"/>
        <w:spacing w:after="0" w:line="267" w:lineRule="auto"/>
        <w:rPr>
          <w:sz w:val="20"/>
          <w:szCs w:val="20"/>
          <w:color w:val="auto"/>
        </w:rPr>
      </w:pPr>
      <w:r>
        <w:rPr>
          <w:rFonts w:ascii="Arial" w:cs="Arial" w:eastAsia="Arial" w:hAnsi="Arial"/>
          <w:sz w:val="18"/>
          <w:szCs w:val="18"/>
          <w:color w:val="auto"/>
        </w:rPr>
        <w:t>The following table summarizes the aggregate target long-term incentive values approved by the Compensation Committee for fiscal 2025 for each named executive officer other than Messrs. Lal and Sheehan. These values reflect the Committee’s holistic view of intended long-term compensation opportunity and exclude awards that were cancelled and replaced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71329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20" w:type="dxa"/>
            <w:vAlign w:val="bottom"/>
            <w:tcBorders>
              <w:bottom w:val="single" w:sz="8" w:color="00497F"/>
            </w:tcBorders>
          </w:tcPr>
          <w:p>
            <w:pPr>
              <w:ind w:left="1980"/>
              <w:spacing w:after="0"/>
              <w:rPr>
                <w:sz w:val="20"/>
                <w:szCs w:val="20"/>
                <w:color w:val="auto"/>
              </w:rPr>
            </w:pPr>
            <w:r>
              <w:rPr>
                <w:rFonts w:ascii="Arial" w:cs="Arial" w:eastAsia="Arial" w:hAnsi="Arial"/>
                <w:sz w:val="14"/>
                <w:szCs w:val="14"/>
                <w:b w:val="1"/>
                <w:bCs w:val="1"/>
                <w:color w:val="144065"/>
              </w:rPr>
              <w:t>Named Executive Officer</w:t>
            </w:r>
          </w:p>
        </w:tc>
        <w:tc>
          <w:tcPr>
            <w:tcW w:w="5620" w:type="dxa"/>
            <w:vAlign w:val="bottom"/>
            <w:tcBorders>
              <w:bottom w:val="single" w:sz="8" w:color="00497F"/>
            </w:tcBorders>
          </w:tcPr>
          <w:p>
            <w:pPr>
              <w:jc w:val="center"/>
              <w:spacing w:after="0"/>
              <w:rPr>
                <w:sz w:val="20"/>
                <w:szCs w:val="20"/>
                <w:color w:val="auto"/>
              </w:rPr>
            </w:pPr>
            <w:r>
              <w:rPr>
                <w:rFonts w:ascii="Arial" w:cs="Arial" w:eastAsia="Arial" w:hAnsi="Arial"/>
                <w:sz w:val="14"/>
                <w:szCs w:val="14"/>
                <w:b w:val="1"/>
                <w:bCs w:val="1"/>
                <w:color w:val="144065"/>
              </w:rPr>
              <w:t>Total Target Equity Value</w:t>
            </w:r>
          </w:p>
        </w:tc>
      </w:tr>
      <w:tr>
        <w:trPr>
          <w:trHeight w:val="207"/>
        </w:trPr>
        <w:tc>
          <w:tcPr>
            <w:tcW w:w="5620" w:type="dxa"/>
            <w:vAlign w:val="bottom"/>
          </w:tcPr>
          <w:p>
            <w:pPr>
              <w:ind w:left="20"/>
              <w:spacing w:after="0"/>
              <w:rPr>
                <w:sz w:val="20"/>
                <w:szCs w:val="20"/>
                <w:color w:val="auto"/>
              </w:rPr>
            </w:pPr>
            <w:r>
              <w:rPr>
                <w:rFonts w:ascii="Arial" w:cs="Arial" w:eastAsia="Arial" w:hAnsi="Arial"/>
                <w:sz w:val="14"/>
                <w:szCs w:val="14"/>
                <w:color w:val="auto"/>
              </w:rPr>
              <w:t>Darin Harper</w:t>
            </w:r>
          </w:p>
        </w:tc>
        <w:tc>
          <w:tcPr>
            <w:tcW w:w="5620" w:type="dxa"/>
            <w:vAlign w:val="bottom"/>
          </w:tcPr>
          <w:p>
            <w:pPr>
              <w:jc w:val="center"/>
              <w:spacing w:after="0"/>
              <w:rPr>
                <w:sz w:val="20"/>
                <w:szCs w:val="20"/>
                <w:color w:val="auto"/>
              </w:rPr>
            </w:pPr>
            <w:r>
              <w:rPr>
                <w:rFonts w:ascii="Arial" w:cs="Arial" w:eastAsia="Arial" w:hAnsi="Arial"/>
                <w:sz w:val="14"/>
                <w:szCs w:val="14"/>
                <w:color w:val="auto"/>
              </w:rPr>
              <w:t>$1,500,000.00</w:t>
            </w:r>
          </w:p>
        </w:tc>
      </w:tr>
      <w:tr>
        <w:trPr>
          <w:trHeight w:val="21"/>
        </w:trPr>
        <w:tc>
          <w:tcPr>
            <w:tcW w:w="5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08"/>
        </w:trPr>
        <w:tc>
          <w:tcPr>
            <w:tcW w:w="5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Antonio Bautista</w:t>
            </w:r>
          </w:p>
        </w:tc>
        <w:tc>
          <w:tcPr>
            <w:tcW w:w="56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$1,000,000.00</w:t>
            </w:r>
          </w:p>
        </w:tc>
      </w:tr>
      <w:tr>
        <w:trPr>
          <w:trHeight w:val="207"/>
        </w:trPr>
        <w:tc>
          <w:tcPr>
            <w:tcW w:w="5620" w:type="dxa"/>
            <w:vAlign w:val="bottom"/>
          </w:tcPr>
          <w:p>
            <w:pPr>
              <w:ind w:left="20"/>
              <w:spacing w:after="0"/>
              <w:rPr>
                <w:sz w:val="20"/>
                <w:szCs w:val="20"/>
                <w:color w:val="auto"/>
              </w:rPr>
            </w:pPr>
            <w:r>
              <w:rPr>
                <w:rFonts w:ascii="Arial" w:cs="Arial" w:eastAsia="Arial" w:hAnsi="Arial"/>
                <w:sz w:val="14"/>
                <w:szCs w:val="14"/>
                <w:color w:val="auto"/>
              </w:rPr>
              <w:t>Steve Klohn</w:t>
            </w:r>
          </w:p>
        </w:tc>
        <w:tc>
          <w:tcPr>
            <w:tcW w:w="5620" w:type="dxa"/>
            <w:vAlign w:val="bottom"/>
          </w:tcPr>
          <w:p>
            <w:pPr>
              <w:jc w:val="center"/>
              <w:spacing w:after="0"/>
              <w:rPr>
                <w:sz w:val="20"/>
                <w:szCs w:val="20"/>
                <w:color w:val="auto"/>
              </w:rPr>
            </w:pPr>
            <w:r>
              <w:rPr>
                <w:rFonts w:ascii="Arial" w:cs="Arial" w:eastAsia="Arial" w:hAnsi="Arial"/>
                <w:sz w:val="14"/>
                <w:szCs w:val="14"/>
                <w:color w:val="auto"/>
              </w:rPr>
              <w:t>$1,000,000.00</w:t>
            </w:r>
          </w:p>
        </w:tc>
      </w:tr>
      <w:tr>
        <w:trPr>
          <w:trHeight w:val="21"/>
        </w:trPr>
        <w:tc>
          <w:tcPr>
            <w:tcW w:w="5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r>
      <w:tr>
        <w:trPr>
          <w:trHeight w:val="208"/>
        </w:trPr>
        <w:tc>
          <w:tcPr>
            <w:tcW w:w="5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Tony Wehner</w:t>
            </w:r>
          </w:p>
        </w:tc>
        <w:tc>
          <w:tcPr>
            <w:tcW w:w="56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$1,000,000.00</w:t>
            </w:r>
          </w:p>
        </w:tc>
      </w:tr>
      <w:tr>
        <w:trPr>
          <w:trHeight w:val="20"/>
        </w:trPr>
        <w:tc>
          <w:tcPr>
            <w:tcW w:w="5620" w:type="dxa"/>
            <w:vAlign w:val="bottom"/>
            <w:shd w:val="clear" w:color="auto" w:fill="00497F"/>
          </w:tcPr>
          <w:p>
            <w:pPr>
              <w:spacing w:after="0" w:line="20" w:lineRule="exact"/>
              <w:rPr>
                <w:sz w:val="1"/>
                <w:szCs w:val="1"/>
                <w:color w:val="auto"/>
              </w:rPr>
            </w:pPr>
          </w:p>
        </w:tc>
        <w:tc>
          <w:tcPr>
            <w:tcW w:w="5620" w:type="dxa"/>
            <w:vAlign w:val="bottom"/>
            <w:shd w:val="clear" w:color="auto" w:fill="00497F"/>
          </w:tcPr>
          <w:p>
            <w:pPr>
              <w:spacing w:after="0" w:line="20" w:lineRule="exact"/>
              <w:rPr>
                <w:sz w:val="1"/>
                <w:szCs w:val="1"/>
                <w:color w:val="auto"/>
              </w:rPr>
            </w:pPr>
          </w:p>
        </w:tc>
      </w:tr>
    </w:tbl>
    <w:p>
      <w:pPr>
        <w:spacing w:after="0" w:line="3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These target values are intended to provide transparency into the Compensation Committee’s decision-making process and to avoid any implication of duplication arising from the cancellation and regrant of equity awards in October 2025.</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One-time Grants and Adjustments to Certain PSUs</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2025, a one-time grant of certain equity awards (the “One-Time Grants”) was made to Messrs. Harper, Bautista, Klohn and Wehner (the “Covered Grantees”) pursuant to the 2025 Plan. The primary goal of the One-Time Grants was to better align our NEOs’ performance metrics with those established by the Compensation Committee when Mr. Lal was appointed as our Chief Executive Officer. As a condition to receiving the One-Time Grants, each of the Covered Grantees agreed to the cancellation of certain PSU awards that were previously granted to the Covered Grantees at the time of their appointment (the “Cancelled PSUs”), which were based on performance metrics established in consultation with our previous Chief Executive Officer that the Compensation Committee believes are no longer aligned with our long -term strategy. The One-Time Grants were subject to the following terms and conditions, certain of which are based on the equity grants made to Mr. Lal, the Company’s Chief Executive Officer, on July 15, 2025 (the “CEO Grants”):</w:t>
      </w:r>
    </w:p>
    <w:p>
      <w:pPr>
        <w:spacing w:after="0" w:line="75" w:lineRule="exact"/>
        <w:rPr>
          <w:sz w:val="20"/>
          <w:szCs w:val="20"/>
          <w:color w:val="auto"/>
        </w:rPr>
      </w:pPr>
    </w:p>
    <w:p>
      <w:pPr>
        <w:jc w:val="both"/>
        <w:ind w:left="660" w:hanging="330"/>
        <w:spacing w:after="0" w:line="267"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RSUs</w:t>
      </w:r>
      <w:r>
        <w:rPr>
          <w:rFonts w:ascii="Arial" w:cs="Arial" w:eastAsia="Arial" w:hAnsi="Arial"/>
          <w:sz w:val="18"/>
          <w:szCs w:val="18"/>
          <w:color w:val="auto"/>
        </w:rPr>
        <w:t>: A grant of 22,026 RSUs for Mr. Harper and 11,013 RSUs for each of Messrs. Bautista, Klohn and Wehner. These RSUs will</w:t>
      </w:r>
      <w:r>
        <w:rPr>
          <w:rFonts w:ascii="Arial" w:cs="Arial" w:eastAsia="Arial" w:hAnsi="Arial"/>
          <w:sz w:val="18"/>
          <w:szCs w:val="18"/>
          <w:i w:val="1"/>
          <w:iCs w:val="1"/>
          <w:color w:val="auto"/>
        </w:rPr>
        <w:t xml:space="preserve"> </w:t>
      </w:r>
      <w:r>
        <w:rPr>
          <w:rFonts w:ascii="Arial" w:cs="Arial" w:eastAsia="Arial" w:hAnsi="Arial"/>
          <w:sz w:val="18"/>
          <w:szCs w:val="18"/>
          <w:color w:val="auto"/>
        </w:rPr>
        <w:t>vest in three equal installments on July 14, 2026, July 14, 2027 and July 14, 2028, with each such grant being subject to the Covered Grantee’s continued employment through the applicable vesting date.</w:t>
      </w:r>
    </w:p>
    <w:p>
      <w:pPr>
        <w:spacing w:after="0" w:line="61" w:lineRule="exact"/>
        <w:rPr>
          <w:rFonts w:ascii="Arial" w:cs="Arial" w:eastAsia="Arial" w:hAnsi="Arial"/>
          <w:sz w:val="18"/>
          <w:szCs w:val="18"/>
          <w:color w:val="auto"/>
        </w:rPr>
      </w:pPr>
    </w:p>
    <w:p>
      <w:pPr>
        <w:jc w:val="both"/>
        <w:ind w:left="660" w:hanging="330"/>
        <w:spacing w:after="0" w:line="258"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Time-Based Stock Options</w:t>
      </w:r>
      <w:r>
        <w:rPr>
          <w:rFonts w:ascii="Arial" w:cs="Arial" w:eastAsia="Arial" w:hAnsi="Arial"/>
          <w:sz w:val="18"/>
          <w:szCs w:val="18"/>
          <w:color w:val="auto"/>
        </w:rPr>
        <w:t>: A grant of 22,026 stock options for Mr. Harper and a grant of 11,013 stock options for each of Messrs.</w:t>
      </w:r>
      <w:r>
        <w:rPr>
          <w:rFonts w:ascii="Arial" w:cs="Arial" w:eastAsia="Arial" w:hAnsi="Arial"/>
          <w:sz w:val="18"/>
          <w:szCs w:val="18"/>
          <w:i w:val="1"/>
          <w:iCs w:val="1"/>
          <w:color w:val="auto"/>
        </w:rPr>
        <w:t xml:space="preserve"> </w:t>
      </w:r>
      <w:r>
        <w:rPr>
          <w:rFonts w:ascii="Arial" w:cs="Arial" w:eastAsia="Arial" w:hAnsi="Arial"/>
          <w:sz w:val="18"/>
          <w:szCs w:val="18"/>
          <w:color w:val="auto"/>
        </w:rPr>
        <w:t>Bautista, Klohn and Wehner, with an exercise price equal to $22.70 (the “Grant Price”). These options will vest in three equal installments on July 14, 2026, July 14, 2027 and July 14, 2028, with the vesting dates aligning with the time-based stock options granted pursuant to the CEO Grants, with each such grant being subject to the Covered Grantee’s continued employment through the applicable vesting date.</w:t>
      </w:r>
    </w:p>
    <w:p>
      <w:pPr>
        <w:spacing w:after="0" w:line="69" w:lineRule="exact"/>
        <w:rPr>
          <w:rFonts w:ascii="Arial" w:cs="Arial" w:eastAsia="Arial" w:hAnsi="Arial"/>
          <w:sz w:val="18"/>
          <w:szCs w:val="18"/>
          <w:color w:val="auto"/>
        </w:rPr>
      </w:pPr>
    </w:p>
    <w:p>
      <w:pPr>
        <w:jc w:val="both"/>
        <w:ind w:left="660" w:hanging="330"/>
        <w:spacing w:after="0" w:line="253"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PSUs</w:t>
      </w:r>
      <w:r>
        <w:rPr>
          <w:rFonts w:ascii="Arial" w:cs="Arial" w:eastAsia="Arial" w:hAnsi="Arial"/>
          <w:sz w:val="18"/>
          <w:szCs w:val="18"/>
          <w:color w:val="auto"/>
        </w:rPr>
        <w:t>: Two separate PSU grants that will be earned based on achieving specified performance targets. One grant, consisting of</w:t>
      </w:r>
      <w:r>
        <w:rPr>
          <w:rFonts w:ascii="Arial" w:cs="Arial" w:eastAsia="Arial" w:hAnsi="Arial"/>
          <w:sz w:val="18"/>
          <w:szCs w:val="18"/>
          <w:i w:val="1"/>
          <w:iCs w:val="1"/>
          <w:color w:val="auto"/>
        </w:rPr>
        <w:t xml:space="preserve"> </w:t>
      </w:r>
      <w:r>
        <w:rPr>
          <w:rFonts w:ascii="Arial" w:cs="Arial" w:eastAsia="Arial" w:hAnsi="Arial"/>
          <w:sz w:val="18"/>
          <w:szCs w:val="18"/>
          <w:color w:val="auto"/>
        </w:rPr>
        <w:t>11,013 PSUs for each of the Covered Grantees (“Single Goal PSUs”), will become earned 100% upon achievement of at least 3% positive same store sales growth for four consecutive quarters over a specified performance period that ends on February 1, 2028 (the “Performance Period”). Once earned, the Single Goal PSUs will time vest in equal annual installments over a two-year period. The other grant, consisting of 11,013 PSUs for each of the Covered Grantees (the “Multiple Goal PSUs”), will become earned based, in part, on the achievement of the following performance conditions over the Performance Period: (i) 2027 Adjusted EBITDA (as such term is defined in the Company’s financial statements) of between $600 million and $675 million and (ii) average same store sales growth of between 3% and 5%. Under this award, the number of Multiple Goal PSUs earned, based on the achievement of Adjusted EBITDA and same store sales growth, will be further increased or reduced based on the percentile rank of the Company’s total shareholder return (“TSR”) relative to the companies on the S&amp;P 1500 Hotels, Restaurants and Leisure Index.</w:t>
      </w:r>
    </w:p>
    <w:p>
      <w:pPr>
        <w:spacing w:after="0" w:line="75" w:lineRule="exact"/>
        <w:rPr>
          <w:rFonts w:ascii="Arial" w:cs="Arial" w:eastAsia="Arial" w:hAnsi="Arial"/>
          <w:sz w:val="18"/>
          <w:szCs w:val="18"/>
          <w:color w:val="auto"/>
        </w:rPr>
      </w:pPr>
    </w:p>
    <w:p>
      <w:pPr>
        <w:jc w:val="both"/>
        <w:ind w:left="660" w:hanging="330"/>
        <w:spacing w:after="0" w:line="258"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Stock Price-Based Options</w:t>
      </w:r>
      <w:r>
        <w:rPr>
          <w:rFonts w:ascii="Arial" w:cs="Arial" w:eastAsia="Arial" w:hAnsi="Arial"/>
          <w:sz w:val="18"/>
          <w:szCs w:val="18"/>
          <w:color w:val="auto"/>
        </w:rPr>
        <w:t>: Two additional stock option grants for Messrs. Harper, Bautista, Klohn and Wehner which will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if the Company’s stock price reaches specified multiples of the exercise price of the stock options granted pursuant to the CEO Grants (the “CEO Strike Price”) by February 1, 2028. One grant, consisting of 60,327 stock options for Mr. Harper and 41,794 for each of Messrs. Bautista, Klohn and Wehner, and with an exercise price equal to the Grant Price, will become earned in full on the first date (the “2X Attainment Date”) occurring before February 1, 2028 on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269875</wp:posOffset>
            </wp:positionV>
            <wp:extent cx="71329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34</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0" w:name="page41"/>
    <w:bookmarkEnd w:id="40"/>
    <w:p>
      <w:pPr>
        <w:jc w:val="both"/>
        <w:ind w:left="660"/>
        <w:spacing w:after="0" w:line="253" w:lineRule="auto"/>
        <w:rPr>
          <w:sz w:val="20"/>
          <w:szCs w:val="20"/>
          <w:color w:val="auto"/>
        </w:rPr>
      </w:pPr>
      <w:r>
        <w:rPr>
          <w:rFonts w:ascii="Arial" w:cs="Arial" w:eastAsia="Arial" w:hAnsi="Arial"/>
          <w:sz w:val="18"/>
          <w:szCs w:val="18"/>
          <w:color w:val="auto"/>
        </w:rPr>
        <w:t>the 60-day trailing VWAP of the Company’s common stock is equal to or greater than $64.12. After the 2X Attainment Date, the shares underlying these stock options will vest and become exercisable on either the first or the second anniversary of the 2X Attainment Date depending on the Company’s 60-day trailing VWAP on the first anniversary of the 2X Attainment Date and subject to certain terms and conditions specified in the applicable award agreement. The other grant, consisting of 47,934 stock options for Mr. Harper and a grant of 28,271 for each Messrs. Bautista, Klohn and Wehner, with an exercise price equal to $34.05, will become earned in full on the first date (the “3X Attainment Date”) occurring before February 1, 2028 on which the 60-day trailing VWAP of the Company’s common stock is equal to or greater than $96.18. After the 3X Attainment Date, the shares underlying these stock options will vest and become exercisable on either the first or the second anniversary of the 3X Attainment Date depending on the Company’s 60-day trailing VWAP on the first anniversary of the 3X Attainment Date and subject to certain terms and conditions specified in the applicable award agreement.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criteria and payout percentages for the PSUs described above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80" w:type="dxa"/>
            <w:vAlign w:val="bottom"/>
          </w:tcPr>
          <w:p>
            <w:pPr>
              <w:spacing w:after="0"/>
              <w:rPr>
                <w:sz w:val="19"/>
                <w:szCs w:val="19"/>
                <w:color w:val="auto"/>
              </w:rPr>
            </w:pPr>
          </w:p>
        </w:tc>
        <w:tc>
          <w:tcPr>
            <w:tcW w:w="7760" w:type="dxa"/>
            <w:vAlign w:val="bottom"/>
            <w:tcBorders>
              <w:bottom w:val="single" w:sz="8" w:color="00497F"/>
            </w:tcBorders>
            <w:gridSpan w:val="5"/>
          </w:tcPr>
          <w:p>
            <w:pPr>
              <w:jc w:val="center"/>
              <w:spacing w:after="0"/>
              <w:rPr>
                <w:sz w:val="20"/>
                <w:szCs w:val="20"/>
                <w:color w:val="auto"/>
              </w:rPr>
            </w:pPr>
            <w:r>
              <w:rPr>
                <w:rFonts w:ascii="Arial" w:cs="Arial" w:eastAsia="Arial" w:hAnsi="Arial"/>
                <w:sz w:val="16"/>
                <w:szCs w:val="16"/>
                <w:b w:val="1"/>
                <w:bCs w:val="1"/>
                <w:color w:val="auto"/>
              </w:rPr>
              <w:t>Single Goal PSUs - Comparable Store Sales</w:t>
            </w:r>
          </w:p>
        </w:tc>
      </w:tr>
      <w:tr>
        <w:trPr>
          <w:trHeight w:val="235"/>
        </w:trPr>
        <w:tc>
          <w:tcPr>
            <w:tcW w:w="3480" w:type="dxa"/>
            <w:vAlign w:val="bottom"/>
            <w:tcBorders>
              <w:bottom w:val="single" w:sz="8" w:color="003B71"/>
            </w:tcBorders>
          </w:tcPr>
          <w:p>
            <w:pPr>
              <w:spacing w:after="0"/>
              <w:rPr>
                <w:sz w:val="20"/>
                <w:szCs w:val="20"/>
                <w:color w:val="auto"/>
              </w:rPr>
            </w:pPr>
          </w:p>
        </w:tc>
        <w:tc>
          <w:tcPr>
            <w:tcW w:w="4420" w:type="dxa"/>
            <w:vAlign w:val="bottom"/>
            <w:tcBorders>
              <w:bottom w:val="single" w:sz="8" w:color="003B71"/>
            </w:tcBorders>
            <w:gridSpan w:val="2"/>
          </w:tcPr>
          <w:p>
            <w:pPr>
              <w:jc w:val="center"/>
              <w:ind w:right="559"/>
              <w:spacing w:after="0"/>
              <w:rPr>
                <w:sz w:val="20"/>
                <w:szCs w:val="20"/>
                <w:color w:val="auto"/>
              </w:rPr>
            </w:pPr>
            <w:r>
              <w:rPr>
                <w:rFonts w:ascii="Arial" w:cs="Arial" w:eastAsia="Arial" w:hAnsi="Arial"/>
                <w:sz w:val="16"/>
                <w:szCs w:val="16"/>
                <w:b w:val="1"/>
                <w:bCs w:val="1"/>
                <w:color w:val="auto"/>
              </w:rPr>
              <w:t>Comparable Store Sales % Increase</w:t>
            </w:r>
          </w:p>
        </w:tc>
        <w:tc>
          <w:tcPr>
            <w:tcW w:w="3340" w:type="dxa"/>
            <w:vAlign w:val="bottom"/>
            <w:tcBorders>
              <w:bottom w:val="single" w:sz="8" w:color="003B71"/>
            </w:tcBorders>
            <w:gridSpan w:val="3"/>
          </w:tcPr>
          <w:p>
            <w:pPr>
              <w:ind w:left="140"/>
              <w:spacing w:after="0"/>
              <w:rPr>
                <w:sz w:val="20"/>
                <w:szCs w:val="20"/>
                <w:color w:val="auto"/>
              </w:rPr>
            </w:pPr>
            <w:r>
              <w:rPr>
                <w:rFonts w:ascii="Arial" w:cs="Arial" w:eastAsia="Arial" w:hAnsi="Arial"/>
                <w:sz w:val="16"/>
                <w:szCs w:val="16"/>
                <w:b w:val="1"/>
                <w:bCs w:val="1"/>
                <w:color w:val="auto"/>
              </w:rPr>
              <w:t>Payout as a Percentage of Target</w:t>
            </w:r>
          </w:p>
        </w:tc>
      </w:tr>
      <w:tr>
        <w:trPr>
          <w:trHeight w:val="239"/>
        </w:trPr>
        <w:tc>
          <w:tcPr>
            <w:tcW w:w="348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Below Target</w:t>
            </w:r>
          </w:p>
        </w:tc>
        <w:tc>
          <w:tcPr>
            <w:tcW w:w="2640" w:type="dxa"/>
            <w:vAlign w:val="bottom"/>
            <w:shd w:val="clear" w:color="auto" w:fill="E5E5E5"/>
          </w:tcPr>
          <w:p>
            <w:pPr>
              <w:jc w:val="center"/>
              <w:ind w:left="1039"/>
              <w:spacing w:after="0"/>
              <w:rPr>
                <w:sz w:val="20"/>
                <w:szCs w:val="20"/>
                <w:color w:val="auto"/>
              </w:rPr>
            </w:pPr>
            <w:r>
              <w:rPr>
                <w:rFonts w:ascii="Arial" w:cs="Arial" w:eastAsia="Arial" w:hAnsi="Arial"/>
                <w:sz w:val="16"/>
                <w:szCs w:val="16"/>
                <w:color w:val="auto"/>
                <w:w w:val="99"/>
              </w:rPr>
              <w:t>Below 3.0%</w:t>
            </w:r>
          </w:p>
        </w:tc>
        <w:tc>
          <w:tcPr>
            <w:tcW w:w="1780" w:type="dxa"/>
            <w:vAlign w:val="bottom"/>
            <w:shd w:val="clear" w:color="auto" w:fill="E5E5E5"/>
          </w:tcPr>
          <w:p>
            <w:pPr>
              <w:spacing w:after="0"/>
              <w:rPr>
                <w:sz w:val="20"/>
                <w:szCs w:val="20"/>
                <w:color w:val="auto"/>
              </w:rPr>
            </w:pPr>
          </w:p>
        </w:tc>
        <w:tc>
          <w:tcPr>
            <w:tcW w:w="760" w:type="dxa"/>
            <w:vAlign w:val="bottom"/>
            <w:shd w:val="clear" w:color="auto" w:fill="E5E5E5"/>
          </w:tcPr>
          <w:p>
            <w:pPr>
              <w:spacing w:after="0"/>
              <w:rPr>
                <w:sz w:val="20"/>
                <w:szCs w:val="20"/>
                <w:color w:val="auto"/>
              </w:rPr>
            </w:pPr>
          </w:p>
        </w:tc>
        <w:tc>
          <w:tcPr>
            <w:tcW w:w="2560" w:type="dxa"/>
            <w:vAlign w:val="bottom"/>
            <w:shd w:val="clear" w:color="auto" w:fill="E5E5E5"/>
          </w:tcPr>
          <w:p>
            <w:pPr>
              <w:jc w:val="right"/>
              <w:ind w:right="1724"/>
              <w:spacing w:after="0"/>
              <w:rPr>
                <w:sz w:val="20"/>
                <w:szCs w:val="20"/>
                <w:color w:val="auto"/>
              </w:rPr>
            </w:pPr>
            <w:r>
              <w:rPr>
                <w:rFonts w:ascii="Arial" w:cs="Arial" w:eastAsia="Arial" w:hAnsi="Arial"/>
                <w:sz w:val="16"/>
                <w:szCs w:val="16"/>
                <w:color w:val="auto"/>
              </w:rPr>
              <w:t>0%</w:t>
            </w:r>
          </w:p>
        </w:tc>
        <w:tc>
          <w:tcPr>
            <w:tcW w:w="20" w:type="dxa"/>
            <w:vAlign w:val="bottom"/>
            <w:shd w:val="clear" w:color="auto" w:fill="E5E5E5"/>
          </w:tcPr>
          <w:p>
            <w:pPr>
              <w:spacing w:after="0"/>
              <w:rPr>
                <w:sz w:val="20"/>
                <w:szCs w:val="20"/>
                <w:color w:val="auto"/>
              </w:rPr>
            </w:pPr>
          </w:p>
        </w:tc>
      </w:tr>
      <w:tr>
        <w:trPr>
          <w:trHeight w:val="235"/>
        </w:trPr>
        <w:tc>
          <w:tcPr>
            <w:tcW w:w="3480" w:type="dxa"/>
            <w:vAlign w:val="bottom"/>
            <w:tcBorders>
              <w:bottom w:val="single" w:sz="8" w:color="003B71"/>
            </w:tcBorders>
          </w:tcPr>
          <w:p>
            <w:pPr>
              <w:jc w:val="center"/>
              <w:spacing w:after="0"/>
              <w:rPr>
                <w:sz w:val="20"/>
                <w:szCs w:val="20"/>
                <w:color w:val="auto"/>
              </w:rPr>
            </w:pPr>
            <w:r>
              <w:rPr>
                <w:rFonts w:ascii="Arial" w:cs="Arial" w:eastAsia="Arial" w:hAnsi="Arial"/>
                <w:sz w:val="16"/>
                <w:szCs w:val="16"/>
                <w:color w:val="auto"/>
                <w:w w:val="99"/>
              </w:rPr>
              <w:t>Target</w:t>
            </w:r>
          </w:p>
        </w:tc>
        <w:tc>
          <w:tcPr>
            <w:tcW w:w="2640" w:type="dxa"/>
            <w:vAlign w:val="bottom"/>
            <w:tcBorders>
              <w:bottom w:val="single" w:sz="8" w:color="003B71"/>
            </w:tcBorders>
          </w:tcPr>
          <w:p>
            <w:pPr>
              <w:jc w:val="center"/>
              <w:ind w:left="1039"/>
              <w:spacing w:after="0"/>
              <w:rPr>
                <w:sz w:val="20"/>
                <w:szCs w:val="20"/>
                <w:color w:val="auto"/>
              </w:rPr>
            </w:pPr>
            <w:r>
              <w:rPr>
                <w:rFonts w:ascii="Arial" w:cs="Arial" w:eastAsia="Arial" w:hAnsi="Arial"/>
                <w:sz w:val="16"/>
                <w:szCs w:val="16"/>
                <w:color w:val="auto"/>
                <w:w w:val="98"/>
              </w:rPr>
              <w:t>3.0%</w:t>
            </w:r>
          </w:p>
        </w:tc>
        <w:tc>
          <w:tcPr>
            <w:tcW w:w="1780" w:type="dxa"/>
            <w:vAlign w:val="bottom"/>
            <w:tcBorders>
              <w:bottom w:val="single" w:sz="8" w:color="003B71"/>
            </w:tcBorders>
          </w:tcPr>
          <w:p>
            <w:pPr>
              <w:spacing w:after="0"/>
              <w:rPr>
                <w:sz w:val="20"/>
                <w:szCs w:val="20"/>
                <w:color w:val="auto"/>
              </w:rPr>
            </w:pPr>
          </w:p>
        </w:tc>
        <w:tc>
          <w:tcPr>
            <w:tcW w:w="760" w:type="dxa"/>
            <w:vAlign w:val="bottom"/>
            <w:tcBorders>
              <w:bottom w:val="single" w:sz="8" w:color="003B71"/>
            </w:tcBorders>
          </w:tcPr>
          <w:p>
            <w:pPr>
              <w:spacing w:after="0"/>
              <w:rPr>
                <w:sz w:val="20"/>
                <w:szCs w:val="20"/>
                <w:color w:val="auto"/>
              </w:rPr>
            </w:pPr>
          </w:p>
        </w:tc>
        <w:tc>
          <w:tcPr>
            <w:tcW w:w="2560" w:type="dxa"/>
            <w:vAlign w:val="bottom"/>
            <w:tcBorders>
              <w:bottom w:val="single" w:sz="8" w:color="003B71"/>
            </w:tcBorders>
          </w:tcPr>
          <w:p>
            <w:pPr>
              <w:jc w:val="right"/>
              <w:ind w:right="1624"/>
              <w:spacing w:after="0"/>
              <w:rPr>
                <w:sz w:val="20"/>
                <w:szCs w:val="20"/>
                <w:color w:val="auto"/>
              </w:rPr>
            </w:pPr>
            <w:r>
              <w:rPr>
                <w:rFonts w:ascii="Arial" w:cs="Arial" w:eastAsia="Arial" w:hAnsi="Arial"/>
                <w:sz w:val="16"/>
                <w:szCs w:val="16"/>
                <w:color w:val="auto"/>
              </w:rPr>
              <w:t>100%</w:t>
            </w:r>
          </w:p>
        </w:tc>
        <w:tc>
          <w:tcPr>
            <w:tcW w:w="20" w:type="dxa"/>
            <w:vAlign w:val="bottom"/>
            <w:tcBorders>
              <w:bottom w:val="single" w:sz="8" w:color="003B71"/>
            </w:tcBorders>
          </w:tcPr>
          <w:p>
            <w:pPr>
              <w:spacing w:after="0"/>
              <w:rPr>
                <w:sz w:val="20"/>
                <w:szCs w:val="20"/>
                <w:color w:val="auto"/>
              </w:rPr>
            </w:pPr>
          </w:p>
        </w:tc>
      </w:tr>
      <w:tr>
        <w:trPr>
          <w:trHeight w:val="467"/>
        </w:trPr>
        <w:tc>
          <w:tcPr>
            <w:tcW w:w="3480" w:type="dxa"/>
            <w:vAlign w:val="bottom"/>
          </w:tcPr>
          <w:p>
            <w:pPr>
              <w:spacing w:after="0"/>
              <w:rPr>
                <w:sz w:val="24"/>
                <w:szCs w:val="24"/>
                <w:color w:val="auto"/>
              </w:rPr>
            </w:pPr>
          </w:p>
        </w:tc>
        <w:tc>
          <w:tcPr>
            <w:tcW w:w="7740" w:type="dxa"/>
            <w:vAlign w:val="bottom"/>
            <w:tcBorders>
              <w:bottom w:val="single" w:sz="8" w:color="00497F"/>
            </w:tcBorders>
            <w:gridSpan w:val="4"/>
          </w:tcPr>
          <w:p>
            <w:pPr>
              <w:jc w:val="center"/>
              <w:spacing w:after="0"/>
              <w:rPr>
                <w:sz w:val="20"/>
                <w:szCs w:val="20"/>
                <w:color w:val="auto"/>
              </w:rPr>
            </w:pPr>
            <w:r>
              <w:rPr>
                <w:rFonts w:ascii="Arial" w:cs="Arial" w:eastAsia="Arial" w:hAnsi="Arial"/>
                <w:sz w:val="16"/>
                <w:szCs w:val="16"/>
                <w:b w:val="1"/>
                <w:bCs w:val="1"/>
                <w:color w:val="auto"/>
              </w:rPr>
              <w:t>Multiple Goal PSUs - Adjusted EBITDA and Comparable Store Sales</w:t>
            </w:r>
          </w:p>
        </w:tc>
        <w:tc>
          <w:tcPr>
            <w:tcW w:w="20" w:type="dxa"/>
            <w:vAlign w:val="bottom"/>
          </w:tcPr>
          <w:p>
            <w:pPr>
              <w:spacing w:after="0"/>
              <w:rPr>
                <w:sz w:val="24"/>
                <w:szCs w:val="24"/>
                <w:color w:val="auto"/>
              </w:rPr>
            </w:pPr>
          </w:p>
        </w:tc>
      </w:tr>
      <w:tr>
        <w:trPr>
          <w:trHeight w:val="198"/>
        </w:trPr>
        <w:tc>
          <w:tcPr>
            <w:tcW w:w="34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54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Comparable Store Sales %</w:t>
            </w:r>
          </w:p>
        </w:tc>
        <w:tc>
          <w:tcPr>
            <w:tcW w:w="25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Payout as a Percentage of</w:t>
            </w:r>
          </w:p>
        </w:tc>
      </w:tr>
      <w:tr>
        <w:trPr>
          <w:trHeight w:val="243"/>
        </w:trPr>
        <w:tc>
          <w:tcPr>
            <w:tcW w:w="3480" w:type="dxa"/>
            <w:vAlign w:val="bottom"/>
          </w:tcPr>
          <w:p>
            <w:pPr>
              <w:spacing w:after="0"/>
              <w:rPr>
                <w:sz w:val="21"/>
                <w:szCs w:val="21"/>
                <w:color w:val="auto"/>
              </w:rPr>
            </w:pPr>
          </w:p>
        </w:tc>
        <w:tc>
          <w:tcPr>
            <w:tcW w:w="2640" w:type="dxa"/>
            <w:vAlign w:val="bottom"/>
          </w:tcPr>
          <w:p>
            <w:pPr>
              <w:jc w:val="center"/>
              <w:ind w:right="39"/>
              <w:spacing w:after="0"/>
              <w:rPr>
                <w:sz w:val="20"/>
                <w:szCs w:val="20"/>
                <w:color w:val="auto"/>
              </w:rPr>
            </w:pPr>
            <w:r>
              <w:rPr>
                <w:rFonts w:ascii="Arial" w:cs="Arial" w:eastAsia="Arial" w:hAnsi="Arial"/>
                <w:sz w:val="16"/>
                <w:szCs w:val="16"/>
                <w:b w:val="1"/>
                <w:bCs w:val="1"/>
                <w:color w:val="auto"/>
              </w:rPr>
              <w:t>Adjusted EBITDA Performance</w:t>
            </w:r>
          </w:p>
        </w:tc>
        <w:tc>
          <w:tcPr>
            <w:tcW w:w="1780" w:type="dxa"/>
            <w:vAlign w:val="bottom"/>
          </w:tcPr>
          <w:p>
            <w:pPr>
              <w:jc w:val="center"/>
              <w:ind w:left="559"/>
              <w:spacing w:after="0"/>
              <w:rPr>
                <w:sz w:val="20"/>
                <w:szCs w:val="20"/>
                <w:color w:val="auto"/>
              </w:rPr>
            </w:pPr>
            <w:r>
              <w:rPr>
                <w:rFonts w:ascii="Arial" w:cs="Arial" w:eastAsia="Arial" w:hAnsi="Arial"/>
                <w:sz w:val="16"/>
                <w:szCs w:val="16"/>
                <w:b w:val="1"/>
                <w:bCs w:val="1"/>
                <w:color w:val="auto"/>
              </w:rPr>
              <w:t>Increase</w:t>
            </w:r>
          </w:p>
        </w:tc>
        <w:tc>
          <w:tcPr>
            <w:tcW w:w="760" w:type="dxa"/>
            <w:vAlign w:val="bottom"/>
          </w:tcPr>
          <w:p>
            <w:pPr>
              <w:spacing w:after="0"/>
              <w:rPr>
                <w:sz w:val="21"/>
                <w:szCs w:val="21"/>
                <w:color w:val="auto"/>
              </w:rPr>
            </w:pPr>
          </w:p>
        </w:tc>
        <w:tc>
          <w:tcPr>
            <w:tcW w:w="2580" w:type="dxa"/>
            <w:vAlign w:val="bottom"/>
            <w:gridSpan w:val="2"/>
          </w:tcPr>
          <w:p>
            <w:pPr>
              <w:jc w:val="center"/>
              <w:spacing w:after="0" w:line="242" w:lineRule="exact"/>
              <w:rPr>
                <w:sz w:val="20"/>
                <w:szCs w:val="20"/>
                <w:color w:val="auto"/>
              </w:rPr>
            </w:pPr>
            <w:r>
              <w:rPr>
                <w:rFonts w:ascii="Arial" w:cs="Arial" w:eastAsia="Arial" w:hAnsi="Arial"/>
                <w:sz w:val="28"/>
                <w:szCs w:val="28"/>
                <w:b w:val="1"/>
                <w:bCs w:val="1"/>
                <w:color w:val="auto"/>
                <w:w w:val="90"/>
                <w:vertAlign w:val="subscript"/>
              </w:rPr>
              <w:t>Target</w:t>
            </w:r>
            <w:r>
              <w:rPr>
                <w:rFonts w:ascii="Arial" w:cs="Arial" w:eastAsia="Arial" w:hAnsi="Arial"/>
                <w:sz w:val="10"/>
                <w:szCs w:val="10"/>
                <w:b w:val="1"/>
                <w:bCs w:val="1"/>
                <w:color w:val="auto"/>
                <w:w w:val="90"/>
              </w:rPr>
              <w:t xml:space="preserve"> (1)(2)</w:t>
            </w:r>
          </w:p>
        </w:tc>
      </w:tr>
      <w:tr>
        <w:trPr>
          <w:trHeight w:val="235"/>
        </w:trPr>
        <w:tc>
          <w:tcPr>
            <w:tcW w:w="3480" w:type="dxa"/>
            <w:vAlign w:val="bottom"/>
            <w:tcBorders>
              <w:top w:val="single" w:sz="8" w:color="003B71"/>
            </w:tcBorders>
            <w:shd w:val="clear" w:color="auto" w:fill="E5E5E5"/>
          </w:tcPr>
          <w:p>
            <w:pPr>
              <w:jc w:val="center"/>
              <w:spacing w:after="0"/>
              <w:rPr>
                <w:sz w:val="20"/>
                <w:szCs w:val="20"/>
                <w:color w:val="auto"/>
              </w:rPr>
            </w:pPr>
            <w:r>
              <w:rPr>
                <w:rFonts w:ascii="Arial" w:cs="Arial" w:eastAsia="Arial" w:hAnsi="Arial"/>
                <w:sz w:val="16"/>
                <w:szCs w:val="16"/>
                <w:color w:val="auto"/>
              </w:rPr>
              <w:t>Below Threshold</w:t>
            </w:r>
          </w:p>
        </w:tc>
        <w:tc>
          <w:tcPr>
            <w:tcW w:w="2640" w:type="dxa"/>
            <w:vAlign w:val="bottom"/>
            <w:tcBorders>
              <w:top w:val="single" w:sz="8" w:color="003B71"/>
            </w:tcBorders>
            <w:shd w:val="clear" w:color="auto" w:fill="E5E5E5"/>
          </w:tcPr>
          <w:p>
            <w:pPr>
              <w:jc w:val="center"/>
              <w:ind w:right="59"/>
              <w:spacing w:after="0"/>
              <w:rPr>
                <w:sz w:val="20"/>
                <w:szCs w:val="20"/>
                <w:color w:val="auto"/>
              </w:rPr>
            </w:pPr>
            <w:r>
              <w:rPr>
                <w:rFonts w:ascii="Arial" w:cs="Arial" w:eastAsia="Arial" w:hAnsi="Arial"/>
                <w:sz w:val="16"/>
                <w:szCs w:val="16"/>
                <w:color w:val="auto"/>
              </w:rPr>
              <w:t>Below $600 million</w:t>
            </w:r>
          </w:p>
        </w:tc>
        <w:tc>
          <w:tcPr>
            <w:tcW w:w="1780" w:type="dxa"/>
            <w:vAlign w:val="bottom"/>
            <w:tcBorders>
              <w:top w:val="single" w:sz="8" w:color="003B71"/>
            </w:tcBorders>
            <w:shd w:val="clear" w:color="auto" w:fill="E5E5E5"/>
          </w:tcPr>
          <w:p>
            <w:pPr>
              <w:jc w:val="center"/>
              <w:ind w:left="539"/>
              <w:spacing w:after="0"/>
              <w:rPr>
                <w:sz w:val="20"/>
                <w:szCs w:val="20"/>
                <w:color w:val="auto"/>
              </w:rPr>
            </w:pPr>
            <w:r>
              <w:rPr>
                <w:rFonts w:ascii="Arial" w:cs="Arial" w:eastAsia="Arial" w:hAnsi="Arial"/>
                <w:sz w:val="16"/>
                <w:szCs w:val="16"/>
                <w:color w:val="auto"/>
                <w:w w:val="99"/>
              </w:rPr>
              <w:t>Below 3.0%</w:t>
            </w:r>
          </w:p>
        </w:tc>
        <w:tc>
          <w:tcPr>
            <w:tcW w:w="760" w:type="dxa"/>
            <w:vAlign w:val="bottom"/>
            <w:tcBorders>
              <w:top w:val="single" w:sz="8" w:color="003B71"/>
            </w:tcBorders>
            <w:shd w:val="clear" w:color="auto" w:fill="E5E5E5"/>
          </w:tcPr>
          <w:p>
            <w:pPr>
              <w:spacing w:after="0"/>
              <w:rPr>
                <w:sz w:val="20"/>
                <w:szCs w:val="20"/>
                <w:color w:val="auto"/>
              </w:rPr>
            </w:pPr>
          </w:p>
        </w:tc>
        <w:tc>
          <w:tcPr>
            <w:tcW w:w="2560" w:type="dxa"/>
            <w:vAlign w:val="bottom"/>
            <w:tcBorders>
              <w:top w:val="single" w:sz="8" w:color="003B71"/>
            </w:tcBorders>
            <w:shd w:val="clear" w:color="auto" w:fill="E5E5E5"/>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20"/>
                <w:szCs w:val="20"/>
                <w:color w:val="auto"/>
              </w:rPr>
            </w:pPr>
          </w:p>
        </w:tc>
      </w:tr>
      <w:tr>
        <w:trPr>
          <w:trHeight w:val="234"/>
        </w:trPr>
        <w:tc>
          <w:tcPr>
            <w:tcW w:w="3480" w:type="dxa"/>
            <w:vAlign w:val="bottom"/>
          </w:tcPr>
          <w:p>
            <w:pPr>
              <w:jc w:val="center"/>
              <w:spacing w:after="0"/>
              <w:rPr>
                <w:sz w:val="20"/>
                <w:szCs w:val="20"/>
                <w:color w:val="auto"/>
              </w:rPr>
            </w:pPr>
            <w:r>
              <w:rPr>
                <w:rFonts w:ascii="Arial" w:cs="Arial" w:eastAsia="Arial" w:hAnsi="Arial"/>
                <w:sz w:val="16"/>
                <w:szCs w:val="16"/>
                <w:color w:val="auto"/>
              </w:rPr>
              <w:t>Threshold</w:t>
            </w:r>
          </w:p>
        </w:tc>
        <w:tc>
          <w:tcPr>
            <w:tcW w:w="2640" w:type="dxa"/>
            <w:vAlign w:val="bottom"/>
          </w:tcPr>
          <w:p>
            <w:pPr>
              <w:jc w:val="center"/>
              <w:ind w:right="59"/>
              <w:spacing w:after="0"/>
              <w:rPr>
                <w:sz w:val="20"/>
                <w:szCs w:val="20"/>
                <w:color w:val="auto"/>
              </w:rPr>
            </w:pPr>
            <w:r>
              <w:rPr>
                <w:rFonts w:ascii="Arial" w:cs="Arial" w:eastAsia="Arial" w:hAnsi="Arial"/>
                <w:sz w:val="16"/>
                <w:szCs w:val="16"/>
                <w:color w:val="auto"/>
              </w:rPr>
              <w:t>$600 million</w:t>
            </w:r>
          </w:p>
        </w:tc>
        <w:tc>
          <w:tcPr>
            <w:tcW w:w="1780" w:type="dxa"/>
            <w:vAlign w:val="bottom"/>
          </w:tcPr>
          <w:p>
            <w:pPr>
              <w:jc w:val="center"/>
              <w:ind w:left="539"/>
              <w:spacing w:after="0"/>
              <w:rPr>
                <w:sz w:val="20"/>
                <w:szCs w:val="20"/>
                <w:color w:val="auto"/>
              </w:rPr>
            </w:pPr>
            <w:r>
              <w:rPr>
                <w:rFonts w:ascii="Arial" w:cs="Arial" w:eastAsia="Arial" w:hAnsi="Arial"/>
                <w:sz w:val="16"/>
                <w:szCs w:val="16"/>
                <w:color w:val="auto"/>
                <w:w w:val="98"/>
              </w:rPr>
              <w:t>3.0%</w:t>
            </w:r>
          </w:p>
        </w:tc>
        <w:tc>
          <w:tcPr>
            <w:tcW w:w="76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20" w:type="dxa"/>
            <w:vAlign w:val="bottom"/>
          </w:tcPr>
          <w:p>
            <w:pPr>
              <w:spacing w:after="0"/>
              <w:rPr>
                <w:sz w:val="20"/>
                <w:szCs w:val="20"/>
                <w:color w:val="auto"/>
              </w:rPr>
            </w:pPr>
          </w:p>
        </w:tc>
      </w:tr>
      <w:tr>
        <w:trPr>
          <w:trHeight w:val="243"/>
        </w:trPr>
        <w:tc>
          <w:tcPr>
            <w:tcW w:w="3480" w:type="dxa"/>
            <w:vAlign w:val="bottom"/>
            <w:tcBorders>
              <w:bottom w:val="single" w:sz="8" w:color="003B71"/>
            </w:tcBorders>
            <w:shd w:val="clear" w:color="auto" w:fill="E5E5E5"/>
          </w:tcPr>
          <w:p>
            <w:pPr>
              <w:jc w:val="center"/>
              <w:spacing w:after="0"/>
              <w:rPr>
                <w:sz w:val="20"/>
                <w:szCs w:val="20"/>
                <w:color w:val="auto"/>
              </w:rPr>
            </w:pPr>
            <w:r>
              <w:rPr>
                <w:rFonts w:ascii="Arial" w:cs="Arial" w:eastAsia="Arial" w:hAnsi="Arial"/>
                <w:sz w:val="16"/>
                <w:szCs w:val="16"/>
                <w:color w:val="auto"/>
              </w:rPr>
              <w:t>Maximum</w:t>
            </w:r>
          </w:p>
        </w:tc>
        <w:tc>
          <w:tcPr>
            <w:tcW w:w="2640" w:type="dxa"/>
            <w:vAlign w:val="bottom"/>
            <w:tcBorders>
              <w:bottom w:val="single" w:sz="8" w:color="003B71"/>
            </w:tcBorders>
            <w:shd w:val="clear" w:color="auto" w:fill="E5E5E5"/>
          </w:tcPr>
          <w:p>
            <w:pPr>
              <w:jc w:val="center"/>
              <w:ind w:right="59"/>
              <w:spacing w:after="0"/>
              <w:rPr>
                <w:sz w:val="20"/>
                <w:szCs w:val="20"/>
                <w:color w:val="auto"/>
              </w:rPr>
            </w:pPr>
            <w:r>
              <w:rPr>
                <w:rFonts w:ascii="Arial" w:cs="Arial" w:eastAsia="Arial" w:hAnsi="Arial"/>
                <w:sz w:val="16"/>
                <w:szCs w:val="16"/>
                <w:color w:val="auto"/>
              </w:rPr>
              <w:t>$675 million</w:t>
            </w:r>
          </w:p>
        </w:tc>
        <w:tc>
          <w:tcPr>
            <w:tcW w:w="1780" w:type="dxa"/>
            <w:vAlign w:val="bottom"/>
            <w:tcBorders>
              <w:bottom w:val="single" w:sz="8" w:color="003B71"/>
            </w:tcBorders>
            <w:shd w:val="clear" w:color="auto" w:fill="E5E5E5"/>
          </w:tcPr>
          <w:p>
            <w:pPr>
              <w:jc w:val="center"/>
              <w:ind w:left="539"/>
              <w:spacing w:after="0"/>
              <w:rPr>
                <w:sz w:val="20"/>
                <w:szCs w:val="20"/>
                <w:color w:val="auto"/>
              </w:rPr>
            </w:pPr>
            <w:r>
              <w:rPr>
                <w:rFonts w:ascii="Arial" w:cs="Arial" w:eastAsia="Arial" w:hAnsi="Arial"/>
                <w:sz w:val="16"/>
                <w:szCs w:val="16"/>
                <w:color w:val="auto"/>
                <w:w w:val="98"/>
              </w:rPr>
              <w:t>5.0%</w:t>
            </w:r>
          </w:p>
        </w:tc>
        <w:tc>
          <w:tcPr>
            <w:tcW w:w="760" w:type="dxa"/>
            <w:vAlign w:val="bottom"/>
            <w:tcBorders>
              <w:bottom w:val="single" w:sz="8" w:color="003B71"/>
            </w:tcBorders>
            <w:shd w:val="clear" w:color="auto" w:fill="E5E5E5"/>
          </w:tcPr>
          <w:p>
            <w:pPr>
              <w:spacing w:after="0"/>
              <w:rPr>
                <w:sz w:val="21"/>
                <w:szCs w:val="21"/>
                <w:color w:val="auto"/>
              </w:rPr>
            </w:pPr>
          </w:p>
        </w:tc>
        <w:tc>
          <w:tcPr>
            <w:tcW w:w="2560" w:type="dxa"/>
            <w:vAlign w:val="bottom"/>
            <w:tcBorders>
              <w:bottom w:val="single" w:sz="8" w:color="003B71"/>
            </w:tcBorders>
            <w:shd w:val="clear" w:color="auto" w:fill="E5E5E5"/>
          </w:tcPr>
          <w:p>
            <w:pPr>
              <w:jc w:val="center"/>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1"/>
                <w:szCs w:val="21"/>
                <w:color w:val="auto"/>
              </w:rPr>
            </w:pPr>
          </w:p>
        </w:tc>
      </w:tr>
    </w:tbl>
    <w:p>
      <w:pPr>
        <w:spacing w:after="0" w:line="120" w:lineRule="exact"/>
        <w:rPr>
          <w:sz w:val="20"/>
          <w:szCs w:val="20"/>
          <w:color w:val="auto"/>
        </w:rPr>
      </w:pPr>
    </w:p>
    <w:p>
      <w:pPr>
        <w:ind w:left="420" w:hanging="413"/>
        <w:spacing w:after="0" w:line="228" w:lineRule="auto"/>
        <w:tabs>
          <w:tab w:leader="none" w:pos="413"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Straight-line interpolation shall apply between performance levels, it being understood that Adjusted EBITDA and Comparable Store Sales growth will be equally weighted for such purposes.</w:t>
      </w:r>
    </w:p>
    <w:p>
      <w:pPr>
        <w:spacing w:after="0" w:line="1" w:lineRule="exact"/>
        <w:rPr>
          <w:rFonts w:ascii="Arial" w:cs="Arial" w:eastAsia="Arial" w:hAnsi="Arial"/>
          <w:sz w:val="21"/>
          <w:szCs w:val="21"/>
          <w:color w:val="auto"/>
          <w:vertAlign w:val="superscript"/>
        </w:rPr>
      </w:pPr>
    </w:p>
    <w:p>
      <w:pPr>
        <w:jc w:val="both"/>
        <w:ind w:left="420" w:hanging="413"/>
        <w:spacing w:after="0" w:line="234" w:lineRule="auto"/>
        <w:tabs>
          <w:tab w:leader="none" w:pos="413"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If the Company’s TSR is equal to or greater than the 75th percentile of a peer group specified in the award agreement, the payout as a percentage of target will be multiplied by 125%. If the Company’s TSR is less than the 25th percentile of that peer group, the payout as a percentage of target will be multiplied by 75%. If the Company’s TSR is less than the 75th percentile of that peer group and equal to or greater than the 25th percentile of that peer group, the payout as a percentage of target will be multiplied by 100%.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Grant Practices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we do not have a formal policy regarding the timing of equity awards in relation to our disclosure of material nonpublic information, as a practice, we do not time the granting of equity awards with any favorable or unfavorable news released by the Company. Our Compensation Committee has generally approved annual equity awards in the first quarter of the new fiscal year, which allows the Committee to review and consider the Company’s financial results from the prior fiscal year when making grants. Other than grants made in connection with hiring, promotions and retention, equity awards are generally granted to NEOs at the same time that equity awards are granted to all other employees who are eligible for such awards. Proximity of any awards to an earnings announcement or other market events is coincidental. In the event material nonpublic information were to become known to the Compensation Committee before the grant of an equity award, the Compensation Committee would consider the information and use its business judgment to determine whether to delay the grant to avoid any appearance of impropriety.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Benefits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Retirement Benefits</w:t>
      </w:r>
      <w:r>
        <w:rPr>
          <w:rFonts w:ascii="Arial" w:cs="Arial" w:eastAsia="Arial" w:hAnsi="Arial"/>
          <w:sz w:val="18"/>
          <w:szCs w:val="18"/>
          <w:color w:val="auto"/>
        </w:rPr>
        <w:t>. Our employees, including our NEOs, are eligible to participate in the Company's 401(k) retirement plan on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basis as other employees. However, tax regulations impose a limit on the amount of compensation that may be deferred for purposes of retirement savings. As a result, we established the Select Executive Retirement Plan (the “SERP”). See </w:t>
      </w:r>
      <w:r>
        <w:rPr>
          <w:rFonts w:ascii="Arial" w:cs="Arial" w:eastAsia="Arial" w:hAnsi="Arial"/>
          <w:sz w:val="18"/>
          <w:szCs w:val="18"/>
          <w:i w:val="1"/>
          <w:iCs w:val="1"/>
          <w:color w:val="0000FF"/>
        </w:rPr>
        <w:t>2025 Nonqualified Deferred</w:t>
      </w:r>
      <w:r>
        <w:rPr>
          <w:rFonts w:ascii="Arial" w:cs="Arial" w:eastAsia="Arial" w:hAnsi="Arial"/>
          <w:sz w:val="18"/>
          <w:szCs w:val="18"/>
          <w:color w:val="auto"/>
        </w:rPr>
        <w:t xml:space="preserve"> </w:t>
      </w:r>
      <w:r>
        <w:rPr>
          <w:rFonts w:ascii="Arial" w:cs="Arial" w:eastAsia="Arial" w:hAnsi="Arial"/>
          <w:sz w:val="18"/>
          <w:szCs w:val="18"/>
          <w:i w:val="1"/>
          <w:iCs w:val="1"/>
          <w:color w:val="0000FF"/>
        </w:rPr>
        <w:t xml:space="preserve">Compensation </w:t>
      </w:r>
      <w:r>
        <w:rPr>
          <w:rFonts w:ascii="Arial" w:cs="Arial" w:eastAsia="Arial" w:hAnsi="Arial"/>
          <w:sz w:val="18"/>
          <w:szCs w:val="18"/>
          <w:color w:val="000000"/>
        </w:rPr>
        <w:t>for a discussion of the SERP.</w:t>
      </w:r>
    </w:p>
    <w:p>
      <w:pPr>
        <w:spacing w:after="0" w:line="67"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Other Benefits</w:t>
      </w:r>
      <w:r>
        <w:rPr>
          <w:rFonts w:ascii="Arial" w:cs="Arial" w:eastAsia="Arial" w:hAnsi="Arial"/>
          <w:sz w:val="18"/>
          <w:szCs w:val="18"/>
          <w:color w:val="auto"/>
        </w:rPr>
        <w:t>. The Company eliminated cash perquisite allowances to its NEOs in fiscal 2022. We offer our NEOs and other executives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annual physical. See the </w:t>
      </w:r>
      <w:r>
        <w:rPr>
          <w:rFonts w:ascii="Arial" w:cs="Arial" w:eastAsia="Arial" w:hAnsi="Arial"/>
          <w:sz w:val="18"/>
          <w:szCs w:val="18"/>
          <w:i w:val="1"/>
          <w:iCs w:val="1"/>
          <w:color w:val="0000FF"/>
        </w:rPr>
        <w:t>2025 Summary Compensation Table</w:t>
      </w:r>
      <w:r>
        <w:rPr>
          <w:rFonts w:ascii="Arial" w:cs="Arial" w:eastAsia="Arial" w:hAnsi="Arial"/>
          <w:sz w:val="18"/>
          <w:szCs w:val="18"/>
          <w:color w:val="auto"/>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71329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35</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1" w:name="page42"/>
    <w:bookmarkEnd w:id="41"/>
    <w:p>
      <w:pPr>
        <w:jc w:val="both"/>
        <w:spacing w:after="0" w:line="267" w:lineRule="auto"/>
        <w:rPr>
          <w:sz w:val="20"/>
          <w:szCs w:val="20"/>
          <w:color w:val="auto"/>
        </w:rPr>
      </w:pPr>
      <w:r>
        <w:rPr>
          <w:rFonts w:ascii="Arial" w:cs="Arial" w:eastAsia="Arial" w:hAnsi="Arial"/>
          <w:sz w:val="18"/>
          <w:szCs w:val="18"/>
          <w:i w:val="1"/>
          <w:iCs w:val="1"/>
          <w:color w:val="auto"/>
        </w:rPr>
        <w:t>Severance Benefits</w:t>
      </w:r>
      <w:r>
        <w:rPr>
          <w:rFonts w:ascii="Arial" w:cs="Arial" w:eastAsia="Arial" w:hAnsi="Arial"/>
          <w:sz w:val="18"/>
          <w:szCs w:val="18"/>
          <w:color w:val="auto"/>
        </w:rPr>
        <w:t>. We have entered into employment agreements with certain of our NEOs. These agreements provide such NEOs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certain severance benefits in the event of involuntary termination or adverse job changes and are key to attracting and retaining key executives. See </w:t>
      </w:r>
      <w:r>
        <w:rPr>
          <w:rFonts w:ascii="Arial" w:cs="Arial" w:eastAsia="Arial" w:hAnsi="Arial"/>
          <w:sz w:val="18"/>
          <w:szCs w:val="18"/>
          <w:i w:val="1"/>
          <w:iCs w:val="1"/>
          <w:u w:val="single" w:color="auto"/>
          <w:color w:val="0000FF"/>
        </w:rPr>
        <w:t>Employment Agreements and Other Arrangements</w:t>
      </w:r>
      <w:r>
        <w:rPr>
          <w:rFonts w:ascii="Arial" w:cs="Arial" w:eastAsia="Arial" w:hAnsi="Arial"/>
          <w:sz w:val="18"/>
          <w:szCs w:val="18"/>
          <w:color w:val="auto"/>
        </w:rPr>
        <w:t xml:space="preserve">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Deductibility of Executive Compensation</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consider objectives such as attracting, retaining and motivating leaders when we design our executive compensation programs. U.S. tax reform, which became effective in 2017, expanded the types of compensation included in determining tax deduction limits. Consequently, tax deductibility will continue to have a lessened impact on our program design for our NEOs. For federal income taxes, compensation is an expense that is fully tax-deductible for almost all our other U.S. employees.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CEO Pay Ratio</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Compensation Committee reviewed a comparison of our Chief Executive Officer’s annual total compensation in fiscal 2025 to that of all other Company employees for the same period. Our calculations included employees who were active as of November 6, 2025. As Canadian employees account for less than 4% of our total employee population, we excluded Canadian employees from the median calculation. Our total employee population was 23,650, and our total employee population without our Canadian employees was 23,382. The median employee was identified using all earnings for fiscal 2025, as reported in our payroll system. Compensation was annualized for all employees, including Mr. Sheehan, who was serving as our Interim Chief Executive Officer as of December 2024 through July 2025, and Mr. Lal as of July 2025, other than seasonal or temporary employees, based on the number of days employed during fiscal 2025. Payments which were not expected to be repeated throughout the year were not annualized. As he served both as Interim Chief Executive Officer and as a board member during fiscal 2025, Mr. Sheehan had fiscal 2025 annual total compensation of $7,773,967. Due in large part to his one-time grants in connection with his appointment as Chief Executive Officer, Mr. Lal had fiscal 2025 annual total compensation of $14,502,745, as reflected in the </w:t>
      </w:r>
      <w:r>
        <w:rPr>
          <w:rFonts w:ascii="Arial" w:cs="Arial" w:eastAsia="Arial" w:hAnsi="Arial"/>
          <w:sz w:val="18"/>
          <w:szCs w:val="18"/>
          <w:i w:val="1"/>
          <w:iCs w:val="1"/>
          <w:color w:val="auto"/>
        </w:rPr>
        <w:t>2025 Summary Compensation Table</w:t>
      </w:r>
      <w:r>
        <w:rPr>
          <w:rFonts w:ascii="Arial" w:cs="Arial" w:eastAsia="Arial" w:hAnsi="Arial"/>
          <w:sz w:val="18"/>
          <w:szCs w:val="18"/>
          <w:color w:val="auto"/>
        </w:rPr>
        <w:t xml:space="preserve"> included in this Proxy Statement. Our median employee’s annual total compensation for fiscal 2025 was $23,238 (based on the same methodology used in calculating total compensation as reported in the </w:t>
      </w:r>
      <w:r>
        <w:rPr>
          <w:rFonts w:ascii="Arial" w:cs="Arial" w:eastAsia="Arial" w:hAnsi="Arial"/>
          <w:sz w:val="18"/>
          <w:szCs w:val="18"/>
          <w:i w:val="1"/>
          <w:iCs w:val="1"/>
          <w:color w:val="auto"/>
        </w:rPr>
        <w:t>2025 Summary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Table</w:t>
      </w:r>
      <w:r>
        <w:rPr>
          <w:rFonts w:ascii="Arial" w:cs="Arial" w:eastAsia="Arial" w:hAnsi="Arial"/>
          <w:sz w:val="18"/>
          <w:szCs w:val="18"/>
          <w:color w:val="auto"/>
        </w:rPr>
        <w:t>). Mr. Lal’s annual total compensation was approximately 624.1 times that of our median employee, and Mr. Sheehan’s annual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was approximately 334.5 times that of our median employee.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144065"/>
        </w:rPr>
        <w:t>Stock Ownership Guidelines for Officers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stock ownership guidelines were established to further align the interests of our Chief Executive Officer, other NEOs and senior executive officers with shareholders and encourage each such executive officer to maintain a long-term equity stake in the Company. The guidelines provide that each such executive officer must hold a multiple of his or her annual base salary in the Company’s common stock as outlined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60" w:type="dxa"/>
            <w:vAlign w:val="bottom"/>
          </w:tcPr>
          <w:p>
            <w:pPr>
              <w:spacing w:after="0"/>
              <w:rPr>
                <w:sz w:val="15"/>
                <w:szCs w:val="15"/>
                <w:color w:val="auto"/>
              </w:rPr>
            </w:pPr>
          </w:p>
        </w:tc>
        <w:tc>
          <w:tcPr>
            <w:tcW w:w="4480" w:type="dxa"/>
            <w:vAlign w:val="bottom"/>
          </w:tcPr>
          <w:p>
            <w:pPr>
              <w:jc w:val="center"/>
              <w:ind w:left="2905"/>
              <w:spacing w:after="0"/>
              <w:rPr>
                <w:sz w:val="20"/>
                <w:szCs w:val="20"/>
                <w:color w:val="auto"/>
              </w:rPr>
            </w:pPr>
            <w:r>
              <w:rPr>
                <w:rFonts w:ascii="Arial" w:cs="Arial" w:eastAsia="Arial" w:hAnsi="Arial"/>
                <w:sz w:val="14"/>
                <w:szCs w:val="14"/>
                <w:b w:val="1"/>
                <w:bCs w:val="1"/>
                <w:color w:val="003B71"/>
              </w:rPr>
              <w:t>Ownership</w:t>
            </w:r>
          </w:p>
        </w:tc>
      </w:tr>
      <w:tr>
        <w:trPr>
          <w:trHeight w:val="175"/>
        </w:trPr>
        <w:tc>
          <w:tcPr>
            <w:tcW w:w="6760" w:type="dxa"/>
            <w:vAlign w:val="bottom"/>
          </w:tcPr>
          <w:p>
            <w:pPr>
              <w:spacing w:after="0"/>
              <w:rPr>
                <w:sz w:val="15"/>
                <w:szCs w:val="15"/>
                <w:color w:val="auto"/>
              </w:rPr>
            </w:pPr>
          </w:p>
        </w:tc>
        <w:tc>
          <w:tcPr>
            <w:tcW w:w="4480" w:type="dxa"/>
            <w:vAlign w:val="bottom"/>
          </w:tcPr>
          <w:p>
            <w:pPr>
              <w:jc w:val="center"/>
              <w:ind w:left="2885"/>
              <w:spacing w:after="0"/>
              <w:rPr>
                <w:sz w:val="20"/>
                <w:szCs w:val="20"/>
                <w:color w:val="auto"/>
              </w:rPr>
            </w:pPr>
            <w:r>
              <w:rPr>
                <w:rFonts w:ascii="Arial" w:cs="Arial" w:eastAsia="Arial" w:hAnsi="Arial"/>
                <w:sz w:val="14"/>
                <w:szCs w:val="14"/>
                <w:b w:val="1"/>
                <w:bCs w:val="1"/>
                <w:color w:val="003B71"/>
              </w:rPr>
              <w:t>Requirement</w:t>
            </w:r>
          </w:p>
        </w:tc>
      </w:tr>
      <w:tr>
        <w:trPr>
          <w:trHeight w:val="161"/>
        </w:trPr>
        <w:tc>
          <w:tcPr>
            <w:tcW w:w="6760" w:type="dxa"/>
            <w:vAlign w:val="bottom"/>
          </w:tcPr>
          <w:p>
            <w:pPr>
              <w:spacing w:after="0"/>
              <w:rPr>
                <w:sz w:val="14"/>
                <w:szCs w:val="14"/>
                <w:color w:val="auto"/>
              </w:rPr>
            </w:pPr>
          </w:p>
        </w:tc>
        <w:tc>
          <w:tcPr>
            <w:tcW w:w="4480" w:type="dxa"/>
            <w:vAlign w:val="bottom"/>
          </w:tcPr>
          <w:p>
            <w:pPr>
              <w:jc w:val="center"/>
              <w:ind w:left="2905"/>
              <w:spacing w:after="0"/>
              <w:rPr>
                <w:sz w:val="20"/>
                <w:szCs w:val="20"/>
                <w:color w:val="auto"/>
              </w:rPr>
            </w:pPr>
            <w:r>
              <w:rPr>
                <w:rFonts w:ascii="Arial" w:cs="Arial" w:eastAsia="Arial" w:hAnsi="Arial"/>
                <w:sz w:val="14"/>
                <w:szCs w:val="14"/>
                <w:b w:val="1"/>
                <w:bCs w:val="1"/>
                <w:color w:val="003B71"/>
              </w:rPr>
              <w:t>(multiple of base</w:t>
            </w:r>
          </w:p>
        </w:tc>
      </w:tr>
      <w:tr>
        <w:trPr>
          <w:trHeight w:val="204"/>
        </w:trPr>
        <w:tc>
          <w:tcPr>
            <w:tcW w:w="6760" w:type="dxa"/>
            <w:vAlign w:val="bottom"/>
            <w:tcBorders>
              <w:bottom w:val="single" w:sz="8" w:color="003B71"/>
            </w:tcBorders>
          </w:tcPr>
          <w:p>
            <w:pPr>
              <w:ind w:left="20"/>
              <w:spacing w:after="0"/>
              <w:rPr>
                <w:sz w:val="20"/>
                <w:szCs w:val="20"/>
                <w:color w:val="auto"/>
              </w:rPr>
            </w:pPr>
            <w:r>
              <w:rPr>
                <w:rFonts w:ascii="Arial" w:cs="Arial" w:eastAsia="Arial" w:hAnsi="Arial"/>
                <w:sz w:val="14"/>
                <w:szCs w:val="14"/>
                <w:b w:val="1"/>
                <w:bCs w:val="1"/>
                <w:color w:val="003B71"/>
              </w:rPr>
              <w:t>Position</w:t>
            </w:r>
          </w:p>
        </w:tc>
        <w:tc>
          <w:tcPr>
            <w:tcW w:w="4480" w:type="dxa"/>
            <w:vAlign w:val="bottom"/>
            <w:tcBorders>
              <w:bottom w:val="single" w:sz="8" w:color="003B71"/>
            </w:tcBorders>
          </w:tcPr>
          <w:p>
            <w:pPr>
              <w:jc w:val="center"/>
              <w:ind w:left="2905"/>
              <w:spacing w:after="0"/>
              <w:rPr>
                <w:sz w:val="20"/>
                <w:szCs w:val="20"/>
                <w:color w:val="auto"/>
              </w:rPr>
            </w:pPr>
            <w:r>
              <w:rPr>
                <w:rFonts w:ascii="Arial" w:cs="Arial" w:eastAsia="Arial" w:hAnsi="Arial"/>
                <w:sz w:val="14"/>
                <w:szCs w:val="14"/>
                <w:b w:val="1"/>
                <w:bCs w:val="1"/>
                <w:color w:val="003B71"/>
              </w:rPr>
              <w:t>salary)</w:t>
            </w:r>
          </w:p>
        </w:tc>
      </w:tr>
      <w:tr>
        <w:trPr>
          <w:trHeight w:val="242"/>
        </w:trPr>
        <w:tc>
          <w:tcPr>
            <w:tcW w:w="6760" w:type="dxa"/>
            <w:vAlign w:val="bottom"/>
            <w:shd w:val="clear" w:color="auto" w:fill="E5E5E5"/>
          </w:tcPr>
          <w:p>
            <w:pPr>
              <w:ind w:left="20"/>
              <w:spacing w:after="0"/>
              <w:rPr>
                <w:sz w:val="20"/>
                <w:szCs w:val="20"/>
                <w:color w:val="auto"/>
              </w:rPr>
            </w:pPr>
            <w:r>
              <w:rPr>
                <w:rFonts w:ascii="Arial" w:cs="Arial" w:eastAsia="Arial" w:hAnsi="Arial"/>
                <w:sz w:val="16"/>
                <w:szCs w:val="16"/>
                <w:color w:val="auto"/>
              </w:rPr>
              <w:t>Chief Executive Officer</w:t>
            </w:r>
          </w:p>
        </w:tc>
        <w:tc>
          <w:tcPr>
            <w:tcW w:w="4480" w:type="dxa"/>
            <w:vAlign w:val="bottom"/>
            <w:shd w:val="clear" w:color="auto" w:fill="E5E5E5"/>
          </w:tcPr>
          <w:p>
            <w:pPr>
              <w:ind w:left="3940"/>
              <w:spacing w:after="0"/>
              <w:rPr>
                <w:sz w:val="20"/>
                <w:szCs w:val="20"/>
                <w:color w:val="auto"/>
              </w:rPr>
            </w:pPr>
            <w:r>
              <w:rPr>
                <w:rFonts w:ascii="Arial" w:cs="Arial" w:eastAsia="Arial" w:hAnsi="Arial"/>
                <w:sz w:val="16"/>
                <w:szCs w:val="16"/>
                <w:color w:val="auto"/>
              </w:rPr>
              <w:t>6 times</w:t>
            </w:r>
          </w:p>
        </w:tc>
      </w:tr>
      <w:tr>
        <w:trPr>
          <w:trHeight w:val="234"/>
        </w:trPr>
        <w:tc>
          <w:tcPr>
            <w:tcW w:w="6760" w:type="dxa"/>
            <w:vAlign w:val="bottom"/>
          </w:tcPr>
          <w:p>
            <w:pPr>
              <w:ind w:left="20"/>
              <w:spacing w:after="0"/>
              <w:rPr>
                <w:sz w:val="20"/>
                <w:szCs w:val="20"/>
                <w:color w:val="auto"/>
              </w:rPr>
            </w:pPr>
            <w:r>
              <w:rPr>
                <w:rFonts w:ascii="Arial" w:cs="Arial" w:eastAsia="Arial" w:hAnsi="Arial"/>
                <w:sz w:val="16"/>
                <w:szCs w:val="16"/>
                <w:color w:val="auto"/>
              </w:rPr>
              <w:t>Chief Financial Officer and Chief Operating Officer</w:t>
            </w:r>
          </w:p>
        </w:tc>
        <w:tc>
          <w:tcPr>
            <w:tcW w:w="4480" w:type="dxa"/>
            <w:vAlign w:val="bottom"/>
          </w:tcPr>
          <w:p>
            <w:pPr>
              <w:ind w:left="3940"/>
              <w:spacing w:after="0"/>
              <w:rPr>
                <w:sz w:val="20"/>
                <w:szCs w:val="20"/>
                <w:color w:val="auto"/>
              </w:rPr>
            </w:pPr>
            <w:r>
              <w:rPr>
                <w:rFonts w:ascii="Arial" w:cs="Arial" w:eastAsia="Arial" w:hAnsi="Arial"/>
                <w:sz w:val="16"/>
                <w:szCs w:val="16"/>
                <w:color w:val="auto"/>
              </w:rPr>
              <w:t>3 times</w:t>
            </w:r>
          </w:p>
        </w:tc>
      </w:tr>
      <w:tr>
        <w:trPr>
          <w:trHeight w:val="243"/>
        </w:trPr>
        <w:tc>
          <w:tcPr>
            <w:tcW w:w="6760" w:type="dxa"/>
            <w:vAlign w:val="bottom"/>
            <w:tcBorders>
              <w:bottom w:val="single" w:sz="8" w:color="003B71"/>
            </w:tcBorders>
            <w:shd w:val="clear" w:color="auto" w:fill="E5E5E5"/>
          </w:tcPr>
          <w:p>
            <w:pPr>
              <w:ind w:left="20"/>
              <w:spacing w:after="0"/>
              <w:rPr>
                <w:sz w:val="20"/>
                <w:szCs w:val="20"/>
                <w:color w:val="auto"/>
              </w:rPr>
            </w:pPr>
            <w:r>
              <w:rPr>
                <w:rFonts w:ascii="Arial" w:cs="Arial" w:eastAsia="Arial" w:hAnsi="Arial"/>
                <w:sz w:val="16"/>
                <w:szCs w:val="16"/>
                <w:color w:val="auto"/>
              </w:rPr>
              <w:t>Other Senior Vice Presidents</w:t>
            </w:r>
          </w:p>
        </w:tc>
        <w:tc>
          <w:tcPr>
            <w:tcW w:w="4480" w:type="dxa"/>
            <w:vAlign w:val="bottom"/>
            <w:tcBorders>
              <w:bottom w:val="single" w:sz="8" w:color="003B71"/>
            </w:tcBorders>
            <w:shd w:val="clear" w:color="auto" w:fill="E5E5E5"/>
          </w:tcPr>
          <w:p>
            <w:pPr>
              <w:ind w:left="3940"/>
              <w:spacing w:after="0"/>
              <w:rPr>
                <w:sz w:val="20"/>
                <w:szCs w:val="20"/>
                <w:color w:val="auto"/>
              </w:rPr>
            </w:pPr>
            <w:r>
              <w:rPr>
                <w:rFonts w:ascii="Arial" w:cs="Arial" w:eastAsia="Arial" w:hAnsi="Arial"/>
                <w:sz w:val="16"/>
                <w:szCs w:val="16"/>
                <w:color w:val="auto"/>
              </w:rPr>
              <w:t>2 times</w:t>
            </w:r>
          </w:p>
        </w:tc>
      </w:tr>
    </w:tbl>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Equity counted toward the ownership requirement includes shares of common stock held directly, RSUs or other similar plan holdings, and stock beneficially owned in a trust. Vested and unvested stock options do not count toward the stock ownership requirements. Any person hired or promoted to a role covered by the stock ownership guidelines has five years from the date of hire or promotion to achieve the requirement. If at the time of measurement a senior executive officer is not in compliance with these guidelines, such officer is prohibited from selling 50% of any new equity award issued to them (net of taxes) until such time as he or she comes into compliance.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Clawback Policy</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 October 2023, the Board adopted a clawback policy providing for the adjustment or recovery of incentive compensation in certain circumstances that is intended to comply with SEC rules and NASDAQ listing standards. Under the policy, if the Company is required to prepare an accounting restatement due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29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36</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2" w:name="page43"/>
    <w:bookmarkEnd w:id="42"/>
    <w:p>
      <w:pPr>
        <w:jc w:val="both"/>
        <w:spacing w:after="0" w:line="252" w:lineRule="auto"/>
        <w:rPr>
          <w:sz w:val="20"/>
          <w:szCs w:val="20"/>
          <w:color w:val="auto"/>
        </w:rPr>
      </w:pPr>
      <w:r>
        <w:rPr>
          <w:rFonts w:ascii="Arial" w:cs="Arial" w:eastAsia="Arial" w:hAnsi="Arial"/>
          <w:sz w:val="18"/>
          <w:szCs w:val="18"/>
          <w:color w:val="auto"/>
        </w:rPr>
        <w:t>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a current period or left uncorrected in said current period, the Compensation Committee shall cause the Company to recoup from each executive officer, including NEOs, as promptly as reasonably possible, any erroneously awarded incentive -based compensation as defined in the policy. Recovery is required regardless of fault, however, the amount to be recovered is limited to the three fiscal years preceding the date the Company is required to prepare the restatement. The policy does not limit any other rights or remedies the Company, the Board or the Compensation Committee may have. These remedies would be in addition to, and not in lieu of, any penalties imposed by law enforcement agencies, regulators or other authorities. Any incentive-based awards or payments or other compensation paid to current and former executive officers under employment agreements or any other agreement or arrangement with the Company which is subject to recovery under any law, government regulation, or stock exchange listing requirement, will be subject to the deductions and clawbacks required by the clawback policy. A copy of our clawback policy is filed as Exhibit 97 to our Annual Report on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Risk Assessment Disclosure</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Compensation Committee assessed the risk associated with our compensation practices and policies for employees, including a consideration of the balance between risk-taking incentives and risk-mitigating factors in our practices and policies. The assessment determined that any risks arising from our compensation practices and policies are not reasonably likely to have a material adverse effect on our business or financial condition.</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Compensation Committee has reviewed and discussed this Compensation Discussion and Analysis (“CD&amp;A”) with the management of the Company. Based on that review and discussion, the Compensation Committee recommended to the Board of Directors that this CD&amp;A be included in this Proxy Statement and incorporated by reference into our Annual Report on Form 10-K.</w:t>
      </w:r>
    </w:p>
    <w:p>
      <w:pPr>
        <w:spacing w:after="0" w:line="2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James P. Chambers, Chair</w:t>
      </w:r>
    </w:p>
    <w:p>
      <w:pPr>
        <w:spacing w:after="0" w:line="48"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Nathaniel J. Lipman</w:t>
      </w:r>
    </w:p>
    <w:p>
      <w:pPr>
        <w:spacing w:after="0" w:line="62"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Allen R.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1329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37</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39"/>
          <w:szCs w:val="39"/>
          <w:color w:val="003B71"/>
        </w:rPr>
        <w:t>2025 Summary Compensation Table</w:t>
      </w:r>
    </w:p>
    <w:p>
      <w:pPr>
        <w:spacing w:after="0" w:line="3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table sets forth information concerning all compensation that we paid to, or that was accrued by, our NEOs during fiscal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1318895</wp:posOffset>
            </wp:positionH>
            <wp:positionV relativeFrom="paragraph">
              <wp:posOffset>69850</wp:posOffset>
            </wp:positionV>
            <wp:extent cx="581914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19140" cy="825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center"/>
              <w:ind w:right="108"/>
              <w:spacing w:after="0"/>
              <w:rPr>
                <w:sz w:val="20"/>
                <w:szCs w:val="20"/>
                <w:color w:val="auto"/>
              </w:rPr>
            </w:pPr>
            <w:r>
              <w:rPr>
                <w:rFonts w:ascii="Arial" w:cs="Arial" w:eastAsia="Arial" w:hAnsi="Arial"/>
                <w:sz w:val="14"/>
                <w:szCs w:val="14"/>
                <w:b w:val="1"/>
                <w:bCs w:val="1"/>
                <w:color w:val="auto"/>
              </w:rPr>
              <w:t>Non-Equity</w:t>
            </w:r>
          </w:p>
        </w:tc>
        <w:tc>
          <w:tcPr>
            <w:tcW w:w="1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20" w:type="dxa"/>
            <w:vAlign w:val="bottom"/>
          </w:tcPr>
          <w:p>
            <w:pPr>
              <w:jc w:val="center"/>
              <w:ind w:right="128"/>
              <w:spacing w:after="0"/>
              <w:rPr>
                <w:sz w:val="20"/>
                <w:szCs w:val="20"/>
                <w:color w:val="auto"/>
              </w:rPr>
            </w:pPr>
            <w:r>
              <w:rPr>
                <w:rFonts w:ascii="Arial" w:cs="Arial" w:eastAsia="Arial" w:hAnsi="Arial"/>
                <w:sz w:val="14"/>
                <w:szCs w:val="14"/>
                <w:b w:val="1"/>
                <w:bCs w:val="1"/>
                <w:color w:val="auto"/>
              </w:rPr>
              <w:t>Incentive</w:t>
            </w:r>
          </w:p>
        </w:tc>
        <w:tc>
          <w:tcPr>
            <w:tcW w:w="1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Salary</w:t>
            </w: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1160" w:type="dxa"/>
            <w:vAlign w:val="bottom"/>
          </w:tcPr>
          <w:p>
            <w:pPr>
              <w:jc w:val="center"/>
              <w:ind w:right="108"/>
              <w:spacing w:after="0"/>
              <w:rPr>
                <w:sz w:val="20"/>
                <w:szCs w:val="20"/>
                <w:color w:val="auto"/>
              </w:rPr>
            </w:pPr>
            <w:r>
              <w:rPr>
                <w:rFonts w:ascii="Arial" w:cs="Arial" w:eastAsia="Arial" w:hAnsi="Arial"/>
                <w:sz w:val="14"/>
                <w:szCs w:val="14"/>
                <w:b w:val="1"/>
                <w:bCs w:val="1"/>
                <w:color w:val="auto"/>
                <w:w w:val="99"/>
              </w:rPr>
              <w:t>Stock</w:t>
            </w:r>
          </w:p>
        </w:tc>
        <w:tc>
          <w:tcPr>
            <w:tcW w:w="1100" w:type="dxa"/>
            <w:vAlign w:val="bottom"/>
          </w:tcPr>
          <w:p>
            <w:pPr>
              <w:jc w:val="center"/>
              <w:ind w:right="88"/>
              <w:spacing w:after="0"/>
              <w:rPr>
                <w:sz w:val="20"/>
                <w:szCs w:val="20"/>
                <w:color w:val="auto"/>
              </w:rPr>
            </w:pPr>
            <w:r>
              <w:rPr>
                <w:rFonts w:ascii="Arial" w:cs="Arial" w:eastAsia="Arial" w:hAnsi="Arial"/>
                <w:sz w:val="14"/>
                <w:szCs w:val="14"/>
                <w:b w:val="1"/>
                <w:bCs w:val="1"/>
                <w:color w:val="auto"/>
              </w:rPr>
              <w:t>Option</w:t>
            </w:r>
          </w:p>
        </w:tc>
        <w:tc>
          <w:tcPr>
            <w:tcW w:w="1620" w:type="dxa"/>
            <w:vAlign w:val="bottom"/>
          </w:tcPr>
          <w:p>
            <w:pPr>
              <w:jc w:val="center"/>
              <w:ind w:right="128"/>
              <w:spacing w:after="0"/>
              <w:rPr>
                <w:sz w:val="20"/>
                <w:szCs w:val="20"/>
                <w:color w:val="auto"/>
              </w:rPr>
            </w:pPr>
            <w:r>
              <w:rPr>
                <w:rFonts w:ascii="Arial" w:cs="Arial" w:eastAsia="Arial" w:hAnsi="Arial"/>
                <w:sz w:val="14"/>
                <w:szCs w:val="14"/>
                <w:b w:val="1"/>
                <w:bCs w:val="1"/>
                <w:color w:val="auto"/>
              </w:rPr>
              <w:t>Plan</w:t>
            </w:r>
          </w:p>
        </w:tc>
        <w:tc>
          <w:tcPr>
            <w:tcW w:w="1620" w:type="dxa"/>
            <w:vAlign w:val="bottom"/>
          </w:tcPr>
          <w:p>
            <w:pPr>
              <w:jc w:val="center"/>
              <w:ind w:right="150"/>
              <w:spacing w:after="0"/>
              <w:rPr>
                <w:sz w:val="20"/>
                <w:szCs w:val="20"/>
                <w:color w:val="auto"/>
              </w:rPr>
            </w:pPr>
            <w:r>
              <w:rPr>
                <w:rFonts w:ascii="Arial" w:cs="Arial" w:eastAsia="Arial" w:hAnsi="Arial"/>
                <w:sz w:val="14"/>
                <w:szCs w:val="14"/>
                <w:b w:val="1"/>
                <w:bCs w:val="1"/>
                <w:color w:val="auto"/>
              </w:rPr>
              <w:t>All Other</w:t>
            </w:r>
          </w:p>
        </w:tc>
        <w:tc>
          <w:tcPr>
            <w:tcW w:w="102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9"/>
        </w:trPr>
        <w:tc>
          <w:tcPr>
            <w:tcW w:w="2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160" w:type="dxa"/>
            <w:vAlign w:val="bottom"/>
          </w:tcPr>
          <w:p>
            <w:pPr>
              <w:jc w:val="center"/>
              <w:ind w:right="108"/>
              <w:spacing w:after="0" w:line="159" w:lineRule="exact"/>
              <w:rPr>
                <w:sz w:val="20"/>
                <w:szCs w:val="20"/>
                <w:color w:val="auto"/>
              </w:rPr>
            </w:pPr>
            <w:r>
              <w:rPr>
                <w:rFonts w:ascii="Arial" w:cs="Arial" w:eastAsia="Arial" w:hAnsi="Arial"/>
                <w:sz w:val="14"/>
                <w:szCs w:val="14"/>
                <w:b w:val="1"/>
                <w:bCs w:val="1"/>
                <w:color w:val="auto"/>
                <w:w w:val="98"/>
              </w:rPr>
              <w:t>Awards</w:t>
            </w:r>
          </w:p>
        </w:tc>
        <w:tc>
          <w:tcPr>
            <w:tcW w:w="1100" w:type="dxa"/>
            <w:vAlign w:val="bottom"/>
          </w:tcPr>
          <w:p>
            <w:pPr>
              <w:jc w:val="center"/>
              <w:ind w:right="108"/>
              <w:spacing w:after="0" w:line="159" w:lineRule="exact"/>
              <w:rPr>
                <w:sz w:val="20"/>
                <w:szCs w:val="20"/>
                <w:color w:val="auto"/>
              </w:rPr>
            </w:pPr>
            <w:r>
              <w:rPr>
                <w:rFonts w:ascii="Arial" w:cs="Arial" w:eastAsia="Arial" w:hAnsi="Arial"/>
                <w:sz w:val="14"/>
                <w:szCs w:val="14"/>
                <w:b w:val="1"/>
                <w:bCs w:val="1"/>
                <w:color w:val="auto"/>
              </w:rPr>
              <w:t>Awards</w:t>
            </w:r>
          </w:p>
        </w:tc>
        <w:tc>
          <w:tcPr>
            <w:tcW w:w="1620" w:type="dxa"/>
            <w:vAlign w:val="bottom"/>
          </w:tcPr>
          <w:p>
            <w:pPr>
              <w:jc w:val="center"/>
              <w:ind w:right="108"/>
              <w:spacing w:after="0" w:line="159" w:lineRule="exact"/>
              <w:rPr>
                <w:sz w:val="20"/>
                <w:szCs w:val="20"/>
                <w:color w:val="auto"/>
              </w:rPr>
            </w:pPr>
            <w:r>
              <w:rPr>
                <w:rFonts w:ascii="Arial" w:cs="Arial" w:eastAsia="Arial" w:hAnsi="Arial"/>
                <w:sz w:val="14"/>
                <w:szCs w:val="14"/>
                <w:b w:val="1"/>
                <w:bCs w:val="1"/>
                <w:color w:val="auto"/>
              </w:rPr>
              <w:t>Compensation</w:t>
            </w:r>
          </w:p>
        </w:tc>
        <w:tc>
          <w:tcPr>
            <w:tcW w:w="1620" w:type="dxa"/>
            <w:vAlign w:val="bottom"/>
          </w:tcPr>
          <w:p>
            <w:pPr>
              <w:jc w:val="center"/>
              <w:ind w:right="150"/>
              <w:spacing w:after="0" w:line="159" w:lineRule="exact"/>
              <w:rPr>
                <w:sz w:val="20"/>
                <w:szCs w:val="20"/>
                <w:color w:val="auto"/>
              </w:rPr>
            </w:pPr>
            <w:r>
              <w:rPr>
                <w:rFonts w:ascii="Arial" w:cs="Arial" w:eastAsia="Arial" w:hAnsi="Arial"/>
                <w:sz w:val="14"/>
                <w:szCs w:val="14"/>
                <w:b w:val="1"/>
                <w:bCs w:val="1"/>
                <w:color w:val="auto"/>
              </w:rPr>
              <w:t>Compensation</w:t>
            </w: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80" w:type="dxa"/>
            <w:vAlign w:val="bottom"/>
            <w:tcBorders>
              <w:bottom w:val="single" w:sz="8" w:color="00497F"/>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620" w:type="dxa"/>
            <w:vAlign w:val="bottom"/>
            <w:tcBorders>
              <w:bottom w:val="single" w:sz="8" w:color="00497F"/>
            </w:tcBorders>
          </w:tcPr>
          <w:p>
            <w:pPr>
              <w:jc w:val="right"/>
              <w:ind w:right="88"/>
              <w:spacing w:after="0"/>
              <w:rPr>
                <w:sz w:val="20"/>
                <w:szCs w:val="20"/>
                <w:color w:val="auto"/>
              </w:rPr>
            </w:pPr>
            <w:r>
              <w:rPr>
                <w:rFonts w:ascii="Arial" w:cs="Arial" w:eastAsia="Arial" w:hAnsi="Arial"/>
                <w:sz w:val="14"/>
                <w:szCs w:val="14"/>
                <w:b w:val="1"/>
                <w:bCs w:val="1"/>
                <w:color w:val="auto"/>
              </w:rPr>
              <w:t>Year</w:t>
            </w:r>
          </w:p>
        </w:tc>
        <w:tc>
          <w:tcPr>
            <w:tcW w:w="1120" w:type="dxa"/>
            <w:vAlign w:val="bottom"/>
            <w:tcBorders>
              <w:bottom w:val="single" w:sz="8" w:color="00497F"/>
            </w:tcBorders>
          </w:tcPr>
          <w:p>
            <w:pPr>
              <w:jc w:val="right"/>
              <w:ind w:right="3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900" w:type="dxa"/>
            <w:vAlign w:val="bottom"/>
            <w:tcBorders>
              <w:bottom w:val="single" w:sz="8" w:color="00497F"/>
            </w:tcBorders>
          </w:tcPr>
          <w:p>
            <w:pPr>
              <w:ind w:left="30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497F"/>
            </w:tcBorders>
          </w:tcPr>
          <w:p>
            <w:pPr>
              <w:jc w:val="center"/>
              <w:ind w:right="108"/>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(2)</w:t>
            </w:r>
          </w:p>
        </w:tc>
        <w:tc>
          <w:tcPr>
            <w:tcW w:w="1100" w:type="dxa"/>
            <w:vAlign w:val="bottom"/>
            <w:tcBorders>
              <w:bottom w:val="single" w:sz="8" w:color="00497F"/>
            </w:tcBorders>
          </w:tcPr>
          <w:p>
            <w:pPr>
              <w:jc w:val="center"/>
              <w:ind w:right="108"/>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(3)</w:t>
            </w:r>
          </w:p>
        </w:tc>
        <w:tc>
          <w:tcPr>
            <w:tcW w:w="1620" w:type="dxa"/>
            <w:vAlign w:val="bottom"/>
            <w:tcBorders>
              <w:bottom w:val="single" w:sz="8" w:color="00497F"/>
            </w:tcBorders>
          </w:tcPr>
          <w:p>
            <w:pPr>
              <w:jc w:val="center"/>
              <w:ind w:right="12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(4)</w:t>
            </w:r>
          </w:p>
        </w:tc>
        <w:tc>
          <w:tcPr>
            <w:tcW w:w="1620" w:type="dxa"/>
            <w:vAlign w:val="bottom"/>
            <w:tcBorders>
              <w:bottom w:val="single" w:sz="8" w:color="00497F"/>
            </w:tcBorders>
          </w:tcPr>
          <w:p>
            <w:pPr>
              <w:jc w:val="center"/>
              <w:ind w:right="150"/>
              <w:spacing w:after="0" w:line="213" w:lineRule="exact"/>
              <w:rPr>
                <w:sz w:val="20"/>
                <w:szCs w:val="20"/>
                <w:color w:val="auto"/>
              </w:rPr>
            </w:pPr>
            <w:r>
              <w:rPr>
                <w:rFonts w:ascii="Arial" w:cs="Arial" w:eastAsia="Arial" w:hAnsi="Arial"/>
                <w:sz w:val="24"/>
                <w:szCs w:val="24"/>
                <w:b w:val="1"/>
                <w:bCs w:val="1"/>
                <w:color w:val="auto"/>
                <w:w w:val="96"/>
                <w:vertAlign w:val="subscript"/>
              </w:rPr>
              <w:t>($)</w:t>
            </w:r>
            <w:r>
              <w:rPr>
                <w:rFonts w:ascii="Arial" w:cs="Arial" w:eastAsia="Arial" w:hAnsi="Arial"/>
                <w:sz w:val="9"/>
                <w:szCs w:val="9"/>
                <w:b w:val="1"/>
                <w:bCs w:val="1"/>
                <w:color w:val="auto"/>
                <w:w w:val="96"/>
              </w:rPr>
              <w:t>(5)(6)</w:t>
            </w:r>
          </w:p>
        </w:tc>
        <w:tc>
          <w:tcPr>
            <w:tcW w:w="1020" w:type="dxa"/>
            <w:vAlign w:val="bottom"/>
            <w:tcBorders>
              <w:bottom w:val="single" w:sz="8" w:color="00497F"/>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Tarun Lal</w:t>
            </w:r>
          </w:p>
        </w:tc>
        <w:tc>
          <w:tcPr>
            <w:tcW w:w="6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(CEO)</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2025</w:t>
            </w:r>
          </w:p>
        </w:tc>
        <w:tc>
          <w:tcPr>
            <w:tcW w:w="112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452,308</w:t>
            </w:r>
          </w:p>
        </w:tc>
        <w:tc>
          <w:tcPr>
            <w:tcW w:w="900" w:type="dxa"/>
            <w:vAlign w:val="bottom"/>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7,590,763</w:t>
            </w:r>
          </w:p>
        </w:tc>
        <w:tc>
          <w:tcPr>
            <w:tcW w:w="11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6,458,289</w:t>
            </w:r>
          </w:p>
        </w:tc>
        <w:tc>
          <w:tcPr>
            <w:tcW w:w="16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auto"/>
              </w:rPr>
              <w:t>1,385</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14,502,745</w:t>
            </w: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Kevin M. Sheehan</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2025</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425,000</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auto"/>
              </w:rPr>
              <w:t>4,822,292</w:t>
            </w: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2,262,000</w:t>
            </w:r>
          </w:p>
        </w:tc>
        <w:tc>
          <w:tcPr>
            <w:tcW w:w="16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ind w:right="150"/>
              <w:spacing w:after="0"/>
              <w:rPr>
                <w:sz w:val="20"/>
                <w:szCs w:val="20"/>
                <w:color w:val="auto"/>
              </w:rPr>
            </w:pPr>
            <w:r>
              <w:rPr>
                <w:rFonts w:ascii="Arial" w:cs="Arial" w:eastAsia="Arial" w:hAnsi="Arial"/>
                <w:sz w:val="14"/>
                <w:szCs w:val="14"/>
                <w:color w:val="auto"/>
              </w:rPr>
              <w:t>264,674</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7,773,967</w:t>
            </w:r>
          </w:p>
        </w:tc>
        <w:tc>
          <w:tcPr>
            <w:tcW w:w="0" w:type="dxa"/>
            <w:vAlign w:val="bottom"/>
          </w:tcPr>
          <w:p>
            <w:pPr>
              <w:spacing w:after="0"/>
              <w:rPr>
                <w:sz w:val="1"/>
                <w:szCs w:val="1"/>
                <w:color w:val="auto"/>
              </w:rPr>
            </w:pPr>
          </w:p>
        </w:tc>
      </w:tr>
      <w:tr>
        <w:trPr>
          <w:trHeight w:val="109"/>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(Former Interim CEO)</w:t>
            </w:r>
          </w:p>
        </w:tc>
        <w:tc>
          <w:tcPr>
            <w:tcW w:w="6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(Board Chair)</w:t>
            </w:r>
          </w:p>
        </w:tc>
        <w:tc>
          <w:tcPr>
            <w:tcW w:w="620" w:type="dxa"/>
            <w:vAlign w:val="bottom"/>
          </w:tcPr>
          <w:p>
            <w:pPr>
              <w:jc w:val="right"/>
              <w:spacing w:after="0"/>
              <w:rPr>
                <w:sz w:val="20"/>
                <w:szCs w:val="20"/>
                <w:color w:val="auto"/>
              </w:rPr>
            </w:pPr>
            <w:r>
              <w:rPr>
                <w:rFonts w:ascii="Arial" w:cs="Arial" w:eastAsia="Arial" w:hAnsi="Arial"/>
                <w:sz w:val="14"/>
                <w:szCs w:val="14"/>
                <w:color w:val="auto"/>
              </w:rPr>
              <w:t>2024</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134,039</w:t>
            </w:r>
          </w:p>
        </w:tc>
        <w:tc>
          <w:tcPr>
            <w:tcW w:w="900" w:type="dxa"/>
            <w:vAlign w:val="bottom"/>
          </w:tcPr>
          <w:p>
            <w:pPr>
              <w:ind w:left="5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356,198</w:t>
            </w:r>
          </w:p>
        </w:tc>
        <w:tc>
          <w:tcPr>
            <w:tcW w:w="1020" w:type="dxa"/>
            <w:vAlign w:val="bottom"/>
          </w:tcPr>
          <w:p>
            <w:pPr>
              <w:jc w:val="right"/>
              <w:spacing w:after="0"/>
              <w:rPr>
                <w:sz w:val="20"/>
                <w:szCs w:val="20"/>
                <w:color w:val="auto"/>
              </w:rPr>
            </w:pPr>
            <w:r>
              <w:rPr>
                <w:rFonts w:ascii="Arial" w:cs="Arial" w:eastAsia="Arial" w:hAnsi="Arial"/>
                <w:sz w:val="14"/>
                <w:szCs w:val="14"/>
                <w:color w:val="auto"/>
              </w:rPr>
              <w:t>490,237</w:t>
            </w:r>
          </w:p>
        </w:tc>
        <w:tc>
          <w:tcPr>
            <w:tcW w:w="0" w:type="dxa"/>
            <w:vAlign w:val="bottom"/>
          </w:tcPr>
          <w:p>
            <w:pPr>
              <w:spacing w:after="0"/>
              <w:rPr>
                <w:sz w:val="1"/>
                <w:szCs w:val="1"/>
                <w:color w:val="auto"/>
              </w:rPr>
            </w:pPr>
          </w:p>
        </w:tc>
      </w:tr>
      <w:tr>
        <w:trPr>
          <w:trHeight w:val="200"/>
        </w:trPr>
        <w:tc>
          <w:tcPr>
            <w:tcW w:w="2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Darin Harper</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2025</w:t>
            </w:r>
          </w:p>
        </w:tc>
        <w:tc>
          <w:tcPr>
            <w:tcW w:w="112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auto"/>
              </w:rPr>
              <w:t>475,000</w:t>
            </w:r>
          </w:p>
        </w:tc>
        <w:tc>
          <w:tcPr>
            <w:tcW w:w="900" w:type="dxa"/>
            <w:vAlign w:val="bottom"/>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1,732,359</w:t>
            </w:r>
          </w:p>
        </w:tc>
        <w:tc>
          <w:tcPr>
            <w:tcW w:w="11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1,238,331</w:t>
            </w:r>
          </w:p>
        </w:tc>
        <w:tc>
          <w:tcPr>
            <w:tcW w:w="16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shd w:val="clear" w:color="auto" w:fill="DBDBDB"/>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3,445,690</w:t>
            </w:r>
          </w:p>
        </w:tc>
        <w:tc>
          <w:tcPr>
            <w:tcW w:w="0" w:type="dxa"/>
            <w:vAlign w:val="bottom"/>
          </w:tcPr>
          <w:p>
            <w:pPr>
              <w:spacing w:after="0"/>
              <w:rPr>
                <w:sz w:val="1"/>
                <w:szCs w:val="1"/>
                <w:color w:val="auto"/>
              </w:rPr>
            </w:pPr>
          </w:p>
        </w:tc>
      </w:tr>
      <w:tr>
        <w:trPr>
          <w:trHeight w:val="196"/>
        </w:trPr>
        <w:tc>
          <w:tcPr>
            <w:tcW w:w="2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(CFO)</w:t>
            </w:r>
          </w:p>
        </w:tc>
        <w:tc>
          <w:tcPr>
            <w:tcW w:w="6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2024</w:t>
            </w:r>
          </w:p>
        </w:tc>
        <w:tc>
          <w:tcPr>
            <w:tcW w:w="1120" w:type="dxa"/>
            <w:vAlign w:val="bottom"/>
            <w:vMerge w:val="restart"/>
            <w:shd w:val="clear" w:color="auto" w:fill="DBDBDB"/>
          </w:tcPr>
          <w:p>
            <w:pPr>
              <w:jc w:val="right"/>
              <w:ind w:right="88"/>
              <w:spacing w:after="0"/>
              <w:rPr>
                <w:sz w:val="20"/>
                <w:szCs w:val="20"/>
                <w:color w:val="auto"/>
              </w:rPr>
            </w:pPr>
            <w:r>
              <w:rPr>
                <w:rFonts w:ascii="Arial" w:cs="Arial" w:eastAsia="Arial" w:hAnsi="Arial"/>
                <w:sz w:val="14"/>
                <w:szCs w:val="14"/>
                <w:color w:val="auto"/>
              </w:rPr>
              <w:t>305,096</w:t>
            </w:r>
          </w:p>
        </w:tc>
        <w:tc>
          <w:tcPr>
            <w:tcW w:w="900" w:type="dxa"/>
            <w:vAlign w:val="bottom"/>
            <w:vMerge w:val="restart"/>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2,158,424</w:t>
            </w:r>
          </w:p>
        </w:tc>
        <w:tc>
          <w:tcPr>
            <w:tcW w:w="1100" w:type="dxa"/>
            <w:vAlign w:val="bottom"/>
            <w:vMerge w:val="restart"/>
            <w:shd w:val="clear" w:color="auto" w:fill="DBDBDB"/>
          </w:tcPr>
          <w:p>
            <w:pPr>
              <w:jc w:val="right"/>
              <w:ind w:right="128"/>
              <w:spacing w:after="0"/>
              <w:rPr>
                <w:sz w:val="20"/>
                <w:szCs w:val="20"/>
                <w:color w:val="auto"/>
              </w:rPr>
            </w:pPr>
            <w:r>
              <w:rPr>
                <w:rFonts w:ascii="Arial" w:cs="Arial" w:eastAsia="Arial" w:hAnsi="Arial"/>
                <w:sz w:val="14"/>
                <w:szCs w:val="14"/>
                <w:color w:val="auto"/>
              </w:rPr>
              <w:t>520,290</w:t>
            </w:r>
          </w:p>
        </w:tc>
        <w:tc>
          <w:tcPr>
            <w:tcW w:w="162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200,000</w:t>
            </w:r>
          </w:p>
        </w:tc>
        <w:tc>
          <w:tcPr>
            <w:tcW w:w="1620" w:type="dxa"/>
            <w:vAlign w:val="bottom"/>
            <w:vMerge w:val="restart"/>
            <w:shd w:val="clear" w:color="auto" w:fill="DBDBDB"/>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3,183,810</w:t>
            </w:r>
          </w:p>
        </w:tc>
        <w:tc>
          <w:tcPr>
            <w:tcW w:w="0" w:type="dxa"/>
            <w:vAlign w:val="bottom"/>
          </w:tcPr>
          <w:p>
            <w:pPr>
              <w:spacing w:after="0"/>
              <w:rPr>
                <w:sz w:val="1"/>
                <w:szCs w:val="1"/>
                <w:color w:val="auto"/>
              </w:rPr>
            </w:pPr>
          </w:p>
        </w:tc>
      </w:tr>
      <w:tr>
        <w:trPr>
          <w:trHeight w:val="116"/>
        </w:trPr>
        <w:tc>
          <w:tcPr>
            <w:tcW w:w="2080" w:type="dxa"/>
            <w:vAlign w:val="bottom"/>
            <w:tcBorders>
              <w:bottom w:val="single" w:sz="8" w:color="DBDBDB"/>
            </w:tcBorders>
            <w:shd w:val="clear" w:color="auto" w:fill="DBDBDB"/>
          </w:tcPr>
          <w:p>
            <w:pPr>
              <w:spacing w:after="0"/>
              <w:rPr>
                <w:sz w:val="10"/>
                <w:szCs w:val="10"/>
                <w:color w:val="auto"/>
              </w:rPr>
            </w:pPr>
          </w:p>
        </w:tc>
        <w:tc>
          <w:tcPr>
            <w:tcW w:w="620" w:type="dxa"/>
            <w:vAlign w:val="bottom"/>
            <w:tcBorders>
              <w:bottom w:val="single" w:sz="8" w:color="DBDBDB"/>
            </w:tcBorders>
            <w:vMerge w:val="continue"/>
            <w:shd w:val="clear" w:color="auto" w:fill="DBDBDB"/>
          </w:tcPr>
          <w:p>
            <w:pPr>
              <w:spacing w:after="0"/>
              <w:rPr>
                <w:sz w:val="10"/>
                <w:szCs w:val="10"/>
                <w:color w:val="auto"/>
              </w:rPr>
            </w:pPr>
          </w:p>
        </w:tc>
        <w:tc>
          <w:tcPr>
            <w:tcW w:w="1120" w:type="dxa"/>
            <w:vAlign w:val="bottom"/>
            <w:tcBorders>
              <w:bottom w:val="single" w:sz="8" w:color="DBDBDB"/>
            </w:tcBorders>
            <w:vMerge w:val="continue"/>
            <w:shd w:val="clear" w:color="auto" w:fill="DBDBDB"/>
          </w:tcPr>
          <w:p>
            <w:pPr>
              <w:spacing w:after="0"/>
              <w:rPr>
                <w:sz w:val="10"/>
                <w:szCs w:val="10"/>
                <w:color w:val="auto"/>
              </w:rPr>
            </w:pPr>
          </w:p>
        </w:tc>
        <w:tc>
          <w:tcPr>
            <w:tcW w:w="900" w:type="dxa"/>
            <w:vAlign w:val="bottom"/>
            <w:tcBorders>
              <w:bottom w:val="single" w:sz="8" w:color="DBDBDB"/>
            </w:tcBorders>
            <w:vMerge w:val="continue"/>
            <w:shd w:val="clear" w:color="auto" w:fill="DBDBDB"/>
          </w:tcPr>
          <w:p>
            <w:pPr>
              <w:spacing w:after="0"/>
              <w:rPr>
                <w:sz w:val="10"/>
                <w:szCs w:val="10"/>
                <w:color w:val="auto"/>
              </w:rPr>
            </w:pPr>
          </w:p>
        </w:tc>
        <w:tc>
          <w:tcPr>
            <w:tcW w:w="1160" w:type="dxa"/>
            <w:vAlign w:val="bottom"/>
            <w:tcBorders>
              <w:bottom w:val="single" w:sz="8" w:color="DBDBDB"/>
            </w:tcBorders>
            <w:vMerge w:val="continue"/>
            <w:shd w:val="clear" w:color="auto" w:fill="DBDBDB"/>
          </w:tcPr>
          <w:p>
            <w:pPr>
              <w:spacing w:after="0"/>
              <w:rPr>
                <w:sz w:val="10"/>
                <w:szCs w:val="10"/>
                <w:color w:val="auto"/>
              </w:rPr>
            </w:pPr>
          </w:p>
        </w:tc>
        <w:tc>
          <w:tcPr>
            <w:tcW w:w="1100" w:type="dxa"/>
            <w:vAlign w:val="bottom"/>
            <w:tcBorders>
              <w:bottom w:val="single" w:sz="8" w:color="DBDBDB"/>
            </w:tcBorders>
            <w:vMerge w:val="continue"/>
            <w:shd w:val="clear" w:color="auto" w:fill="DBDBDB"/>
          </w:tcPr>
          <w:p>
            <w:pPr>
              <w:spacing w:after="0"/>
              <w:rPr>
                <w:sz w:val="10"/>
                <w:szCs w:val="10"/>
                <w:color w:val="auto"/>
              </w:rPr>
            </w:pPr>
          </w:p>
        </w:tc>
        <w:tc>
          <w:tcPr>
            <w:tcW w:w="1620" w:type="dxa"/>
            <w:vAlign w:val="bottom"/>
            <w:tcBorders>
              <w:bottom w:val="single" w:sz="8" w:color="DBDBDB"/>
            </w:tcBorders>
            <w:vMerge w:val="continue"/>
            <w:shd w:val="clear" w:color="auto" w:fill="DBDBDB"/>
          </w:tcPr>
          <w:p>
            <w:pPr>
              <w:spacing w:after="0"/>
              <w:rPr>
                <w:sz w:val="10"/>
                <w:szCs w:val="10"/>
                <w:color w:val="auto"/>
              </w:rPr>
            </w:pPr>
          </w:p>
        </w:tc>
        <w:tc>
          <w:tcPr>
            <w:tcW w:w="1620" w:type="dxa"/>
            <w:vAlign w:val="bottom"/>
            <w:tcBorders>
              <w:bottom w:val="single" w:sz="8" w:color="DBDBDB"/>
            </w:tcBorders>
            <w:vMerge w:val="continue"/>
            <w:shd w:val="clear" w:color="auto" w:fill="DBDBDB"/>
          </w:tcPr>
          <w:p>
            <w:pPr>
              <w:spacing w:after="0"/>
              <w:rPr>
                <w:sz w:val="10"/>
                <w:szCs w:val="10"/>
                <w:color w:val="auto"/>
              </w:rPr>
            </w:pPr>
          </w:p>
        </w:tc>
        <w:tc>
          <w:tcPr>
            <w:tcW w:w="102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Antonio Bautista</w:t>
            </w:r>
          </w:p>
        </w:tc>
        <w:tc>
          <w:tcPr>
            <w:tcW w:w="620" w:type="dxa"/>
            <w:vAlign w:val="bottom"/>
          </w:tcPr>
          <w:p>
            <w:pPr>
              <w:jc w:val="right"/>
              <w:spacing w:after="0"/>
              <w:rPr>
                <w:sz w:val="20"/>
                <w:szCs w:val="20"/>
                <w:color w:val="auto"/>
              </w:rPr>
            </w:pPr>
            <w:r>
              <w:rPr>
                <w:rFonts w:ascii="Arial" w:cs="Arial" w:eastAsia="Arial" w:hAnsi="Arial"/>
                <w:sz w:val="14"/>
                <w:szCs w:val="14"/>
                <w:color w:val="auto"/>
              </w:rPr>
              <w:t>2025</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427,000</w:t>
            </w:r>
          </w:p>
        </w:tc>
        <w:tc>
          <w:tcPr>
            <w:tcW w:w="900" w:type="dxa"/>
            <w:vAlign w:val="bottom"/>
          </w:tcPr>
          <w:p>
            <w:pPr>
              <w:ind w:left="5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1,172,447</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864,520</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4,485</w:t>
            </w:r>
          </w:p>
        </w:tc>
        <w:tc>
          <w:tcPr>
            <w:tcW w:w="1020" w:type="dxa"/>
            <w:vAlign w:val="bottom"/>
          </w:tcPr>
          <w:p>
            <w:pPr>
              <w:jc w:val="right"/>
              <w:spacing w:after="0"/>
              <w:rPr>
                <w:sz w:val="20"/>
                <w:szCs w:val="20"/>
                <w:color w:val="auto"/>
              </w:rPr>
            </w:pPr>
            <w:r>
              <w:rPr>
                <w:rFonts w:ascii="Arial" w:cs="Arial" w:eastAsia="Arial" w:hAnsi="Arial"/>
                <w:sz w:val="14"/>
                <w:szCs w:val="14"/>
                <w:color w:val="auto"/>
              </w:rPr>
              <w:t>2,468,453</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(President, International)</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438,496</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auto"/>
              </w:rPr>
              <w:t>142,327</w:t>
            </w: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56,655</w:t>
            </w:r>
          </w:p>
        </w:tc>
        <w:tc>
          <w:tcPr>
            <w:tcW w:w="1620" w:type="dxa"/>
            <w:vAlign w:val="bottom"/>
            <w:vMerge w:val="restart"/>
          </w:tcPr>
          <w:p>
            <w:pPr>
              <w:jc w:val="right"/>
              <w:ind w:right="148"/>
              <w:spacing w:after="0"/>
              <w:rPr>
                <w:sz w:val="20"/>
                <w:szCs w:val="20"/>
                <w:color w:val="auto"/>
              </w:rPr>
            </w:pPr>
            <w:r>
              <w:rPr>
                <w:rFonts w:ascii="Arial" w:cs="Arial" w:eastAsia="Arial" w:hAnsi="Arial"/>
                <w:sz w:val="14"/>
                <w:szCs w:val="14"/>
                <w:color w:val="auto"/>
              </w:rPr>
              <w:t>128,100</w:t>
            </w:r>
          </w:p>
        </w:tc>
        <w:tc>
          <w:tcPr>
            <w:tcW w:w="1620" w:type="dxa"/>
            <w:vAlign w:val="bottom"/>
            <w:vMerge w:val="restart"/>
          </w:tcPr>
          <w:p>
            <w:pPr>
              <w:jc w:val="right"/>
              <w:ind w:right="150"/>
              <w:spacing w:after="0"/>
              <w:rPr>
                <w:sz w:val="20"/>
                <w:szCs w:val="20"/>
                <w:color w:val="auto"/>
              </w:rPr>
            </w:pPr>
            <w:r>
              <w:rPr>
                <w:rFonts w:ascii="Arial" w:cs="Arial" w:eastAsia="Arial" w:hAnsi="Arial"/>
                <w:sz w:val="14"/>
                <w:szCs w:val="14"/>
                <w:color w:val="auto"/>
              </w:rPr>
              <w:t>12,157</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777,735</w:t>
            </w: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0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435,212</w:t>
            </w:r>
          </w:p>
        </w:tc>
        <w:tc>
          <w:tcPr>
            <w:tcW w:w="900" w:type="dxa"/>
            <w:vAlign w:val="bottom"/>
          </w:tcPr>
          <w:p>
            <w:pPr>
              <w:ind w:left="5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160,125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160,125</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755,462</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8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Steve Klohn (Chief</w:t>
            </w:r>
          </w:p>
        </w:tc>
        <w:tc>
          <w:tcPr>
            <w:tcW w:w="6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6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Information Officer)</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2025</w:t>
            </w:r>
          </w:p>
        </w:tc>
        <w:tc>
          <w:tcPr>
            <w:tcW w:w="1120" w:type="dxa"/>
            <w:vAlign w:val="bottom"/>
            <w:tcBorders>
              <w:bottom w:val="single" w:sz="8" w:color="DBDBDB"/>
            </w:tcBorders>
            <w:shd w:val="clear" w:color="auto" w:fill="DBDBDB"/>
          </w:tcPr>
          <w:p>
            <w:pPr>
              <w:jc w:val="right"/>
              <w:ind w:right="88"/>
              <w:spacing w:after="0"/>
              <w:rPr>
                <w:sz w:val="20"/>
                <w:szCs w:val="20"/>
                <w:color w:val="auto"/>
              </w:rPr>
            </w:pPr>
            <w:r>
              <w:rPr>
                <w:rFonts w:ascii="Arial" w:cs="Arial" w:eastAsia="Arial" w:hAnsi="Arial"/>
                <w:sz w:val="14"/>
                <w:szCs w:val="14"/>
                <w:color w:val="auto"/>
              </w:rPr>
              <w:t>400,000</w:t>
            </w:r>
          </w:p>
        </w:tc>
        <w:tc>
          <w:tcPr>
            <w:tcW w:w="900" w:type="dxa"/>
            <w:vAlign w:val="bottom"/>
            <w:tcBorders>
              <w:bottom w:val="single" w:sz="8" w:color="DBDBDB"/>
            </w:tcBorders>
            <w:shd w:val="clear" w:color="auto" w:fill="DBDBDB"/>
          </w:tcPr>
          <w:p>
            <w:pPr>
              <w:ind w:left="54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1,590,227</w:t>
            </w:r>
          </w:p>
        </w:tc>
        <w:tc>
          <w:tcPr>
            <w:tcW w:w="11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929,440</w:t>
            </w:r>
          </w:p>
        </w:tc>
        <w:tc>
          <w:tcPr>
            <w:tcW w:w="1620" w:type="dxa"/>
            <w:vAlign w:val="bottom"/>
            <w:tcBorders>
              <w:bottom w:val="single" w:sz="8" w:color="DBDBDB"/>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4"/>
                <w:szCs w:val="14"/>
                <w:color w:val="auto"/>
              </w:rPr>
              <w:t>12,923</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2,932,590</w:t>
            </w: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Tony Wehner</w:t>
            </w:r>
          </w:p>
        </w:tc>
        <w:tc>
          <w:tcPr>
            <w:tcW w:w="620" w:type="dxa"/>
            <w:vAlign w:val="bottom"/>
          </w:tcPr>
          <w:p>
            <w:pPr>
              <w:jc w:val="right"/>
              <w:spacing w:after="0"/>
              <w:rPr>
                <w:sz w:val="20"/>
                <w:szCs w:val="20"/>
                <w:color w:val="auto"/>
              </w:rPr>
            </w:pPr>
            <w:r>
              <w:rPr>
                <w:rFonts w:ascii="Arial" w:cs="Arial" w:eastAsia="Arial" w:hAnsi="Arial"/>
                <w:sz w:val="14"/>
                <w:szCs w:val="14"/>
                <w:color w:val="auto"/>
              </w:rPr>
              <w:t>2025</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450,000</w:t>
            </w:r>
          </w:p>
        </w:tc>
        <w:tc>
          <w:tcPr>
            <w:tcW w:w="900" w:type="dxa"/>
            <w:vAlign w:val="bottom"/>
          </w:tcPr>
          <w:p>
            <w:pPr>
              <w:ind w:left="5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1,564,306</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767,343</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8,750</w:t>
            </w:r>
          </w:p>
        </w:tc>
        <w:tc>
          <w:tcPr>
            <w:tcW w:w="1020" w:type="dxa"/>
            <w:vAlign w:val="bottom"/>
          </w:tcPr>
          <w:p>
            <w:pPr>
              <w:jc w:val="right"/>
              <w:spacing w:after="0"/>
              <w:rPr>
                <w:sz w:val="20"/>
                <w:szCs w:val="20"/>
                <w:color w:val="auto"/>
              </w:rPr>
            </w:pPr>
            <w:r>
              <w:rPr>
                <w:rFonts w:ascii="Arial" w:cs="Arial" w:eastAsia="Arial" w:hAnsi="Arial"/>
                <w:sz w:val="14"/>
                <w:szCs w:val="14"/>
                <w:color w:val="auto"/>
              </w:rPr>
              <w:t>2,790,399</w:t>
            </w: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(President, Main Event)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color w:val="auto"/>
              </w:rPr>
              <w:t>464,940</w:t>
            </w:r>
          </w:p>
        </w:tc>
        <w:tc>
          <w:tcPr>
            <w:tcW w:w="90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28"/>
              <w:spacing w:after="0"/>
              <w:rPr>
                <w:sz w:val="20"/>
                <w:szCs w:val="20"/>
                <w:color w:val="auto"/>
              </w:rPr>
            </w:pPr>
            <w:r>
              <w:rPr>
                <w:rFonts w:ascii="Arial" w:cs="Arial" w:eastAsia="Arial" w:hAnsi="Arial"/>
                <w:sz w:val="14"/>
                <w:szCs w:val="14"/>
                <w:color w:val="auto"/>
              </w:rPr>
              <w:t>179,891</w:t>
            </w: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color w:val="auto"/>
              </w:rPr>
              <w:t>63,706</w:t>
            </w:r>
          </w:p>
        </w:tc>
        <w:tc>
          <w:tcPr>
            <w:tcW w:w="1620" w:type="dxa"/>
            <w:vAlign w:val="bottom"/>
            <w:vMerge w:val="restart"/>
          </w:tcPr>
          <w:p>
            <w:pPr>
              <w:jc w:val="right"/>
              <w:ind w:right="148"/>
              <w:spacing w:after="0"/>
              <w:rPr>
                <w:sz w:val="20"/>
                <w:szCs w:val="20"/>
                <w:color w:val="auto"/>
              </w:rPr>
            </w:pPr>
            <w:r>
              <w:rPr>
                <w:rFonts w:ascii="Arial" w:cs="Arial" w:eastAsia="Arial" w:hAnsi="Arial"/>
                <w:sz w:val="14"/>
                <w:szCs w:val="14"/>
                <w:color w:val="auto"/>
              </w:rPr>
              <w:t>180,000</w:t>
            </w:r>
          </w:p>
        </w:tc>
        <w:tc>
          <w:tcPr>
            <w:tcW w:w="1620" w:type="dxa"/>
            <w:vAlign w:val="bottom"/>
            <w:vMerge w:val="restart"/>
          </w:tcPr>
          <w:p>
            <w:pPr>
              <w:jc w:val="right"/>
              <w:ind w:right="150"/>
              <w:spacing w:after="0"/>
              <w:rPr>
                <w:sz w:val="20"/>
                <w:szCs w:val="20"/>
                <w:color w:val="auto"/>
              </w:rPr>
            </w:pPr>
            <w:r>
              <w:rPr>
                <w:rFonts w:ascii="Arial" w:cs="Arial" w:eastAsia="Arial" w:hAnsi="Arial"/>
                <w:sz w:val="14"/>
                <w:szCs w:val="14"/>
                <w:color w:val="auto"/>
              </w:rPr>
              <w:t>9,657</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898,194</w:t>
            </w:r>
          </w:p>
        </w:tc>
        <w:tc>
          <w:tcPr>
            <w:tcW w:w="0" w:type="dxa"/>
            <w:vAlign w:val="bottom"/>
          </w:tcPr>
          <w:p>
            <w:pPr>
              <w:spacing w:after="0"/>
              <w:rPr>
                <w:sz w:val="1"/>
                <w:szCs w:val="1"/>
                <w:color w:val="auto"/>
              </w:rPr>
            </w:pPr>
          </w:p>
        </w:tc>
      </w:tr>
      <w:tr>
        <w:trPr>
          <w:trHeight w:val="115"/>
        </w:trPr>
        <w:tc>
          <w:tcPr>
            <w:tcW w:w="2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2023</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453,077</w:t>
            </w:r>
          </w:p>
        </w:tc>
        <w:tc>
          <w:tcPr>
            <w:tcW w:w="900" w:type="dxa"/>
            <w:vAlign w:val="bottom"/>
          </w:tcPr>
          <w:p>
            <w:pPr>
              <w:ind w:left="54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202,442</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67,478</w:t>
            </w:r>
          </w:p>
        </w:tc>
        <w:tc>
          <w:tcPr>
            <w:tcW w:w="16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50"/>
              <w:spacing w:after="0"/>
              <w:rPr>
                <w:sz w:val="20"/>
                <w:szCs w:val="20"/>
                <w:color w:val="auto"/>
              </w:rPr>
            </w:pPr>
            <w:r>
              <w:rPr>
                <w:rFonts w:ascii="Arial" w:cs="Arial" w:eastAsia="Arial" w:hAnsi="Arial"/>
                <w:sz w:val="14"/>
                <w:szCs w:val="14"/>
                <w:color w:val="auto"/>
              </w:rPr>
              <w:t>11,922</w:t>
            </w:r>
          </w:p>
        </w:tc>
        <w:tc>
          <w:tcPr>
            <w:tcW w:w="1020" w:type="dxa"/>
            <w:vAlign w:val="bottom"/>
          </w:tcPr>
          <w:p>
            <w:pPr>
              <w:jc w:val="right"/>
              <w:spacing w:after="0"/>
              <w:rPr>
                <w:sz w:val="20"/>
                <w:szCs w:val="20"/>
                <w:color w:val="auto"/>
              </w:rPr>
            </w:pPr>
            <w:r>
              <w:rPr>
                <w:rFonts w:ascii="Arial" w:cs="Arial" w:eastAsia="Arial" w:hAnsi="Arial"/>
                <w:sz w:val="14"/>
                <w:szCs w:val="14"/>
                <w:color w:val="auto"/>
              </w:rPr>
              <w:t>734,919</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420" w:hanging="413"/>
        <w:spacing w:after="0" w:line="226" w:lineRule="auto"/>
        <w:tabs>
          <w:tab w:leader="none" w:pos="413"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The following salary deferrals were made under the SERP in fiscal 2025: Mr. Lal $2,769; Mr. Sheehan $228,846; Mr. Bautista $3,285; Mr. Klohn $18,462; and Mr. Wehner $22,500.</w:t>
      </w:r>
    </w:p>
    <w:p>
      <w:pPr>
        <w:spacing w:after="0" w:line="1" w:lineRule="exact"/>
        <w:rPr>
          <w:rFonts w:ascii="Arial" w:cs="Arial" w:eastAsia="Arial" w:hAnsi="Arial"/>
          <w:sz w:val="21"/>
          <w:szCs w:val="21"/>
          <w:color w:val="auto"/>
          <w:vertAlign w:val="superscript"/>
        </w:rPr>
      </w:pPr>
    </w:p>
    <w:p>
      <w:pPr>
        <w:jc w:val="both"/>
        <w:ind w:left="420" w:hanging="413"/>
        <w:spacing w:after="0" w:line="242" w:lineRule="auto"/>
        <w:tabs>
          <w:tab w:leader="none" w:pos="413"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 xml:space="preserve">Amounts in this column include the aggregate grant date fair value of RSUs and PSUs calculated in accordance with Financial Accounting Standards Board Accounting Standards Codification Topic 718 (“ASC 718”). These amounts do not include any reduction in value for the possibility of forfeiture. The discussion of the assumptions used for purposes of valuation of RSUs in fiscal 2025 appears in Note 9: Stockholders’ Equity, </w:t>
      </w:r>
      <w:r>
        <w:rPr>
          <w:rFonts w:ascii="Arial" w:cs="Arial" w:eastAsia="Arial" w:hAnsi="Arial"/>
          <w:sz w:val="16"/>
          <w:szCs w:val="16"/>
          <w:i w:val="1"/>
          <w:iCs w:val="1"/>
          <w:color w:val="auto"/>
        </w:rPr>
        <w:t>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to our consolidated financial statements included in our Annual Report on Form 10-K. The grant date fair value for PSUs is the target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based upon the probable outcome of the performance conditions on the grant date in accordance with SEC rules. Also with respect to the amounts reported for fiscal 2025 for Messrs. Harper, Bautista, Klohn and Wehner, includes the incremental fair value on the date on which the Cancelled PSUs were cancelled and replaced with the One-Time Grants, computed in accordance with ASC Topic 718, excluding any reduction in value for the possibility of forfeiture.</w:t>
      </w:r>
    </w:p>
    <w:p>
      <w:pPr>
        <w:spacing w:after="0" w:line="3" w:lineRule="exact"/>
        <w:rPr>
          <w:rFonts w:ascii="Arial" w:cs="Arial" w:eastAsia="Arial" w:hAnsi="Arial"/>
          <w:sz w:val="21"/>
          <w:szCs w:val="21"/>
          <w:color w:val="auto"/>
          <w:vertAlign w:val="superscript"/>
        </w:rPr>
      </w:pPr>
    </w:p>
    <w:p>
      <w:pPr>
        <w:ind w:left="420" w:hanging="413"/>
        <w:spacing w:after="0" w:line="219" w:lineRule="auto"/>
        <w:tabs>
          <w:tab w:leader="none" w:pos="413"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Amounts in this column reflect the aggregate grant date fair value of options calculated in accordance with ASC 718. These amounts do not include any reduction in value for the possibility of forfeiture.</w:t>
      </w:r>
    </w:p>
    <w:p>
      <w:pPr>
        <w:spacing w:after="0" w:line="1" w:lineRule="exact"/>
        <w:rPr>
          <w:rFonts w:ascii="Arial" w:cs="Arial" w:eastAsia="Arial" w:hAnsi="Arial"/>
          <w:sz w:val="21"/>
          <w:szCs w:val="21"/>
          <w:color w:val="auto"/>
          <w:vertAlign w:val="superscript"/>
        </w:rPr>
      </w:pPr>
    </w:p>
    <w:p>
      <w:pPr>
        <w:jc w:val="both"/>
        <w:ind w:left="420" w:hanging="413"/>
        <w:spacing w:after="0" w:line="232" w:lineRule="auto"/>
        <w:tabs>
          <w:tab w:leader="none" w:pos="413"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Amounts in this column for 2025 would reflect the annual incentive earned for fiscal 2025 under the Executive Incentive Plan. In March 2026, the Compensation Committee determined that the bonuses would be paid in the form of RSUs. The Compensation Committee determined that the target Company performance components of the Executive Incentive Plan had not been met. As a result, no bonus was paid to any NEO for fiscal 2025 under the Executive Incentive Plan</w:t>
      </w:r>
    </w:p>
    <w:p>
      <w:pPr>
        <w:spacing w:after="0" w:line="2" w:lineRule="exact"/>
        <w:rPr>
          <w:rFonts w:ascii="Arial" w:cs="Arial" w:eastAsia="Arial" w:hAnsi="Arial"/>
          <w:sz w:val="21"/>
          <w:szCs w:val="21"/>
          <w:color w:val="auto"/>
          <w:vertAlign w:val="superscript"/>
        </w:rPr>
      </w:pPr>
    </w:p>
    <w:p>
      <w:pPr>
        <w:ind w:left="400" w:hanging="393"/>
        <w:spacing w:after="0" w:line="186" w:lineRule="auto"/>
        <w:tabs>
          <w:tab w:leader="none" w:pos="400"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All Other Compensation for Mr. Sheehan includes compensation as a board member during the respective year.</w:t>
      </w:r>
    </w:p>
    <w:p>
      <w:pPr>
        <w:ind w:left="400" w:hanging="393"/>
        <w:spacing w:after="0" w:line="196" w:lineRule="auto"/>
        <w:tabs>
          <w:tab w:leader="none" w:pos="400" w:val="left"/>
        </w:tabs>
        <w:numPr>
          <w:ilvl w:val="0"/>
          <w:numId w:val="83"/>
        </w:numPr>
        <w:rPr>
          <w:rFonts w:ascii="Arial" w:cs="Arial" w:eastAsia="Arial" w:hAnsi="Arial"/>
          <w:sz w:val="21"/>
          <w:szCs w:val="21"/>
          <w:color w:val="auto"/>
          <w:vertAlign w:val="superscript"/>
        </w:rPr>
      </w:pPr>
      <w:r>
        <w:rPr>
          <w:rFonts w:ascii="Arial" w:cs="Arial" w:eastAsia="Arial" w:hAnsi="Arial"/>
          <w:sz w:val="16"/>
          <w:szCs w:val="16"/>
          <w:color w:val="auto"/>
        </w:rPr>
        <w:t>The following table sets forth the components of “All Other Compensation”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274320</wp:posOffset>
            </wp:positionV>
            <wp:extent cx="71329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38</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tbl>
      <w:tblPr>
        <w:tblLayout w:type="fixed"/>
        <w:tblInd w:w="140" w:type="dxa"/>
        <w:tblCellMar>
          <w:top w:w="0" w:type="dxa"/>
          <w:left w:w="0" w:type="dxa"/>
          <w:bottom w:w="0" w:type="dxa"/>
          <w:right w:w="0" w:type="dxa"/>
        </w:tblCellMar>
      </w:tblPr>
      <w:tr>
        <w:trPr>
          <w:trHeight w:val="188"/>
        </w:trPr>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Company</w:t>
            </w:r>
          </w:p>
        </w:tc>
        <w:tc>
          <w:tcPr>
            <w:tcW w:w="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tcPr>
          <w:p>
            <w:pPr>
              <w:jc w:val="center"/>
              <w:ind w:right="199"/>
              <w:spacing w:after="0"/>
              <w:rPr>
                <w:sz w:val="20"/>
                <w:szCs w:val="20"/>
                <w:color w:val="auto"/>
              </w:rPr>
            </w:pPr>
            <w:r>
              <w:rPr>
                <w:rFonts w:ascii="Arial" w:cs="Arial" w:eastAsia="Arial" w:hAnsi="Arial"/>
                <w:sz w:val="16"/>
                <w:szCs w:val="16"/>
                <w:b w:val="1"/>
                <w:bCs w:val="1"/>
                <w:color w:val="auto"/>
              </w:rPr>
              <w:t>Company</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Contributions</w:t>
            </w:r>
          </w:p>
        </w:tc>
        <w:tc>
          <w:tcPr>
            <w:tcW w:w="4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60" w:type="dxa"/>
            <w:vAlign w:val="bottom"/>
          </w:tcPr>
          <w:p>
            <w:pPr>
              <w:jc w:val="center"/>
              <w:ind w:right="199"/>
              <w:spacing w:after="0"/>
              <w:rPr>
                <w:sz w:val="20"/>
                <w:szCs w:val="20"/>
                <w:color w:val="auto"/>
              </w:rPr>
            </w:pPr>
            <w:r>
              <w:rPr>
                <w:rFonts w:ascii="Arial" w:cs="Arial" w:eastAsia="Arial" w:hAnsi="Arial"/>
                <w:sz w:val="16"/>
                <w:szCs w:val="16"/>
                <w:b w:val="1"/>
                <w:bCs w:val="1"/>
                <w:color w:val="auto"/>
              </w:rPr>
              <w:t>Contributions to</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to Deferred</w:t>
            </w: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60" w:type="dxa"/>
            <w:vAlign w:val="bottom"/>
          </w:tcPr>
          <w:p>
            <w:pPr>
              <w:jc w:val="center"/>
              <w:ind w:right="219"/>
              <w:spacing w:after="0"/>
              <w:rPr>
                <w:sz w:val="20"/>
                <w:szCs w:val="20"/>
                <w:color w:val="auto"/>
              </w:rPr>
            </w:pPr>
            <w:r>
              <w:rPr>
                <w:rFonts w:ascii="Arial" w:cs="Arial" w:eastAsia="Arial" w:hAnsi="Arial"/>
                <w:sz w:val="16"/>
                <w:szCs w:val="16"/>
                <w:b w:val="1"/>
                <w:bCs w:val="1"/>
                <w:color w:val="auto"/>
              </w:rPr>
              <w:t>Retirement &amp;</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Compensation</w:t>
            </w:r>
          </w:p>
        </w:tc>
        <w:tc>
          <w:tcPr>
            <w:tcW w:w="420" w:type="dxa"/>
            <w:vAlign w:val="bottom"/>
          </w:tcPr>
          <w:p>
            <w:pPr>
              <w:spacing w:after="0"/>
              <w:rPr>
                <w:sz w:val="17"/>
                <w:szCs w:val="17"/>
                <w:color w:val="auto"/>
              </w:rPr>
            </w:pPr>
          </w:p>
        </w:tc>
        <w:tc>
          <w:tcPr>
            <w:tcW w:w="1980" w:type="dxa"/>
            <w:vAlign w:val="bottom"/>
          </w:tcPr>
          <w:p>
            <w:pPr>
              <w:jc w:val="center"/>
              <w:ind w:right="442"/>
              <w:spacing w:after="0"/>
              <w:rPr>
                <w:sz w:val="20"/>
                <w:szCs w:val="20"/>
                <w:color w:val="auto"/>
              </w:rPr>
            </w:pPr>
            <w:r>
              <w:rPr>
                <w:rFonts w:ascii="Arial" w:cs="Arial" w:eastAsia="Arial" w:hAnsi="Arial"/>
                <w:sz w:val="14"/>
                <w:szCs w:val="14"/>
                <w:b w:val="1"/>
                <w:bCs w:val="1"/>
                <w:color w:val="auto"/>
              </w:rPr>
              <w:t>Board</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960" w:type="dxa"/>
            <w:vAlign w:val="bottom"/>
          </w:tcPr>
          <w:p>
            <w:pPr>
              <w:spacing w:after="0"/>
              <w:rPr>
                <w:sz w:val="16"/>
                <w:szCs w:val="16"/>
                <w:color w:val="auto"/>
              </w:rPr>
            </w:pPr>
          </w:p>
        </w:tc>
        <w:tc>
          <w:tcPr>
            <w:tcW w:w="1860" w:type="dxa"/>
            <w:vAlign w:val="bottom"/>
          </w:tcPr>
          <w:p>
            <w:pPr>
              <w:jc w:val="center"/>
              <w:ind w:right="219"/>
              <w:spacing w:after="0" w:line="189" w:lineRule="exact"/>
              <w:rPr>
                <w:sz w:val="20"/>
                <w:szCs w:val="20"/>
                <w:color w:val="auto"/>
              </w:rPr>
            </w:pPr>
            <w:r>
              <w:rPr>
                <w:rFonts w:ascii="Arial" w:cs="Arial" w:eastAsia="Arial" w:hAnsi="Arial"/>
                <w:sz w:val="16"/>
                <w:szCs w:val="16"/>
                <w:b w:val="1"/>
                <w:bCs w:val="1"/>
                <w:color w:val="auto"/>
                <w:w w:val="98"/>
              </w:rPr>
              <w:t xml:space="preserve">401(k) Plans </w:t>
            </w:r>
            <w:r>
              <w:rPr>
                <w:rFonts w:ascii="Arial" w:cs="Arial" w:eastAsia="Arial" w:hAnsi="Arial"/>
                <w:sz w:val="20"/>
                <w:szCs w:val="20"/>
                <w:b w:val="1"/>
                <w:bCs w:val="1"/>
                <w:color w:val="auto"/>
                <w:w w:val="98"/>
                <w:vertAlign w:val="superscript"/>
              </w:rPr>
              <w:t>(a)</w:t>
            </w:r>
          </w:p>
        </w:tc>
        <w:tc>
          <w:tcPr>
            <w:tcW w:w="1680" w:type="dxa"/>
            <w:vAlign w:val="bottom"/>
          </w:tcPr>
          <w:p>
            <w:pPr>
              <w:jc w:val="center"/>
              <w:spacing w:after="0" w:line="189" w:lineRule="exact"/>
              <w:rPr>
                <w:sz w:val="20"/>
                <w:szCs w:val="20"/>
                <w:color w:val="auto"/>
              </w:rPr>
            </w:pPr>
            <w:r>
              <w:rPr>
                <w:rFonts w:ascii="Arial" w:cs="Arial" w:eastAsia="Arial" w:hAnsi="Arial"/>
                <w:sz w:val="16"/>
                <w:szCs w:val="16"/>
                <w:b w:val="1"/>
                <w:bCs w:val="1"/>
                <w:color w:val="auto"/>
                <w:w w:val="95"/>
              </w:rPr>
              <w:t>Match</w:t>
            </w:r>
            <w:r>
              <w:rPr>
                <w:rFonts w:ascii="Arial" w:cs="Arial" w:eastAsia="Arial" w:hAnsi="Arial"/>
                <w:sz w:val="20"/>
                <w:szCs w:val="20"/>
                <w:b w:val="1"/>
                <w:bCs w:val="1"/>
                <w:color w:val="auto"/>
                <w:w w:val="95"/>
                <w:vertAlign w:val="superscript"/>
              </w:rPr>
              <w:t>(a)</w:t>
            </w:r>
          </w:p>
        </w:tc>
        <w:tc>
          <w:tcPr>
            <w:tcW w:w="420" w:type="dxa"/>
            <w:vAlign w:val="bottom"/>
          </w:tcPr>
          <w:p>
            <w:pPr>
              <w:spacing w:after="0"/>
              <w:rPr>
                <w:sz w:val="16"/>
                <w:szCs w:val="16"/>
                <w:color w:val="auto"/>
              </w:rPr>
            </w:pPr>
          </w:p>
        </w:tc>
        <w:tc>
          <w:tcPr>
            <w:tcW w:w="1980" w:type="dxa"/>
            <w:vAlign w:val="bottom"/>
          </w:tcPr>
          <w:p>
            <w:pPr>
              <w:jc w:val="center"/>
              <w:ind w:right="422"/>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8"/>
        </w:trPr>
        <w:tc>
          <w:tcPr>
            <w:tcW w:w="2080" w:type="dxa"/>
            <w:vAlign w:val="bottom"/>
            <w:tcBorders>
              <w:bottom w:val="single" w:sz="8" w:color="00497F"/>
            </w:tcBorders>
            <w:vMerge w:val="continue"/>
          </w:tcPr>
          <w:p>
            <w:pPr>
              <w:spacing w:after="0"/>
              <w:rPr>
                <w:sz w:val="19"/>
                <w:szCs w:val="19"/>
                <w:color w:val="auto"/>
              </w:rPr>
            </w:pPr>
          </w:p>
        </w:tc>
        <w:tc>
          <w:tcPr>
            <w:tcW w:w="960" w:type="dxa"/>
            <w:vAlign w:val="bottom"/>
            <w:tcBorders>
              <w:bottom w:val="single" w:sz="8" w:color="00497F"/>
            </w:tcBorders>
          </w:tcPr>
          <w:p>
            <w:pPr>
              <w:spacing w:after="0"/>
              <w:rPr>
                <w:sz w:val="19"/>
                <w:szCs w:val="19"/>
                <w:color w:val="auto"/>
              </w:rPr>
            </w:pPr>
          </w:p>
        </w:tc>
        <w:tc>
          <w:tcPr>
            <w:tcW w:w="1860" w:type="dxa"/>
            <w:vAlign w:val="bottom"/>
            <w:tcBorders>
              <w:bottom w:val="single" w:sz="8" w:color="00497F"/>
            </w:tcBorders>
          </w:tcPr>
          <w:p>
            <w:pPr>
              <w:jc w:val="center"/>
              <w:ind w:right="219"/>
              <w:spacing w:after="0"/>
              <w:rPr>
                <w:sz w:val="20"/>
                <w:szCs w:val="20"/>
                <w:color w:val="auto"/>
              </w:rPr>
            </w:pPr>
            <w:r>
              <w:rPr>
                <w:rFonts w:ascii="Arial" w:cs="Arial" w:eastAsia="Arial" w:hAnsi="Arial"/>
                <w:sz w:val="16"/>
                <w:szCs w:val="16"/>
                <w:b w:val="1"/>
                <w:bCs w:val="1"/>
                <w:color w:val="auto"/>
              </w:rPr>
              <w:t>($)</w:t>
            </w:r>
          </w:p>
        </w:tc>
        <w:tc>
          <w:tcPr>
            <w:tcW w:w="1680" w:type="dxa"/>
            <w:vAlign w:val="bottom"/>
            <w:tcBorders>
              <w:bottom w:val="single" w:sz="8" w:color="00497F"/>
            </w:tcBorders>
          </w:tcPr>
          <w:p>
            <w:pPr>
              <w:jc w:val="center"/>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00497F"/>
            </w:tcBorders>
          </w:tcPr>
          <w:p>
            <w:pPr>
              <w:spacing w:after="0"/>
              <w:rPr>
                <w:sz w:val="19"/>
                <w:szCs w:val="19"/>
                <w:color w:val="auto"/>
              </w:rPr>
            </w:pPr>
          </w:p>
        </w:tc>
        <w:tc>
          <w:tcPr>
            <w:tcW w:w="1980" w:type="dxa"/>
            <w:vAlign w:val="bottom"/>
            <w:tcBorders>
              <w:bottom w:val="single" w:sz="8" w:color="00497F"/>
            </w:tcBorders>
          </w:tcPr>
          <w:p>
            <w:pPr>
              <w:jc w:val="center"/>
              <w:ind w:right="442"/>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00497F"/>
            </w:tcBorders>
          </w:tcPr>
          <w:p>
            <w:pPr>
              <w:jc w:val="right"/>
              <w:ind w:right="6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2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Tarun Lal</w:t>
            </w:r>
          </w:p>
        </w:tc>
        <w:tc>
          <w:tcPr>
            <w:tcW w:w="960" w:type="dxa"/>
            <w:vAlign w:val="bottom"/>
            <w:shd w:val="clear" w:color="auto" w:fill="DBDBDB"/>
          </w:tcPr>
          <w:p>
            <w:pPr>
              <w:ind w:left="6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1,385</w:t>
            </w:r>
          </w:p>
        </w:tc>
        <w:tc>
          <w:tcPr>
            <w:tcW w:w="420" w:type="dxa"/>
            <w:vAlign w:val="bottom"/>
            <w:shd w:val="clear" w:color="auto" w:fill="DBDBDB"/>
          </w:tcPr>
          <w:p>
            <w:pPr>
              <w:ind w:left="40"/>
              <w:spacing w:after="0"/>
              <w:rPr>
                <w:sz w:val="20"/>
                <w:szCs w:val="20"/>
                <w:color w:val="auto"/>
              </w:rPr>
            </w:pPr>
            <w:r>
              <w:rPr>
                <w:rFonts w:ascii="Arial" w:cs="Arial" w:eastAsia="Arial" w:hAnsi="Arial"/>
                <w:sz w:val="16"/>
                <w:szCs w:val="16"/>
                <w:color w:val="auto"/>
              </w:rPr>
              <w:t>—</w:t>
            </w:r>
          </w:p>
        </w:tc>
        <w:tc>
          <w:tcPr>
            <w:tcW w:w="1980" w:type="dxa"/>
            <w:vAlign w:val="bottom"/>
            <w:shd w:val="clear" w:color="auto" w:fill="DBDBDB"/>
          </w:tcPr>
          <w:p>
            <w:pPr>
              <w:jc w:val="right"/>
              <w:ind w:right="342"/>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42"/>
        </w:trPr>
        <w:tc>
          <w:tcPr>
            <w:tcW w:w="2080" w:type="dxa"/>
            <w:vAlign w:val="bottom"/>
          </w:tcPr>
          <w:p>
            <w:pPr>
              <w:ind w:left="20"/>
              <w:spacing w:after="0"/>
              <w:rPr>
                <w:sz w:val="20"/>
                <w:szCs w:val="20"/>
                <w:color w:val="auto"/>
              </w:rPr>
            </w:pPr>
            <w:r>
              <w:rPr>
                <w:rFonts w:ascii="Arial" w:cs="Arial" w:eastAsia="Arial" w:hAnsi="Arial"/>
                <w:sz w:val="16"/>
                <w:szCs w:val="16"/>
                <w:color w:val="auto"/>
              </w:rPr>
              <w:t>Kevin M. Sheehan</w:t>
            </w:r>
            <w:r>
              <w:rPr>
                <w:rFonts w:ascii="Arial" w:cs="Arial" w:eastAsia="Arial" w:hAnsi="Arial"/>
                <w:sz w:val="20"/>
                <w:szCs w:val="20"/>
                <w:color w:val="auto"/>
                <w:vertAlign w:val="superscript"/>
              </w:rPr>
              <w:t>(b)</w:t>
            </w:r>
          </w:p>
        </w:tc>
        <w:tc>
          <w:tcPr>
            <w:tcW w:w="960" w:type="dxa"/>
            <w:vAlign w:val="bottom"/>
          </w:tcPr>
          <w:p>
            <w:pPr>
              <w:spacing w:after="0"/>
              <w:rPr>
                <w:sz w:val="21"/>
                <w:szCs w:val="21"/>
                <w:color w:val="auto"/>
              </w:rPr>
            </w:pPr>
          </w:p>
        </w:tc>
        <w:tc>
          <w:tcPr>
            <w:tcW w:w="1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9,519</w:t>
            </w:r>
          </w:p>
        </w:tc>
        <w:tc>
          <w:tcPr>
            <w:tcW w:w="420" w:type="dxa"/>
            <w:vAlign w:val="bottom"/>
          </w:tcPr>
          <w:p>
            <w:pPr>
              <w:spacing w:after="0"/>
              <w:rPr>
                <w:sz w:val="21"/>
                <w:szCs w:val="21"/>
                <w:color w:val="auto"/>
              </w:rPr>
            </w:pPr>
          </w:p>
        </w:tc>
        <w:tc>
          <w:tcPr>
            <w:tcW w:w="1980" w:type="dxa"/>
            <w:vAlign w:val="bottom"/>
          </w:tcPr>
          <w:p>
            <w:pPr>
              <w:jc w:val="right"/>
              <w:ind w:right="342"/>
              <w:spacing w:after="0"/>
              <w:rPr>
                <w:sz w:val="20"/>
                <w:szCs w:val="20"/>
                <w:color w:val="auto"/>
              </w:rPr>
            </w:pPr>
            <w:r>
              <w:rPr>
                <w:rFonts w:ascii="Arial" w:cs="Arial" w:eastAsia="Arial" w:hAnsi="Arial"/>
                <w:sz w:val="16"/>
                <w:szCs w:val="16"/>
                <w:color w:val="auto"/>
              </w:rPr>
              <w:t>255,155</w:t>
            </w:r>
          </w:p>
        </w:tc>
        <w:tc>
          <w:tcPr>
            <w:tcW w:w="1500" w:type="dxa"/>
            <w:vAlign w:val="bottom"/>
          </w:tcPr>
          <w:p>
            <w:pPr>
              <w:jc w:val="right"/>
              <w:spacing w:after="0"/>
              <w:rPr>
                <w:sz w:val="20"/>
                <w:szCs w:val="20"/>
                <w:color w:val="auto"/>
              </w:rPr>
            </w:pPr>
            <w:r>
              <w:rPr>
                <w:rFonts w:ascii="Arial" w:cs="Arial" w:eastAsia="Arial" w:hAnsi="Arial"/>
                <w:sz w:val="16"/>
                <w:szCs w:val="16"/>
                <w:color w:val="auto"/>
              </w:rPr>
              <w:t>264,674</w:t>
            </w:r>
          </w:p>
        </w:tc>
        <w:tc>
          <w:tcPr>
            <w:tcW w:w="0" w:type="dxa"/>
            <w:vAlign w:val="bottom"/>
          </w:tcPr>
          <w:p>
            <w:pPr>
              <w:spacing w:after="0"/>
              <w:rPr>
                <w:sz w:val="1"/>
                <w:szCs w:val="1"/>
                <w:color w:val="auto"/>
              </w:rPr>
            </w:pPr>
          </w:p>
        </w:tc>
      </w:tr>
      <w:tr>
        <w:trPr>
          <w:trHeight w:val="242"/>
        </w:trPr>
        <w:tc>
          <w:tcPr>
            <w:tcW w:w="2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Darin Harper</w:t>
            </w:r>
          </w:p>
        </w:tc>
        <w:tc>
          <w:tcPr>
            <w:tcW w:w="96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DBDBDB"/>
          </w:tcPr>
          <w:p>
            <w:pPr>
              <w:spacing w:after="0"/>
              <w:rPr>
                <w:sz w:val="21"/>
                <w:szCs w:val="21"/>
                <w:color w:val="auto"/>
              </w:rPr>
            </w:pPr>
          </w:p>
        </w:tc>
        <w:tc>
          <w:tcPr>
            <w:tcW w:w="1980" w:type="dxa"/>
            <w:vAlign w:val="bottom"/>
            <w:shd w:val="clear" w:color="auto" w:fill="DBDBDB"/>
          </w:tcPr>
          <w:p>
            <w:pPr>
              <w:jc w:val="right"/>
              <w:ind w:right="342"/>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Arial" w:cs="Arial" w:eastAsia="Arial" w:hAnsi="Arial"/>
                <w:sz w:val="16"/>
                <w:szCs w:val="16"/>
                <w:color w:val="auto"/>
              </w:rPr>
              <w:t>Antonio Bautista</w:t>
            </w:r>
          </w:p>
        </w:tc>
        <w:tc>
          <w:tcPr>
            <w:tcW w:w="960" w:type="dxa"/>
            <w:vAlign w:val="bottom"/>
          </w:tcPr>
          <w:p>
            <w:pPr>
              <w:spacing w:after="0"/>
              <w:rPr>
                <w:sz w:val="20"/>
                <w:szCs w:val="20"/>
                <w:color w:val="auto"/>
              </w:rPr>
            </w:pPr>
          </w:p>
        </w:tc>
        <w:tc>
          <w:tcPr>
            <w:tcW w:w="1860" w:type="dxa"/>
            <w:vAlign w:val="bottom"/>
          </w:tcPr>
          <w:p>
            <w:pPr>
              <w:jc w:val="right"/>
              <w:ind w:right="179"/>
              <w:spacing w:after="0"/>
              <w:rPr>
                <w:sz w:val="20"/>
                <w:szCs w:val="20"/>
                <w:color w:val="auto"/>
              </w:rPr>
            </w:pPr>
            <w:r>
              <w:rPr>
                <w:rFonts w:ascii="Arial" w:cs="Arial" w:eastAsia="Arial" w:hAnsi="Arial"/>
                <w:sz w:val="16"/>
                <w:szCs w:val="16"/>
                <w:color w:val="auto"/>
              </w:rPr>
              <w:t>3,500</w:t>
            </w:r>
          </w:p>
        </w:tc>
        <w:tc>
          <w:tcPr>
            <w:tcW w:w="1680" w:type="dxa"/>
            <w:vAlign w:val="bottom"/>
          </w:tcPr>
          <w:p>
            <w:pPr>
              <w:jc w:val="right"/>
              <w:spacing w:after="0"/>
              <w:rPr>
                <w:sz w:val="20"/>
                <w:szCs w:val="20"/>
                <w:color w:val="auto"/>
              </w:rPr>
            </w:pPr>
            <w:r>
              <w:rPr>
                <w:rFonts w:ascii="Arial" w:cs="Arial" w:eastAsia="Arial" w:hAnsi="Arial"/>
                <w:sz w:val="16"/>
                <w:szCs w:val="16"/>
                <w:color w:val="auto"/>
              </w:rPr>
              <w:t>985</w:t>
            </w:r>
          </w:p>
        </w:tc>
        <w:tc>
          <w:tcPr>
            <w:tcW w:w="420" w:type="dxa"/>
            <w:vAlign w:val="bottom"/>
          </w:tcPr>
          <w:p>
            <w:pPr>
              <w:spacing w:after="0"/>
              <w:rPr>
                <w:sz w:val="20"/>
                <w:szCs w:val="20"/>
                <w:color w:val="auto"/>
              </w:rPr>
            </w:pPr>
          </w:p>
        </w:tc>
        <w:tc>
          <w:tcPr>
            <w:tcW w:w="19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4,485</w:t>
            </w:r>
          </w:p>
        </w:tc>
        <w:tc>
          <w:tcPr>
            <w:tcW w:w="0" w:type="dxa"/>
            <w:vAlign w:val="bottom"/>
          </w:tcPr>
          <w:p>
            <w:pPr>
              <w:spacing w:after="0"/>
              <w:rPr>
                <w:sz w:val="1"/>
                <w:szCs w:val="1"/>
                <w:color w:val="auto"/>
              </w:rPr>
            </w:pPr>
          </w:p>
        </w:tc>
      </w:tr>
      <w:tr>
        <w:trPr>
          <w:trHeight w:val="249"/>
        </w:trPr>
        <w:tc>
          <w:tcPr>
            <w:tcW w:w="208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Steve Klohn</w:t>
            </w:r>
          </w:p>
        </w:tc>
        <w:tc>
          <w:tcPr>
            <w:tcW w:w="960" w:type="dxa"/>
            <w:vAlign w:val="bottom"/>
            <w:shd w:val="clear" w:color="auto" w:fill="DBDBDB"/>
          </w:tcPr>
          <w:p>
            <w:pPr>
              <w:spacing w:after="0"/>
              <w:rPr>
                <w:sz w:val="21"/>
                <w:szCs w:val="21"/>
                <w:color w:val="auto"/>
              </w:rPr>
            </w:pPr>
          </w:p>
        </w:tc>
        <w:tc>
          <w:tcPr>
            <w:tcW w:w="1860" w:type="dxa"/>
            <w:vAlign w:val="bottom"/>
            <w:shd w:val="clear" w:color="auto" w:fill="DBDBDB"/>
          </w:tcPr>
          <w:p>
            <w:pPr>
              <w:jc w:val="right"/>
              <w:ind w:right="179"/>
              <w:spacing w:after="0"/>
              <w:rPr>
                <w:sz w:val="20"/>
                <w:szCs w:val="20"/>
                <w:color w:val="auto"/>
              </w:rPr>
            </w:pPr>
            <w:r>
              <w:rPr>
                <w:rFonts w:ascii="Arial" w:cs="Arial" w:eastAsia="Arial" w:hAnsi="Arial"/>
                <w:sz w:val="16"/>
                <w:szCs w:val="16"/>
                <w:color w:val="auto"/>
              </w:rPr>
              <w:t>9,231</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3,693</w:t>
            </w:r>
          </w:p>
        </w:tc>
        <w:tc>
          <w:tcPr>
            <w:tcW w:w="420" w:type="dxa"/>
            <w:vAlign w:val="bottom"/>
            <w:shd w:val="clear" w:color="auto" w:fill="DBDBDB"/>
          </w:tcPr>
          <w:p>
            <w:pPr>
              <w:spacing w:after="0"/>
              <w:rPr>
                <w:sz w:val="21"/>
                <w:szCs w:val="21"/>
                <w:color w:val="auto"/>
              </w:rPr>
            </w:pPr>
          </w:p>
        </w:tc>
        <w:tc>
          <w:tcPr>
            <w:tcW w:w="1980" w:type="dxa"/>
            <w:vAlign w:val="bottom"/>
            <w:shd w:val="clear" w:color="auto" w:fill="DBDBDB"/>
          </w:tcPr>
          <w:p>
            <w:pPr>
              <w:jc w:val="right"/>
              <w:ind w:right="342"/>
              <w:spacing w:after="0"/>
              <w:rPr>
                <w:sz w:val="20"/>
                <w:szCs w:val="20"/>
                <w:color w:val="auto"/>
              </w:rPr>
            </w:pPr>
            <w:r>
              <w:rPr>
                <w:rFonts w:ascii="Arial" w:cs="Arial" w:eastAsia="Arial" w:hAnsi="Arial"/>
                <w:sz w:val="16"/>
                <w:szCs w:val="16"/>
                <w:color w:val="auto"/>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12,923</w:t>
            </w:r>
          </w:p>
        </w:tc>
        <w:tc>
          <w:tcPr>
            <w:tcW w:w="0" w:type="dxa"/>
            <w:vAlign w:val="bottom"/>
          </w:tcPr>
          <w:p>
            <w:pPr>
              <w:spacing w:after="0"/>
              <w:rPr>
                <w:sz w:val="1"/>
                <w:szCs w:val="1"/>
                <w:color w:val="auto"/>
              </w:rPr>
            </w:pPr>
          </w:p>
        </w:tc>
      </w:tr>
      <w:tr>
        <w:trPr>
          <w:trHeight w:val="227"/>
        </w:trPr>
        <w:tc>
          <w:tcPr>
            <w:tcW w:w="2080" w:type="dxa"/>
            <w:vAlign w:val="bottom"/>
          </w:tcPr>
          <w:p>
            <w:pPr>
              <w:ind w:left="20"/>
              <w:spacing w:after="0"/>
              <w:rPr>
                <w:sz w:val="20"/>
                <w:szCs w:val="20"/>
                <w:color w:val="auto"/>
              </w:rPr>
            </w:pPr>
            <w:r>
              <w:rPr>
                <w:rFonts w:ascii="Arial" w:cs="Arial" w:eastAsia="Arial" w:hAnsi="Arial"/>
                <w:sz w:val="16"/>
                <w:szCs w:val="16"/>
                <w:color w:val="auto"/>
              </w:rPr>
              <w:t>Tony Wehner</w:t>
            </w:r>
          </w:p>
        </w:tc>
        <w:tc>
          <w:tcPr>
            <w:tcW w:w="960" w:type="dxa"/>
            <w:vAlign w:val="bottom"/>
          </w:tcPr>
          <w:p>
            <w:pPr>
              <w:spacing w:after="0"/>
              <w:rPr>
                <w:sz w:val="19"/>
                <w:szCs w:val="19"/>
                <w:color w:val="auto"/>
              </w:rPr>
            </w:pPr>
          </w:p>
        </w:tc>
        <w:tc>
          <w:tcPr>
            <w:tcW w:w="18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8,750</w:t>
            </w:r>
          </w:p>
        </w:tc>
        <w:tc>
          <w:tcPr>
            <w:tcW w:w="420" w:type="dxa"/>
            <w:vAlign w:val="bottom"/>
          </w:tcPr>
          <w:p>
            <w:pPr>
              <w:spacing w:after="0"/>
              <w:rPr>
                <w:sz w:val="19"/>
                <w:szCs w:val="19"/>
                <w:color w:val="auto"/>
              </w:rPr>
            </w:pPr>
          </w:p>
        </w:tc>
        <w:tc>
          <w:tcPr>
            <w:tcW w:w="19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8,750</w:t>
            </w:r>
          </w:p>
        </w:tc>
        <w:tc>
          <w:tcPr>
            <w:tcW w:w="0" w:type="dxa"/>
            <w:vAlign w:val="bottom"/>
          </w:tcPr>
          <w:p>
            <w:pPr>
              <w:spacing w:after="0"/>
              <w:rPr>
                <w:sz w:val="1"/>
                <w:szCs w:val="1"/>
                <w:color w:val="auto"/>
              </w:rPr>
            </w:pPr>
          </w:p>
        </w:tc>
      </w:tr>
    </w:tbl>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293370</wp:posOffset>
            </wp:positionH>
            <wp:positionV relativeFrom="page">
              <wp:posOffset>686435</wp:posOffset>
            </wp:positionV>
            <wp:extent cx="6655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55435" cy="8255"/>
                    </a:xfrm>
                    <a:prstGeom prst="rect">
                      <a:avLst/>
                    </a:prstGeom>
                    <a:noFill/>
                  </pic:spPr>
                </pic:pic>
              </a:graphicData>
            </a:graphic>
          </wp:anchor>
        </w:drawing>
      </w:r>
    </w:p>
    <w:p>
      <w:pPr>
        <w:ind w:left="580" w:right="240" w:hanging="411"/>
        <w:spacing w:after="0" w:line="221" w:lineRule="auto"/>
        <w:tabs>
          <w:tab w:leader="none" w:pos="574"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Amounts include Company contributions to the 401(k) and SERP that were based on the Company’s contributions to the 401(k) plan and SERP made during fiscal 2025.</w:t>
      </w:r>
    </w:p>
    <w:p>
      <w:pPr>
        <w:ind w:left="580" w:right="240" w:hanging="411"/>
        <w:spacing w:after="0" w:line="225" w:lineRule="auto"/>
        <w:tabs>
          <w:tab w:leader="none" w:pos="574" w:val="left"/>
        </w:tabs>
        <w:numPr>
          <w:ilvl w:val="0"/>
          <w:numId w:val="84"/>
        </w:numPr>
        <w:rPr>
          <w:rFonts w:ascii="Arial" w:cs="Arial" w:eastAsia="Arial" w:hAnsi="Arial"/>
          <w:sz w:val="21"/>
          <w:szCs w:val="21"/>
          <w:color w:val="auto"/>
          <w:vertAlign w:val="superscript"/>
        </w:rPr>
      </w:pPr>
      <w:r>
        <w:rPr>
          <w:rFonts w:ascii="Arial" w:cs="Arial" w:eastAsia="Arial" w:hAnsi="Arial"/>
          <w:sz w:val="16"/>
          <w:szCs w:val="16"/>
          <w:color w:val="auto"/>
        </w:rPr>
        <w:t xml:space="preserve">Represents Mr. Sheehan’s board compensation. See additional information regarding Mr. Sheehan’s compensation as a board member in fiscal 2025 at </w:t>
      </w:r>
      <w:r>
        <w:rPr>
          <w:rFonts w:ascii="Arial" w:cs="Arial" w:eastAsia="Arial" w:hAnsi="Arial"/>
          <w:sz w:val="16"/>
          <w:szCs w:val="16"/>
          <w:i w:val="1"/>
          <w:iCs w:val="1"/>
          <w:u w:val="single" w:color="auto"/>
          <w:color w:val="0000FF"/>
        </w:rPr>
        <w:t>Director Compensation</w:t>
      </w:r>
      <w:r>
        <w:rPr>
          <w:rFonts w:ascii="Arial" w:cs="Arial" w:eastAsia="Arial" w:hAnsi="Arial"/>
          <w:sz w:val="16"/>
          <w:szCs w:val="16"/>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Grants of Plan-Based Awards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grants of plan-based awards to the named executive officers in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0986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98665" cy="82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003B71"/>
              </w:rPr>
              <w:t>Grant</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jc w:val="center"/>
              <w:ind w:right="66"/>
              <w:spacing w:after="0" w:line="121" w:lineRule="exact"/>
              <w:rPr>
                <w:sz w:val="20"/>
                <w:szCs w:val="20"/>
                <w:color w:val="auto"/>
              </w:rPr>
            </w:pPr>
            <w:r>
              <w:rPr>
                <w:rFonts w:ascii="Arial" w:cs="Arial" w:eastAsia="Arial" w:hAnsi="Arial"/>
                <w:sz w:val="11"/>
                <w:szCs w:val="11"/>
                <w:b w:val="1"/>
                <w:bCs w:val="1"/>
                <w:color w:val="003B71"/>
                <w:w w:val="97"/>
              </w:rPr>
              <w:t>Exercise</w:t>
            </w:r>
          </w:p>
        </w:tc>
        <w:tc>
          <w:tcPr>
            <w:tcW w:w="700" w:type="dxa"/>
            <w:vAlign w:val="bottom"/>
          </w:tcPr>
          <w:p>
            <w:pPr>
              <w:jc w:val="center"/>
              <w:spacing w:after="0" w:line="121" w:lineRule="exact"/>
              <w:rPr>
                <w:sz w:val="20"/>
                <w:szCs w:val="20"/>
                <w:color w:val="auto"/>
              </w:rPr>
            </w:pPr>
            <w:r>
              <w:rPr>
                <w:rFonts w:ascii="Arial" w:cs="Arial" w:eastAsia="Arial" w:hAnsi="Arial"/>
                <w:sz w:val="11"/>
                <w:szCs w:val="11"/>
                <w:b w:val="1"/>
                <w:bCs w:val="1"/>
                <w:color w:val="003B71"/>
                <w:w w:val="97"/>
              </w:rPr>
              <w:t>Date Fair</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restart"/>
          </w:tcPr>
          <w:p>
            <w:pPr>
              <w:jc w:val="center"/>
              <w:ind w:left="446"/>
              <w:spacing w:after="0"/>
              <w:rPr>
                <w:sz w:val="20"/>
                <w:szCs w:val="20"/>
                <w:color w:val="auto"/>
              </w:rPr>
            </w:pPr>
            <w:r>
              <w:rPr>
                <w:rFonts w:ascii="Arial" w:cs="Arial" w:eastAsia="Arial" w:hAnsi="Arial"/>
                <w:sz w:val="11"/>
                <w:szCs w:val="11"/>
                <w:b w:val="1"/>
                <w:bCs w:val="1"/>
                <w:color w:val="003B71"/>
                <w:w w:val="98"/>
              </w:rPr>
              <w:t>Estimated Future Payouts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3"/>
            <w:vMerge w:val="restart"/>
          </w:tcPr>
          <w:p>
            <w:pPr>
              <w:jc w:val="center"/>
              <w:spacing w:after="0"/>
              <w:rPr>
                <w:sz w:val="20"/>
                <w:szCs w:val="20"/>
                <w:color w:val="auto"/>
              </w:rPr>
            </w:pPr>
            <w:r>
              <w:rPr>
                <w:rFonts w:ascii="Arial" w:cs="Arial" w:eastAsia="Arial" w:hAnsi="Arial"/>
                <w:sz w:val="11"/>
                <w:szCs w:val="11"/>
                <w:b w:val="1"/>
                <w:bCs w:val="1"/>
                <w:color w:val="003B71"/>
                <w:w w:val="97"/>
              </w:rPr>
              <w:t>Estimated Future Payouts</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003B71"/>
                <w:w w:val="94"/>
              </w:rPr>
              <w:t>All Other</w:t>
            </w:r>
          </w:p>
        </w:tc>
        <w:tc>
          <w:tcPr>
            <w:tcW w:w="1000" w:type="dxa"/>
            <w:vAlign w:val="bottom"/>
          </w:tcPr>
          <w:p>
            <w:pPr>
              <w:jc w:val="center"/>
              <w:ind w:right="66"/>
              <w:spacing w:after="0"/>
              <w:rPr>
                <w:sz w:val="20"/>
                <w:szCs w:val="20"/>
                <w:color w:val="auto"/>
              </w:rPr>
            </w:pPr>
            <w:r>
              <w:rPr>
                <w:rFonts w:ascii="Arial" w:cs="Arial" w:eastAsia="Arial" w:hAnsi="Arial"/>
                <w:sz w:val="11"/>
                <w:szCs w:val="11"/>
                <w:b w:val="1"/>
                <w:bCs w:val="1"/>
                <w:color w:val="003B71"/>
                <w:w w:val="94"/>
              </w:rPr>
              <w:t>All Other</w:t>
            </w:r>
          </w:p>
        </w:tc>
        <w:tc>
          <w:tcPr>
            <w:tcW w:w="760" w:type="dxa"/>
            <w:vAlign w:val="bottom"/>
          </w:tcPr>
          <w:p>
            <w:pPr>
              <w:jc w:val="center"/>
              <w:ind w:right="66"/>
              <w:spacing w:after="0"/>
              <w:rPr>
                <w:sz w:val="20"/>
                <w:szCs w:val="20"/>
                <w:color w:val="auto"/>
              </w:rPr>
            </w:pPr>
            <w:r>
              <w:rPr>
                <w:rFonts w:ascii="Arial" w:cs="Arial" w:eastAsia="Arial" w:hAnsi="Arial"/>
                <w:sz w:val="11"/>
                <w:szCs w:val="11"/>
                <w:b w:val="1"/>
                <w:bCs w:val="1"/>
                <w:color w:val="003B71"/>
                <w:w w:val="99"/>
              </w:rPr>
              <w:t>or Base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003B71"/>
                <w:w w:val="98"/>
              </w:rPr>
              <w:t>Value of</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060" w:type="dxa"/>
            <w:vAlign w:val="bottom"/>
            <w:vMerge w:val="restart"/>
          </w:tcPr>
          <w:p>
            <w:pPr>
              <w:jc w:val="center"/>
              <w:spacing w:after="0" w:line="121" w:lineRule="exact"/>
              <w:rPr>
                <w:sz w:val="20"/>
                <w:szCs w:val="20"/>
                <w:color w:val="auto"/>
              </w:rPr>
            </w:pPr>
            <w:r>
              <w:rPr>
                <w:rFonts w:ascii="Arial" w:cs="Arial" w:eastAsia="Arial" w:hAnsi="Arial"/>
                <w:sz w:val="11"/>
                <w:szCs w:val="11"/>
                <w:b w:val="1"/>
                <w:bCs w:val="1"/>
                <w:color w:val="003B71"/>
                <w:w w:val="93"/>
              </w:rPr>
              <w:t>Stock</w:t>
            </w:r>
          </w:p>
        </w:tc>
        <w:tc>
          <w:tcPr>
            <w:tcW w:w="1000" w:type="dxa"/>
            <w:vAlign w:val="bottom"/>
            <w:vMerge w:val="restart"/>
          </w:tcPr>
          <w:p>
            <w:pPr>
              <w:jc w:val="center"/>
              <w:ind w:right="66"/>
              <w:spacing w:after="0" w:line="121" w:lineRule="exact"/>
              <w:rPr>
                <w:sz w:val="20"/>
                <w:szCs w:val="20"/>
                <w:color w:val="auto"/>
              </w:rPr>
            </w:pPr>
            <w:r>
              <w:rPr>
                <w:rFonts w:ascii="Arial" w:cs="Arial" w:eastAsia="Arial" w:hAnsi="Arial"/>
                <w:sz w:val="11"/>
                <w:szCs w:val="11"/>
                <w:b w:val="1"/>
                <w:bCs w:val="1"/>
                <w:color w:val="003B71"/>
              </w:rPr>
              <w:t>Option</w:t>
            </w:r>
          </w:p>
        </w:tc>
        <w:tc>
          <w:tcPr>
            <w:tcW w:w="760" w:type="dxa"/>
            <w:vAlign w:val="bottom"/>
            <w:vMerge w:val="restart"/>
          </w:tcPr>
          <w:p>
            <w:pPr>
              <w:jc w:val="center"/>
              <w:ind w:right="66"/>
              <w:spacing w:after="0" w:line="121" w:lineRule="exact"/>
              <w:rPr>
                <w:sz w:val="20"/>
                <w:szCs w:val="20"/>
                <w:color w:val="auto"/>
              </w:rPr>
            </w:pPr>
            <w:r>
              <w:rPr>
                <w:rFonts w:ascii="Arial" w:cs="Arial" w:eastAsia="Arial" w:hAnsi="Arial"/>
                <w:sz w:val="11"/>
                <w:szCs w:val="11"/>
                <w:b w:val="1"/>
                <w:bCs w:val="1"/>
                <w:color w:val="003B71"/>
                <w:w w:val="99"/>
              </w:rPr>
              <w:t>Price of</w:t>
            </w:r>
          </w:p>
        </w:tc>
        <w:tc>
          <w:tcPr>
            <w:tcW w:w="700" w:type="dxa"/>
            <w:vAlign w:val="bottom"/>
            <w:vMerge w:val="restart"/>
          </w:tcPr>
          <w:p>
            <w:pPr>
              <w:jc w:val="center"/>
              <w:spacing w:after="0" w:line="121" w:lineRule="exact"/>
              <w:rPr>
                <w:sz w:val="20"/>
                <w:szCs w:val="20"/>
                <w:color w:val="auto"/>
              </w:rPr>
            </w:pPr>
            <w:r>
              <w:rPr>
                <w:rFonts w:ascii="Arial" w:cs="Arial" w:eastAsia="Arial" w:hAnsi="Arial"/>
                <w:sz w:val="11"/>
                <w:szCs w:val="11"/>
                <w:b w:val="1"/>
                <w:bCs w:val="1"/>
                <w:color w:val="003B71"/>
                <w:w w:val="99"/>
              </w:rPr>
              <w:t>Stock</w:t>
            </w: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gridSpan w:val="2"/>
            <w:vMerge w:val="restart"/>
          </w:tcPr>
          <w:p>
            <w:pPr>
              <w:jc w:val="center"/>
              <w:ind w:left="586"/>
              <w:spacing w:after="0" w:line="121" w:lineRule="exact"/>
              <w:rPr>
                <w:sz w:val="20"/>
                <w:szCs w:val="20"/>
                <w:color w:val="auto"/>
              </w:rPr>
            </w:pPr>
            <w:r>
              <w:rPr>
                <w:rFonts w:ascii="Arial" w:cs="Arial" w:eastAsia="Arial" w:hAnsi="Arial"/>
                <w:sz w:val="11"/>
                <w:szCs w:val="11"/>
                <w:b w:val="1"/>
                <w:bCs w:val="1"/>
                <w:color w:val="003B71"/>
                <w:w w:val="96"/>
              </w:rPr>
              <w:t>Under Non-Equity</w:t>
            </w: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0" w:type="dxa"/>
            <w:vAlign w:val="bottom"/>
            <w:vMerge w:val="restart"/>
          </w:tcPr>
          <w:p>
            <w:pPr>
              <w:jc w:val="center"/>
              <w:ind w:right="106"/>
              <w:spacing w:after="0" w:line="121" w:lineRule="exact"/>
              <w:rPr>
                <w:sz w:val="20"/>
                <w:szCs w:val="20"/>
                <w:color w:val="auto"/>
              </w:rPr>
            </w:pPr>
            <w:r>
              <w:rPr>
                <w:rFonts w:ascii="Arial" w:cs="Arial" w:eastAsia="Arial" w:hAnsi="Arial"/>
                <w:sz w:val="11"/>
                <w:szCs w:val="11"/>
                <w:b w:val="1"/>
                <w:bCs w:val="1"/>
                <w:color w:val="003B71"/>
                <w:w w:val="99"/>
              </w:rPr>
              <w:t>Under Equity</w:t>
            </w:r>
          </w:p>
        </w:tc>
        <w:tc>
          <w:tcPr>
            <w:tcW w:w="6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Arial" w:cs="Arial" w:eastAsia="Arial" w:hAnsi="Arial"/>
                <w:sz w:val="11"/>
                <w:szCs w:val="11"/>
                <w:b w:val="1"/>
                <w:bCs w:val="1"/>
                <w:color w:val="003B71"/>
                <w:w w:val="96"/>
              </w:rPr>
              <w:t>Awards: # of</w:t>
            </w:r>
          </w:p>
        </w:tc>
        <w:tc>
          <w:tcPr>
            <w:tcW w:w="10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003B71"/>
                <w:w w:val="96"/>
              </w:rPr>
              <w:t>Awards: # of</w:t>
            </w:r>
          </w:p>
        </w:tc>
        <w:tc>
          <w:tcPr>
            <w:tcW w:w="76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003B71"/>
                <w:w w:val="95"/>
              </w:rPr>
              <w:t>Option</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003B71"/>
                <w:w w:val="91"/>
              </w:rPr>
              <w:t>and</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80" w:type="dxa"/>
            <w:vAlign w:val="bottom"/>
            <w:gridSpan w:val="2"/>
            <w:vMerge w:val="restart"/>
          </w:tcPr>
          <w:p>
            <w:pPr>
              <w:jc w:val="center"/>
              <w:ind w:left="586"/>
              <w:spacing w:after="0"/>
              <w:rPr>
                <w:sz w:val="20"/>
                <w:szCs w:val="20"/>
                <w:color w:val="auto"/>
              </w:rPr>
            </w:pPr>
            <w:r>
              <w:rPr>
                <w:rFonts w:ascii="Arial" w:cs="Arial" w:eastAsia="Arial" w:hAnsi="Arial"/>
                <w:sz w:val="11"/>
                <w:szCs w:val="11"/>
                <w:b w:val="1"/>
                <w:bCs w:val="1"/>
                <w:color w:val="003B71"/>
                <w:w w:val="97"/>
              </w:rPr>
              <w:t>Incentive Plan Awards</w:t>
            </w: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80" w:type="dxa"/>
            <w:vAlign w:val="bottom"/>
            <w:gridSpan w:val="2"/>
            <w:vMerge w:val="restart"/>
          </w:tcPr>
          <w:p>
            <w:pPr>
              <w:jc w:val="center"/>
              <w:ind w:left="586"/>
              <w:spacing w:after="0"/>
              <w:rPr>
                <w:sz w:val="20"/>
                <w:szCs w:val="20"/>
                <w:color w:val="auto"/>
              </w:rPr>
            </w:pPr>
            <w:r>
              <w:rPr>
                <w:rFonts w:ascii="Arial" w:cs="Arial" w:eastAsia="Arial" w:hAnsi="Arial"/>
                <w:sz w:val="11"/>
                <w:szCs w:val="11"/>
                <w:b w:val="1"/>
                <w:bCs w:val="1"/>
                <w:color w:val="003B71"/>
                <w:w w:val="97"/>
              </w:rPr>
              <w:t>Incentive Plan Awards</w:t>
            </w:r>
          </w:p>
        </w:tc>
        <w:tc>
          <w:tcPr>
            <w:tcW w:w="6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060" w:type="dxa"/>
            <w:vAlign w:val="bottom"/>
            <w:vMerge w:val="restart"/>
          </w:tcPr>
          <w:p>
            <w:pPr>
              <w:jc w:val="center"/>
              <w:spacing w:after="0"/>
              <w:rPr>
                <w:sz w:val="20"/>
                <w:szCs w:val="20"/>
                <w:color w:val="auto"/>
              </w:rPr>
            </w:pPr>
            <w:r>
              <w:rPr>
                <w:rFonts w:ascii="Arial" w:cs="Arial" w:eastAsia="Arial" w:hAnsi="Arial"/>
                <w:sz w:val="11"/>
                <w:szCs w:val="11"/>
                <w:b w:val="1"/>
                <w:bCs w:val="1"/>
                <w:color w:val="003B71"/>
                <w:w w:val="95"/>
              </w:rPr>
              <w:t>Shares of</w:t>
            </w:r>
          </w:p>
        </w:tc>
        <w:tc>
          <w:tcPr>
            <w:tcW w:w="100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003B71"/>
                <w:w w:val="98"/>
              </w:rPr>
              <w:t>Securities</w:t>
            </w:r>
          </w:p>
        </w:tc>
        <w:tc>
          <w:tcPr>
            <w:tcW w:w="760" w:type="dxa"/>
            <w:vAlign w:val="bottom"/>
            <w:vMerge w:val="restart"/>
          </w:tcPr>
          <w:p>
            <w:pPr>
              <w:jc w:val="center"/>
              <w:ind w:right="66"/>
              <w:spacing w:after="0"/>
              <w:rPr>
                <w:sz w:val="20"/>
                <w:szCs w:val="20"/>
                <w:color w:val="auto"/>
              </w:rPr>
            </w:pPr>
            <w:r>
              <w:rPr>
                <w:rFonts w:ascii="Arial" w:cs="Arial" w:eastAsia="Arial" w:hAnsi="Arial"/>
                <w:sz w:val="11"/>
                <w:szCs w:val="11"/>
                <w:b w:val="1"/>
                <w:bCs w:val="1"/>
                <w:color w:val="003B71"/>
                <w:w w:val="95"/>
              </w:rPr>
              <w:t>Award</w:t>
            </w:r>
          </w:p>
        </w:tc>
        <w:tc>
          <w:tcPr>
            <w:tcW w:w="700" w:type="dxa"/>
            <w:vAlign w:val="bottom"/>
            <w:vMerge w:val="restart"/>
          </w:tcPr>
          <w:p>
            <w:pPr>
              <w:jc w:val="center"/>
              <w:spacing w:after="0"/>
              <w:rPr>
                <w:sz w:val="20"/>
                <w:szCs w:val="20"/>
                <w:color w:val="auto"/>
              </w:rPr>
            </w:pPr>
            <w:r>
              <w:rPr>
                <w:rFonts w:ascii="Arial" w:cs="Arial" w:eastAsia="Arial" w:hAnsi="Arial"/>
                <w:sz w:val="11"/>
                <w:szCs w:val="11"/>
                <w:b w:val="1"/>
                <w:bCs w:val="1"/>
                <w:color w:val="003B71"/>
                <w:w w:val="95"/>
              </w:rPr>
              <w:t>Option</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003B71"/>
            </w:tcBorders>
          </w:tcPr>
          <w:p>
            <w:pPr>
              <w:spacing w:after="0"/>
              <w:rPr>
                <w:sz w:val="2"/>
                <w:szCs w:val="2"/>
                <w:color w:val="auto"/>
              </w:rPr>
            </w:pPr>
          </w:p>
        </w:tc>
        <w:tc>
          <w:tcPr>
            <w:tcW w:w="1000" w:type="dxa"/>
            <w:vAlign w:val="bottom"/>
            <w:tcBorders>
              <w:bottom w:val="single" w:sz="8" w:color="003B71"/>
            </w:tcBorders>
          </w:tcPr>
          <w:p>
            <w:pPr>
              <w:spacing w:after="0"/>
              <w:rPr>
                <w:sz w:val="2"/>
                <w:szCs w:val="2"/>
                <w:color w:val="auto"/>
              </w:rPr>
            </w:pPr>
          </w:p>
        </w:tc>
        <w:tc>
          <w:tcPr>
            <w:tcW w:w="140" w:type="dxa"/>
            <w:vAlign w:val="bottom"/>
            <w:tcBorders>
              <w:bottom w:val="single" w:sz="8" w:color="003B71"/>
            </w:tcBorders>
          </w:tcPr>
          <w:p>
            <w:pPr>
              <w:spacing w:after="0"/>
              <w:rPr>
                <w:sz w:val="2"/>
                <w:szCs w:val="2"/>
                <w:color w:val="auto"/>
              </w:rPr>
            </w:pPr>
          </w:p>
        </w:tc>
        <w:tc>
          <w:tcPr>
            <w:tcW w:w="500" w:type="dxa"/>
            <w:vAlign w:val="bottom"/>
            <w:tcBorders>
              <w:bottom w:val="single" w:sz="8" w:color="003B71"/>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003B71"/>
            </w:tcBorders>
          </w:tcPr>
          <w:p>
            <w:pPr>
              <w:spacing w:after="0"/>
              <w:rPr>
                <w:sz w:val="2"/>
                <w:szCs w:val="2"/>
                <w:color w:val="auto"/>
              </w:rPr>
            </w:pPr>
          </w:p>
        </w:tc>
        <w:tc>
          <w:tcPr>
            <w:tcW w:w="1000" w:type="dxa"/>
            <w:vAlign w:val="bottom"/>
            <w:tcBorders>
              <w:bottom w:val="single" w:sz="8" w:color="003B71"/>
            </w:tcBorders>
          </w:tcPr>
          <w:p>
            <w:pPr>
              <w:spacing w:after="0"/>
              <w:rPr>
                <w:sz w:val="2"/>
                <w:szCs w:val="2"/>
                <w:color w:val="auto"/>
              </w:rPr>
            </w:pPr>
          </w:p>
        </w:tc>
        <w:tc>
          <w:tcPr>
            <w:tcW w:w="640" w:type="dxa"/>
            <w:vAlign w:val="bottom"/>
            <w:tcBorders>
              <w:bottom w:val="single" w:sz="8" w:color="003B71"/>
            </w:tcBorders>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60" w:type="dxa"/>
            <w:vAlign w:val="bottom"/>
          </w:tcPr>
          <w:p>
            <w:pPr>
              <w:ind w:left="340"/>
              <w:spacing w:after="0" w:line="121" w:lineRule="exact"/>
              <w:rPr>
                <w:sz w:val="20"/>
                <w:szCs w:val="20"/>
                <w:color w:val="auto"/>
              </w:rPr>
            </w:pPr>
            <w:r>
              <w:rPr>
                <w:rFonts w:ascii="Arial" w:cs="Arial" w:eastAsia="Arial" w:hAnsi="Arial"/>
                <w:sz w:val="11"/>
                <w:szCs w:val="11"/>
                <w:b w:val="1"/>
                <w:bCs w:val="1"/>
                <w:color w:val="003B71"/>
              </w:rPr>
              <w:t>Grant</w:t>
            </w:r>
          </w:p>
        </w:tc>
        <w:tc>
          <w:tcPr>
            <w:tcW w:w="100" w:type="dxa"/>
            <w:vAlign w:val="bottom"/>
          </w:tcPr>
          <w:p>
            <w:pPr>
              <w:spacing w:after="0"/>
              <w:rPr>
                <w:sz w:val="10"/>
                <w:szCs w:val="10"/>
                <w:color w:val="auto"/>
              </w:rPr>
            </w:pPr>
          </w:p>
        </w:tc>
        <w:tc>
          <w:tcPr>
            <w:tcW w:w="780" w:type="dxa"/>
            <w:vAlign w:val="bottom"/>
          </w:tcPr>
          <w:p>
            <w:pPr>
              <w:jc w:val="right"/>
              <w:ind w:right="66"/>
              <w:spacing w:after="0" w:line="121" w:lineRule="exact"/>
              <w:rPr>
                <w:sz w:val="20"/>
                <w:szCs w:val="20"/>
                <w:color w:val="auto"/>
              </w:rPr>
            </w:pPr>
            <w:r>
              <w:rPr>
                <w:rFonts w:ascii="Arial" w:cs="Arial" w:eastAsia="Arial" w:hAnsi="Arial"/>
                <w:sz w:val="11"/>
                <w:szCs w:val="11"/>
                <w:b w:val="1"/>
                <w:bCs w:val="1"/>
                <w:color w:val="003B71"/>
              </w:rPr>
              <w:t>Threshold</w:t>
            </w:r>
          </w:p>
        </w:tc>
        <w:tc>
          <w:tcPr>
            <w:tcW w:w="1000" w:type="dxa"/>
            <w:vAlign w:val="bottom"/>
          </w:tcPr>
          <w:p>
            <w:pPr>
              <w:jc w:val="center"/>
              <w:ind w:right="66"/>
              <w:spacing w:after="0" w:line="121" w:lineRule="exact"/>
              <w:rPr>
                <w:sz w:val="20"/>
                <w:szCs w:val="20"/>
                <w:color w:val="auto"/>
              </w:rPr>
            </w:pPr>
            <w:r>
              <w:rPr>
                <w:rFonts w:ascii="Arial" w:cs="Arial" w:eastAsia="Arial" w:hAnsi="Arial"/>
                <w:sz w:val="11"/>
                <w:szCs w:val="11"/>
                <w:b w:val="1"/>
                <w:bCs w:val="1"/>
                <w:color w:val="003B71"/>
                <w:w w:val="95"/>
              </w:rPr>
              <w:t>Target</w:t>
            </w:r>
          </w:p>
        </w:tc>
        <w:tc>
          <w:tcPr>
            <w:tcW w:w="640" w:type="dxa"/>
            <w:vAlign w:val="bottom"/>
            <w:gridSpan w:val="2"/>
          </w:tcPr>
          <w:p>
            <w:pPr>
              <w:jc w:val="right"/>
              <w:ind w:right="86"/>
              <w:spacing w:after="0" w:line="121" w:lineRule="exact"/>
              <w:rPr>
                <w:sz w:val="20"/>
                <w:szCs w:val="20"/>
                <w:color w:val="auto"/>
              </w:rPr>
            </w:pPr>
            <w:r>
              <w:rPr>
                <w:rFonts w:ascii="Arial" w:cs="Arial" w:eastAsia="Arial" w:hAnsi="Arial"/>
                <w:sz w:val="11"/>
                <w:szCs w:val="11"/>
                <w:b w:val="1"/>
                <w:bCs w:val="1"/>
                <w:color w:val="003B71"/>
                <w:w w:val="94"/>
              </w:rPr>
              <w:t>Maximum</w:t>
            </w:r>
          </w:p>
        </w:tc>
        <w:tc>
          <w:tcPr>
            <w:tcW w:w="100" w:type="dxa"/>
            <w:vAlign w:val="bottom"/>
          </w:tcPr>
          <w:p>
            <w:pPr>
              <w:spacing w:after="0"/>
              <w:rPr>
                <w:sz w:val="10"/>
                <w:szCs w:val="10"/>
                <w:color w:val="auto"/>
              </w:rPr>
            </w:pPr>
          </w:p>
        </w:tc>
        <w:tc>
          <w:tcPr>
            <w:tcW w:w="780" w:type="dxa"/>
            <w:vAlign w:val="bottom"/>
          </w:tcPr>
          <w:p>
            <w:pPr>
              <w:jc w:val="right"/>
              <w:ind w:right="86"/>
              <w:spacing w:after="0" w:line="121" w:lineRule="exact"/>
              <w:rPr>
                <w:sz w:val="20"/>
                <w:szCs w:val="20"/>
                <w:color w:val="auto"/>
              </w:rPr>
            </w:pPr>
            <w:r>
              <w:rPr>
                <w:rFonts w:ascii="Arial" w:cs="Arial" w:eastAsia="Arial" w:hAnsi="Arial"/>
                <w:sz w:val="11"/>
                <w:szCs w:val="11"/>
                <w:b w:val="1"/>
                <w:bCs w:val="1"/>
                <w:color w:val="003B71"/>
              </w:rPr>
              <w:t>Threshold</w:t>
            </w:r>
          </w:p>
        </w:tc>
        <w:tc>
          <w:tcPr>
            <w:tcW w:w="1000" w:type="dxa"/>
            <w:vAlign w:val="bottom"/>
          </w:tcPr>
          <w:p>
            <w:pPr>
              <w:jc w:val="center"/>
              <w:ind w:right="106"/>
              <w:spacing w:after="0" w:line="121" w:lineRule="exact"/>
              <w:rPr>
                <w:sz w:val="20"/>
                <w:szCs w:val="20"/>
                <w:color w:val="auto"/>
              </w:rPr>
            </w:pPr>
            <w:r>
              <w:rPr>
                <w:rFonts w:ascii="Arial" w:cs="Arial" w:eastAsia="Arial" w:hAnsi="Arial"/>
                <w:sz w:val="11"/>
                <w:szCs w:val="11"/>
                <w:b w:val="1"/>
                <w:bCs w:val="1"/>
                <w:color w:val="003B71"/>
                <w:w w:val="95"/>
              </w:rPr>
              <w:t>Target</w:t>
            </w:r>
          </w:p>
        </w:tc>
        <w:tc>
          <w:tcPr>
            <w:tcW w:w="640" w:type="dxa"/>
            <w:vAlign w:val="bottom"/>
          </w:tcPr>
          <w:p>
            <w:pPr>
              <w:jc w:val="right"/>
              <w:ind w:right="86"/>
              <w:spacing w:after="0" w:line="121" w:lineRule="exact"/>
              <w:rPr>
                <w:sz w:val="20"/>
                <w:szCs w:val="20"/>
                <w:color w:val="auto"/>
              </w:rPr>
            </w:pPr>
            <w:r>
              <w:rPr>
                <w:rFonts w:ascii="Arial" w:cs="Arial" w:eastAsia="Arial" w:hAnsi="Arial"/>
                <w:sz w:val="11"/>
                <w:szCs w:val="11"/>
                <w:b w:val="1"/>
                <w:bCs w:val="1"/>
                <w:color w:val="003B71"/>
                <w:w w:val="94"/>
              </w:rPr>
              <w:t>Maximum</w:t>
            </w:r>
          </w:p>
        </w:tc>
        <w:tc>
          <w:tcPr>
            <w:tcW w:w="1060" w:type="dxa"/>
            <w:vAlign w:val="bottom"/>
          </w:tcPr>
          <w:p>
            <w:pPr>
              <w:jc w:val="center"/>
              <w:spacing w:after="0" w:line="121" w:lineRule="exact"/>
              <w:rPr>
                <w:sz w:val="20"/>
                <w:szCs w:val="20"/>
                <w:color w:val="auto"/>
              </w:rPr>
            </w:pPr>
            <w:r>
              <w:rPr>
                <w:rFonts w:ascii="Arial" w:cs="Arial" w:eastAsia="Arial" w:hAnsi="Arial"/>
                <w:sz w:val="11"/>
                <w:szCs w:val="11"/>
                <w:b w:val="1"/>
                <w:bCs w:val="1"/>
                <w:color w:val="003B71"/>
                <w:w w:val="99"/>
              </w:rPr>
              <w:t>Stock or</w:t>
            </w:r>
          </w:p>
        </w:tc>
        <w:tc>
          <w:tcPr>
            <w:tcW w:w="1000" w:type="dxa"/>
            <w:vAlign w:val="bottom"/>
          </w:tcPr>
          <w:p>
            <w:pPr>
              <w:jc w:val="center"/>
              <w:ind w:right="66"/>
              <w:spacing w:after="0" w:line="121" w:lineRule="exact"/>
              <w:rPr>
                <w:sz w:val="20"/>
                <w:szCs w:val="20"/>
                <w:color w:val="auto"/>
              </w:rPr>
            </w:pPr>
            <w:r>
              <w:rPr>
                <w:rFonts w:ascii="Arial" w:cs="Arial" w:eastAsia="Arial" w:hAnsi="Arial"/>
                <w:sz w:val="11"/>
                <w:szCs w:val="11"/>
                <w:b w:val="1"/>
                <w:bCs w:val="1"/>
                <w:color w:val="003B71"/>
                <w:w w:val="97"/>
              </w:rPr>
              <w:t>Underlying</w:t>
            </w:r>
          </w:p>
        </w:tc>
        <w:tc>
          <w:tcPr>
            <w:tcW w:w="760" w:type="dxa"/>
            <w:vAlign w:val="bottom"/>
          </w:tcPr>
          <w:p>
            <w:pPr>
              <w:jc w:val="center"/>
              <w:ind w:right="66"/>
              <w:spacing w:after="0" w:line="121" w:lineRule="exact"/>
              <w:rPr>
                <w:sz w:val="20"/>
                <w:szCs w:val="20"/>
                <w:color w:val="auto"/>
              </w:rPr>
            </w:pPr>
            <w:r>
              <w:rPr>
                <w:rFonts w:ascii="Arial" w:cs="Arial" w:eastAsia="Arial" w:hAnsi="Arial"/>
                <w:sz w:val="11"/>
                <w:szCs w:val="11"/>
                <w:b w:val="1"/>
                <w:bCs w:val="1"/>
                <w:color w:val="003B71"/>
                <w:w w:val="93"/>
              </w:rPr>
              <w:t>($/</w:t>
            </w:r>
          </w:p>
        </w:tc>
        <w:tc>
          <w:tcPr>
            <w:tcW w:w="700" w:type="dxa"/>
            <w:vAlign w:val="bottom"/>
          </w:tcPr>
          <w:p>
            <w:pPr>
              <w:jc w:val="center"/>
              <w:spacing w:after="0" w:line="121" w:lineRule="exact"/>
              <w:rPr>
                <w:sz w:val="20"/>
                <w:szCs w:val="20"/>
                <w:color w:val="auto"/>
              </w:rPr>
            </w:pPr>
            <w:r>
              <w:rPr>
                <w:rFonts w:ascii="Arial" w:cs="Arial" w:eastAsia="Arial" w:hAnsi="Arial"/>
                <w:sz w:val="11"/>
                <w:szCs w:val="11"/>
                <w:b w:val="1"/>
                <w:bCs w:val="1"/>
                <w:color w:val="003B71"/>
                <w:w w:val="95"/>
              </w:rPr>
              <w:t>Awards</w:t>
            </w:r>
          </w:p>
        </w:tc>
        <w:tc>
          <w:tcPr>
            <w:tcW w:w="0" w:type="dxa"/>
            <w:vAlign w:val="bottom"/>
          </w:tcPr>
          <w:p>
            <w:pPr>
              <w:spacing w:after="0"/>
              <w:rPr>
                <w:sz w:val="1"/>
                <w:szCs w:val="1"/>
                <w:color w:val="auto"/>
              </w:rPr>
            </w:pPr>
          </w:p>
        </w:tc>
      </w:tr>
      <w:tr>
        <w:trPr>
          <w:trHeight w:val="168"/>
        </w:trPr>
        <w:tc>
          <w:tcPr>
            <w:tcW w:w="700" w:type="dxa"/>
            <w:vAlign w:val="bottom"/>
          </w:tcPr>
          <w:p>
            <w:pPr>
              <w:ind w:left="20"/>
              <w:spacing w:after="0"/>
              <w:rPr>
                <w:sz w:val="20"/>
                <w:szCs w:val="20"/>
                <w:color w:val="auto"/>
              </w:rPr>
            </w:pPr>
            <w:r>
              <w:rPr>
                <w:rFonts w:ascii="Arial" w:cs="Arial" w:eastAsia="Arial" w:hAnsi="Arial"/>
                <w:sz w:val="11"/>
                <w:szCs w:val="11"/>
                <w:b w:val="1"/>
                <w:bCs w:val="1"/>
                <w:color w:val="003B71"/>
              </w:rPr>
              <w:t>Name</w:t>
            </w:r>
          </w:p>
        </w:tc>
        <w:tc>
          <w:tcPr>
            <w:tcW w:w="1060" w:type="dxa"/>
            <w:vAlign w:val="bottom"/>
          </w:tcPr>
          <w:p>
            <w:pPr>
              <w:spacing w:after="0"/>
              <w:rPr>
                <w:sz w:val="14"/>
                <w:szCs w:val="14"/>
                <w:color w:val="auto"/>
              </w:rPr>
            </w:pPr>
          </w:p>
        </w:tc>
        <w:tc>
          <w:tcPr>
            <w:tcW w:w="860" w:type="dxa"/>
            <w:vAlign w:val="bottom"/>
          </w:tcPr>
          <w:p>
            <w:pPr>
              <w:ind w:left="360"/>
              <w:spacing w:after="0"/>
              <w:rPr>
                <w:sz w:val="20"/>
                <w:szCs w:val="20"/>
                <w:color w:val="auto"/>
              </w:rPr>
            </w:pPr>
            <w:r>
              <w:rPr>
                <w:rFonts w:ascii="Arial" w:cs="Arial" w:eastAsia="Arial" w:hAnsi="Arial"/>
                <w:sz w:val="11"/>
                <w:szCs w:val="11"/>
                <w:b w:val="1"/>
                <w:bCs w:val="1"/>
                <w:color w:val="003B71"/>
              </w:rPr>
              <w:t>Date</w:t>
            </w:r>
          </w:p>
        </w:tc>
        <w:tc>
          <w:tcPr>
            <w:tcW w:w="880" w:type="dxa"/>
            <w:vAlign w:val="bottom"/>
            <w:gridSpan w:val="2"/>
          </w:tcPr>
          <w:p>
            <w:pPr>
              <w:ind w:left="420"/>
              <w:spacing w:after="0"/>
              <w:rPr>
                <w:sz w:val="20"/>
                <w:szCs w:val="20"/>
                <w:color w:val="auto"/>
              </w:rPr>
            </w:pPr>
            <w:r>
              <w:rPr>
                <w:rFonts w:ascii="Arial" w:cs="Arial" w:eastAsia="Arial" w:hAnsi="Arial"/>
                <w:sz w:val="11"/>
                <w:szCs w:val="11"/>
                <w:b w:val="1"/>
                <w:bCs w:val="1"/>
                <w:color w:val="003B71"/>
              </w:rPr>
              <w:t>($)</w:t>
            </w:r>
          </w:p>
        </w:tc>
        <w:tc>
          <w:tcPr>
            <w:tcW w:w="1000" w:type="dxa"/>
            <w:vAlign w:val="bottom"/>
          </w:tcPr>
          <w:p>
            <w:pPr>
              <w:ind w:left="360"/>
              <w:spacing w:after="0"/>
              <w:rPr>
                <w:sz w:val="20"/>
                <w:szCs w:val="20"/>
                <w:color w:val="auto"/>
              </w:rPr>
            </w:pPr>
            <w:r>
              <w:rPr>
                <w:rFonts w:ascii="Arial" w:cs="Arial" w:eastAsia="Arial" w:hAnsi="Arial"/>
                <w:sz w:val="11"/>
                <w:szCs w:val="11"/>
                <w:b w:val="1"/>
                <w:bCs w:val="1"/>
                <w:color w:val="003B71"/>
              </w:rPr>
              <w:t>($)</w:t>
            </w:r>
          </w:p>
        </w:tc>
        <w:tc>
          <w:tcPr>
            <w:tcW w:w="14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1"/>
                <w:szCs w:val="11"/>
                <w:b w:val="1"/>
                <w:bCs w:val="1"/>
                <w:color w:val="003B71"/>
              </w:rPr>
              <w:t>($)</w:t>
            </w:r>
          </w:p>
        </w:tc>
        <w:tc>
          <w:tcPr>
            <w:tcW w:w="880" w:type="dxa"/>
            <w:vAlign w:val="bottom"/>
            <w:gridSpan w:val="2"/>
          </w:tcPr>
          <w:p>
            <w:pPr>
              <w:jc w:val="right"/>
              <w:ind w:right="286"/>
              <w:spacing w:after="0"/>
              <w:rPr>
                <w:sz w:val="20"/>
                <w:szCs w:val="20"/>
                <w:color w:val="auto"/>
              </w:rPr>
            </w:pPr>
            <w:r>
              <w:rPr>
                <w:rFonts w:ascii="Arial" w:cs="Arial" w:eastAsia="Arial" w:hAnsi="Arial"/>
                <w:sz w:val="11"/>
                <w:szCs w:val="11"/>
                <w:b w:val="1"/>
                <w:bCs w:val="1"/>
                <w:color w:val="003B71"/>
              </w:rPr>
              <w:t>(#)</w:t>
            </w:r>
          </w:p>
        </w:tc>
        <w:tc>
          <w:tcPr>
            <w:tcW w:w="1000" w:type="dxa"/>
            <w:vAlign w:val="bottom"/>
          </w:tcPr>
          <w:p>
            <w:pPr>
              <w:jc w:val="center"/>
              <w:ind w:right="106"/>
              <w:spacing w:after="0"/>
              <w:rPr>
                <w:sz w:val="20"/>
                <w:szCs w:val="20"/>
                <w:color w:val="auto"/>
              </w:rPr>
            </w:pPr>
            <w:r>
              <w:rPr>
                <w:rFonts w:ascii="Arial" w:cs="Arial" w:eastAsia="Arial" w:hAnsi="Arial"/>
                <w:sz w:val="11"/>
                <w:szCs w:val="11"/>
                <w:b w:val="1"/>
                <w:bCs w:val="1"/>
                <w:color w:val="003B71"/>
                <w:w w:val="88"/>
              </w:rPr>
              <w:t>(#)</w:t>
            </w:r>
          </w:p>
        </w:tc>
        <w:tc>
          <w:tcPr>
            <w:tcW w:w="640" w:type="dxa"/>
            <w:vAlign w:val="bottom"/>
          </w:tcPr>
          <w:p>
            <w:pPr>
              <w:jc w:val="right"/>
              <w:ind w:right="286"/>
              <w:spacing w:after="0"/>
              <w:rPr>
                <w:sz w:val="20"/>
                <w:szCs w:val="20"/>
                <w:color w:val="auto"/>
              </w:rPr>
            </w:pPr>
            <w:r>
              <w:rPr>
                <w:rFonts w:ascii="Arial" w:cs="Arial" w:eastAsia="Arial" w:hAnsi="Arial"/>
                <w:sz w:val="11"/>
                <w:szCs w:val="11"/>
                <w:b w:val="1"/>
                <w:bCs w:val="1"/>
                <w:color w:val="003B71"/>
              </w:rPr>
              <w:t>(#)</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003B71"/>
              </w:rPr>
              <w:t>Units</w:t>
            </w:r>
          </w:p>
        </w:tc>
        <w:tc>
          <w:tcPr>
            <w:tcW w:w="1000" w:type="dxa"/>
            <w:vAlign w:val="bottom"/>
          </w:tcPr>
          <w:p>
            <w:pPr>
              <w:jc w:val="center"/>
              <w:ind w:right="66"/>
              <w:spacing w:after="0"/>
              <w:rPr>
                <w:sz w:val="20"/>
                <w:szCs w:val="20"/>
                <w:color w:val="auto"/>
              </w:rPr>
            </w:pPr>
            <w:r>
              <w:rPr>
                <w:rFonts w:ascii="Arial" w:cs="Arial" w:eastAsia="Arial" w:hAnsi="Arial"/>
                <w:sz w:val="11"/>
                <w:szCs w:val="11"/>
                <w:b w:val="1"/>
                <w:bCs w:val="1"/>
                <w:color w:val="003B71"/>
                <w:w w:val="96"/>
              </w:rPr>
              <w:t>Options</w:t>
            </w:r>
          </w:p>
        </w:tc>
        <w:tc>
          <w:tcPr>
            <w:tcW w:w="760" w:type="dxa"/>
            <w:vAlign w:val="bottom"/>
          </w:tcPr>
          <w:p>
            <w:pPr>
              <w:jc w:val="center"/>
              <w:ind w:right="46"/>
              <w:spacing w:after="0"/>
              <w:rPr>
                <w:sz w:val="20"/>
                <w:szCs w:val="20"/>
                <w:color w:val="auto"/>
              </w:rPr>
            </w:pPr>
            <w:r>
              <w:rPr>
                <w:rFonts w:ascii="Arial" w:cs="Arial" w:eastAsia="Arial" w:hAnsi="Arial"/>
                <w:sz w:val="11"/>
                <w:szCs w:val="11"/>
                <w:b w:val="1"/>
                <w:bCs w:val="1"/>
                <w:color w:val="003B71"/>
                <w:w w:val="99"/>
              </w:rPr>
              <w:t>Share)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003B71"/>
              </w:rPr>
              <w:t>($)</w:t>
            </w:r>
          </w:p>
        </w:tc>
        <w:tc>
          <w:tcPr>
            <w:tcW w:w="0" w:type="dxa"/>
            <w:vAlign w:val="bottom"/>
          </w:tcPr>
          <w:p>
            <w:pPr>
              <w:spacing w:after="0"/>
              <w:rPr>
                <w:sz w:val="1"/>
                <w:szCs w:val="1"/>
                <w:color w:val="auto"/>
              </w:rPr>
            </w:pPr>
          </w:p>
        </w:tc>
      </w:tr>
      <w:tr>
        <w:trPr>
          <w:trHeight w:val="175"/>
        </w:trPr>
        <w:tc>
          <w:tcPr>
            <w:tcW w:w="700" w:type="dxa"/>
            <w:vAlign w:val="bottom"/>
            <w:shd w:val="clear" w:color="auto" w:fill="DBDBDB"/>
          </w:tcPr>
          <w:p>
            <w:pPr>
              <w:ind w:left="20"/>
              <w:spacing w:after="0"/>
              <w:rPr>
                <w:sz w:val="20"/>
                <w:szCs w:val="20"/>
                <w:color w:val="auto"/>
              </w:rPr>
            </w:pPr>
            <w:r>
              <w:rPr>
                <w:rFonts w:ascii="Arial" w:cs="Arial" w:eastAsia="Arial" w:hAnsi="Arial"/>
                <w:sz w:val="11"/>
                <w:szCs w:val="11"/>
                <w:color w:val="auto"/>
              </w:rPr>
              <w:t>Tarun Lal</w:t>
            </w: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Incentive</w:t>
            </w:r>
          </w:p>
        </w:tc>
        <w:tc>
          <w:tcPr>
            <w:tcW w:w="860" w:type="dxa"/>
            <w:vAlign w:val="bottom"/>
            <w:shd w:val="clear" w:color="auto" w:fill="DBDBDB"/>
          </w:tcPr>
          <w:p>
            <w:pPr>
              <w:spacing w:after="0"/>
              <w:rPr>
                <w:sz w:val="15"/>
                <w:szCs w:val="15"/>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225,754</w:t>
            </w:r>
          </w:p>
        </w:tc>
        <w:tc>
          <w:tcPr>
            <w:tcW w:w="1000" w:type="dxa"/>
            <w:vAlign w:val="bottom"/>
            <w:shd w:val="clear" w:color="auto" w:fill="DBDBDB"/>
          </w:tcPr>
          <w:p>
            <w:pPr>
              <w:ind w:left="360"/>
              <w:spacing w:after="0"/>
              <w:rPr>
                <w:sz w:val="20"/>
                <w:szCs w:val="20"/>
                <w:color w:val="auto"/>
              </w:rPr>
            </w:pPr>
            <w:r>
              <w:rPr>
                <w:rFonts w:ascii="Arial" w:cs="Arial" w:eastAsia="Arial" w:hAnsi="Arial"/>
                <w:sz w:val="11"/>
                <w:szCs w:val="11"/>
                <w:color w:val="auto"/>
              </w:rPr>
              <w:t>451,507</w:t>
            </w:r>
          </w:p>
        </w:tc>
        <w:tc>
          <w:tcPr>
            <w:tcW w:w="140" w:type="dxa"/>
            <w:vAlign w:val="bottom"/>
            <w:shd w:val="clear" w:color="auto" w:fill="DBDBDB"/>
          </w:tcPr>
          <w:p>
            <w:pPr>
              <w:spacing w:after="0"/>
              <w:rPr>
                <w:sz w:val="15"/>
                <w:szCs w:val="15"/>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903,014</w:t>
            </w:r>
          </w:p>
        </w:tc>
        <w:tc>
          <w:tcPr>
            <w:tcW w:w="10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PSUs(1)</w:t>
            </w:r>
          </w:p>
        </w:tc>
        <w:tc>
          <w:tcPr>
            <w:tcW w:w="860" w:type="dxa"/>
            <w:vAlign w:val="bottom"/>
            <w:shd w:val="clear" w:color="auto" w:fill="DBDBDB"/>
          </w:tcPr>
          <w:p>
            <w:pPr>
              <w:ind w:left="380"/>
              <w:spacing w:after="0"/>
              <w:rPr>
                <w:sz w:val="20"/>
                <w:szCs w:val="20"/>
                <w:color w:val="auto"/>
              </w:rPr>
            </w:pPr>
            <w:r>
              <w:rPr>
                <w:rFonts w:ascii="Arial" w:cs="Arial" w:eastAsia="Arial" w:hAnsi="Arial"/>
                <w:sz w:val="11"/>
                <w:szCs w:val="11"/>
                <w:color w:val="auto"/>
                <w:w w:val="93"/>
              </w:rPr>
              <w:t>7/15/2025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124,766</w:t>
            </w: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3,795,382</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PSUs(2)</w:t>
            </w:r>
          </w:p>
        </w:tc>
        <w:tc>
          <w:tcPr>
            <w:tcW w:w="860" w:type="dxa"/>
            <w:vAlign w:val="bottom"/>
            <w:shd w:val="clear" w:color="auto" w:fill="DBDBDB"/>
          </w:tcPr>
          <w:p>
            <w:pPr>
              <w:ind w:left="380"/>
              <w:spacing w:after="0"/>
              <w:rPr>
                <w:sz w:val="20"/>
                <w:szCs w:val="20"/>
                <w:color w:val="auto"/>
              </w:rPr>
            </w:pPr>
            <w:r>
              <w:rPr>
                <w:rFonts w:ascii="Arial" w:cs="Arial" w:eastAsia="Arial" w:hAnsi="Arial"/>
                <w:sz w:val="11"/>
                <w:szCs w:val="11"/>
                <w:color w:val="auto"/>
                <w:w w:val="93"/>
              </w:rPr>
              <w:t>7/15/2025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62,383</w:t>
            </w:r>
          </w:p>
        </w:tc>
        <w:tc>
          <w:tcPr>
            <w:tcW w:w="100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124,766</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155,958</w:t>
            </w: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3,795,382</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Stock Options(5)</w:t>
            </w:r>
          </w:p>
        </w:tc>
        <w:tc>
          <w:tcPr>
            <w:tcW w:w="860" w:type="dxa"/>
            <w:vAlign w:val="bottom"/>
            <w:shd w:val="clear" w:color="auto" w:fill="DBDBDB"/>
          </w:tcPr>
          <w:p>
            <w:pPr>
              <w:ind w:left="380"/>
              <w:spacing w:after="0"/>
              <w:rPr>
                <w:sz w:val="20"/>
                <w:szCs w:val="20"/>
                <w:color w:val="auto"/>
              </w:rPr>
            </w:pPr>
            <w:r>
              <w:rPr>
                <w:rFonts w:ascii="Arial" w:cs="Arial" w:eastAsia="Arial" w:hAnsi="Arial"/>
                <w:sz w:val="11"/>
                <w:szCs w:val="11"/>
                <w:color w:val="auto"/>
                <w:w w:val="93"/>
              </w:rPr>
              <w:t>7/15/2025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124,766</w:t>
            </w:r>
          </w:p>
        </w:tc>
        <w:tc>
          <w:tcPr>
            <w:tcW w:w="76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32.06</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2,859,637</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Stock Options(3)</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7/15/2025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124,766</w:t>
            </w:r>
          </w:p>
        </w:tc>
        <w:tc>
          <w:tcPr>
            <w:tcW w:w="7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32.06</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1,943,854</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Stock Options(4)</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7/15/2025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83,177</w:t>
            </w:r>
          </w:p>
        </w:tc>
        <w:tc>
          <w:tcPr>
            <w:tcW w:w="7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48.09</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939,900</w:t>
            </w:r>
          </w:p>
        </w:tc>
        <w:tc>
          <w:tcPr>
            <w:tcW w:w="0" w:type="dxa"/>
            <w:vAlign w:val="bottom"/>
          </w:tcPr>
          <w:p>
            <w:pPr>
              <w:spacing w:after="0"/>
              <w:rPr>
                <w:sz w:val="1"/>
                <w:szCs w:val="1"/>
                <w:color w:val="auto"/>
              </w:rPr>
            </w:pPr>
          </w:p>
        </w:tc>
      </w:tr>
      <w:tr>
        <w:trPr>
          <w:trHeight w:val="215"/>
        </w:trPr>
        <w:tc>
          <w:tcPr>
            <w:tcW w:w="70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Stock Options(6)</w:t>
            </w:r>
          </w:p>
        </w:tc>
        <w:tc>
          <w:tcPr>
            <w:tcW w:w="860" w:type="dxa"/>
            <w:vAlign w:val="bottom"/>
            <w:tcBorders>
              <w:bottom w:val="single" w:sz="8" w:color="DBDBDB"/>
            </w:tcBorders>
            <w:shd w:val="clear" w:color="auto" w:fill="DBDBDB"/>
          </w:tcPr>
          <w:p>
            <w:pPr>
              <w:jc w:val="center"/>
              <w:ind w:left="46"/>
              <w:spacing w:after="0"/>
              <w:rPr>
                <w:sz w:val="20"/>
                <w:szCs w:val="20"/>
                <w:color w:val="auto"/>
              </w:rPr>
            </w:pPr>
            <w:r>
              <w:rPr>
                <w:rFonts w:ascii="Arial" w:cs="Arial" w:eastAsia="Arial" w:hAnsi="Arial"/>
                <w:sz w:val="11"/>
                <w:szCs w:val="11"/>
                <w:color w:val="auto"/>
                <w:w w:val="97"/>
              </w:rPr>
              <w:t>7/15/2025</w:t>
            </w:r>
          </w:p>
        </w:tc>
        <w:tc>
          <w:tcPr>
            <w:tcW w:w="1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31,191</w:t>
            </w:r>
          </w:p>
        </w:tc>
        <w:tc>
          <w:tcPr>
            <w:tcW w:w="76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32.06</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714,898</w:t>
            </w:r>
          </w:p>
        </w:tc>
        <w:tc>
          <w:tcPr>
            <w:tcW w:w="0" w:type="dxa"/>
            <w:vAlign w:val="bottom"/>
          </w:tcPr>
          <w:p>
            <w:pPr>
              <w:spacing w:after="0"/>
              <w:rPr>
                <w:sz w:val="1"/>
                <w:szCs w:val="1"/>
                <w:color w:val="auto"/>
              </w:rPr>
            </w:pPr>
          </w:p>
        </w:tc>
      </w:tr>
      <w:tr>
        <w:trPr>
          <w:trHeight w:val="148"/>
        </w:trPr>
        <w:tc>
          <w:tcPr>
            <w:tcW w:w="700" w:type="dxa"/>
            <w:vAlign w:val="bottom"/>
          </w:tcPr>
          <w:p>
            <w:pPr>
              <w:ind w:left="20"/>
              <w:spacing w:after="0"/>
              <w:rPr>
                <w:sz w:val="20"/>
                <w:szCs w:val="20"/>
                <w:color w:val="auto"/>
              </w:rPr>
            </w:pPr>
            <w:r>
              <w:rPr>
                <w:rFonts w:ascii="Arial" w:cs="Arial" w:eastAsia="Arial" w:hAnsi="Arial"/>
                <w:sz w:val="11"/>
                <w:szCs w:val="11"/>
                <w:color w:val="auto"/>
              </w:rPr>
              <w:t>Kevin M.</w:t>
            </w:r>
          </w:p>
        </w:tc>
        <w:tc>
          <w:tcPr>
            <w:tcW w:w="1060" w:type="dxa"/>
            <w:vAlign w:val="bottom"/>
          </w:tcPr>
          <w:p>
            <w:pPr>
              <w:ind w:left="20"/>
              <w:spacing w:after="0"/>
              <w:rPr>
                <w:sz w:val="20"/>
                <w:szCs w:val="20"/>
                <w:color w:val="auto"/>
              </w:rPr>
            </w:pPr>
            <w:r>
              <w:rPr>
                <w:rFonts w:ascii="Arial" w:cs="Arial" w:eastAsia="Arial" w:hAnsi="Arial"/>
                <w:sz w:val="11"/>
                <w:szCs w:val="11"/>
                <w:color w:val="auto"/>
              </w:rPr>
              <w:t>Cash Incentive</w:t>
            </w:r>
          </w:p>
        </w:tc>
        <w:tc>
          <w:tcPr>
            <w:tcW w:w="860" w:type="dxa"/>
            <w:vAlign w:val="bottom"/>
          </w:tcPr>
          <w:p>
            <w:pPr>
              <w:spacing w:after="0"/>
              <w:rPr>
                <w:sz w:val="12"/>
                <w:szCs w:val="12"/>
                <w:color w:val="auto"/>
              </w:rPr>
            </w:pPr>
          </w:p>
        </w:tc>
        <w:tc>
          <w:tcPr>
            <w:tcW w:w="880" w:type="dxa"/>
            <w:vAlign w:val="bottom"/>
            <w:gridSpan w:val="2"/>
          </w:tcPr>
          <w:p>
            <w:pPr>
              <w:ind w:left="440"/>
              <w:spacing w:after="0"/>
              <w:rPr>
                <w:sz w:val="20"/>
                <w:szCs w:val="20"/>
                <w:color w:val="auto"/>
              </w:rPr>
            </w:pPr>
            <w:r>
              <w:rPr>
                <w:rFonts w:ascii="Arial" w:cs="Arial" w:eastAsia="Arial" w:hAnsi="Arial"/>
                <w:sz w:val="11"/>
                <w:szCs w:val="11"/>
                <w:color w:val="auto"/>
              </w:rPr>
              <w:t>185,137</w:t>
            </w:r>
          </w:p>
        </w:tc>
        <w:tc>
          <w:tcPr>
            <w:tcW w:w="1000" w:type="dxa"/>
            <w:vAlign w:val="bottom"/>
          </w:tcPr>
          <w:p>
            <w:pPr>
              <w:jc w:val="right"/>
              <w:ind w:right="226"/>
              <w:spacing w:after="0"/>
              <w:rPr>
                <w:sz w:val="20"/>
                <w:szCs w:val="20"/>
                <w:color w:val="auto"/>
              </w:rPr>
            </w:pPr>
            <w:r>
              <w:rPr>
                <w:rFonts w:ascii="Arial" w:cs="Arial" w:eastAsia="Arial" w:hAnsi="Arial"/>
                <w:sz w:val="11"/>
                <w:szCs w:val="11"/>
                <w:color w:val="auto"/>
              </w:rPr>
              <w:t>370,274</w:t>
            </w:r>
          </w:p>
        </w:tc>
        <w:tc>
          <w:tcPr>
            <w:tcW w:w="14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1"/>
                <w:szCs w:val="11"/>
                <w:color w:val="auto"/>
              </w:rPr>
              <w:t>740,548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20"/>
              <w:spacing w:after="0"/>
              <w:rPr>
                <w:sz w:val="20"/>
                <w:szCs w:val="20"/>
                <w:color w:val="auto"/>
              </w:rPr>
            </w:pPr>
            <w:r>
              <w:rPr>
                <w:rFonts w:ascii="Arial" w:cs="Arial" w:eastAsia="Arial" w:hAnsi="Arial"/>
                <w:sz w:val="11"/>
                <w:szCs w:val="11"/>
                <w:color w:val="auto"/>
              </w:rPr>
              <w:t>Sheehan</w:t>
            </w: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RSUs(7)</w:t>
            </w:r>
          </w:p>
        </w:tc>
        <w:tc>
          <w:tcPr>
            <w:tcW w:w="860" w:type="dxa"/>
            <w:vAlign w:val="bottom"/>
            <w:vMerge w:val="restart"/>
          </w:tcPr>
          <w:p>
            <w:pPr>
              <w:jc w:val="center"/>
              <w:ind w:left="46"/>
              <w:spacing w:after="0"/>
              <w:rPr>
                <w:sz w:val="20"/>
                <w:szCs w:val="20"/>
                <w:color w:val="auto"/>
              </w:rPr>
            </w:pPr>
            <w:r>
              <w:rPr>
                <w:rFonts w:ascii="Arial" w:cs="Arial" w:eastAsia="Arial" w:hAnsi="Arial"/>
                <w:sz w:val="11"/>
                <w:szCs w:val="11"/>
                <w:color w:val="auto"/>
                <w:w w:val="97"/>
              </w:rPr>
              <w:t>6/18/2025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vMerge w:val="restart"/>
          </w:tcPr>
          <w:p>
            <w:pPr>
              <w:jc w:val="right"/>
              <w:ind w:right="86"/>
              <w:spacing w:after="0"/>
              <w:rPr>
                <w:sz w:val="20"/>
                <w:szCs w:val="20"/>
                <w:color w:val="auto"/>
              </w:rPr>
            </w:pPr>
            <w:r>
              <w:rPr>
                <w:rFonts w:ascii="Arial" w:cs="Arial" w:eastAsia="Arial" w:hAnsi="Arial"/>
                <w:sz w:val="11"/>
                <w:szCs w:val="11"/>
                <w:color w:val="auto"/>
              </w:rPr>
              <w:t>55,401</w:t>
            </w: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1,776,156</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RSUs(7)</w:t>
            </w:r>
          </w:p>
        </w:tc>
        <w:tc>
          <w:tcPr>
            <w:tcW w:w="860" w:type="dxa"/>
            <w:vAlign w:val="bottom"/>
          </w:tcPr>
          <w:p>
            <w:pPr>
              <w:jc w:val="center"/>
              <w:ind w:left="46"/>
              <w:spacing w:after="0"/>
              <w:rPr>
                <w:sz w:val="20"/>
                <w:szCs w:val="20"/>
                <w:color w:val="auto"/>
              </w:rPr>
            </w:pPr>
            <w:r>
              <w:rPr>
                <w:rFonts w:ascii="Arial" w:cs="Arial" w:eastAsia="Arial" w:hAnsi="Arial"/>
                <w:sz w:val="11"/>
                <w:szCs w:val="11"/>
                <w:color w:val="auto"/>
                <w:w w:val="97"/>
              </w:rPr>
              <w:t>8/15/2025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26,710</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692,323</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RSUs(8)</w:t>
            </w:r>
          </w:p>
        </w:tc>
        <w:tc>
          <w:tcPr>
            <w:tcW w:w="860" w:type="dxa"/>
            <w:vAlign w:val="bottom"/>
          </w:tcPr>
          <w:p>
            <w:pPr>
              <w:jc w:val="center"/>
              <w:ind w:left="26"/>
              <w:spacing w:after="0"/>
              <w:rPr>
                <w:sz w:val="20"/>
                <w:szCs w:val="20"/>
                <w:color w:val="auto"/>
              </w:rPr>
            </w:pPr>
            <w:r>
              <w:rPr>
                <w:rFonts w:ascii="Arial" w:cs="Arial" w:eastAsia="Arial" w:hAnsi="Arial"/>
                <w:sz w:val="11"/>
                <w:szCs w:val="11"/>
                <w:color w:val="auto"/>
                <w:w w:val="98"/>
              </w:rPr>
              <w:t>10/20/2025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7,690</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136,421</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RSUs(8)</w:t>
            </w:r>
          </w:p>
        </w:tc>
        <w:tc>
          <w:tcPr>
            <w:tcW w:w="860" w:type="dxa"/>
            <w:vAlign w:val="bottom"/>
          </w:tcPr>
          <w:p>
            <w:pPr>
              <w:jc w:val="center"/>
              <w:ind w:left="46"/>
              <w:spacing w:after="0"/>
              <w:rPr>
                <w:sz w:val="20"/>
                <w:szCs w:val="20"/>
                <w:color w:val="auto"/>
              </w:rPr>
            </w:pPr>
            <w:r>
              <w:rPr>
                <w:rFonts w:ascii="Arial" w:cs="Arial" w:eastAsia="Arial" w:hAnsi="Arial"/>
                <w:sz w:val="11"/>
                <w:szCs w:val="11"/>
                <w:color w:val="auto"/>
                <w:w w:val="97"/>
              </w:rPr>
              <w:t>1/27/2026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712</w:t>
            </w: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13,734</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PSUs(7)a</w:t>
            </w:r>
          </w:p>
        </w:tc>
        <w:tc>
          <w:tcPr>
            <w:tcW w:w="860" w:type="dxa"/>
            <w:vAlign w:val="bottom"/>
          </w:tcPr>
          <w:p>
            <w:pPr>
              <w:jc w:val="center"/>
              <w:ind w:left="46"/>
              <w:spacing w:after="0"/>
              <w:rPr>
                <w:sz w:val="20"/>
                <w:szCs w:val="20"/>
                <w:color w:val="auto"/>
              </w:rPr>
            </w:pPr>
            <w:r>
              <w:rPr>
                <w:rFonts w:ascii="Arial" w:cs="Arial" w:eastAsia="Arial" w:hAnsi="Arial"/>
                <w:sz w:val="11"/>
                <w:szCs w:val="11"/>
                <w:color w:val="auto"/>
                <w:w w:val="97"/>
              </w:rPr>
              <w:t>6/18/2025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jc w:val="right"/>
              <w:ind w:right="206"/>
              <w:spacing w:after="0"/>
              <w:rPr>
                <w:sz w:val="20"/>
                <w:szCs w:val="20"/>
                <w:color w:val="auto"/>
              </w:rPr>
            </w:pPr>
            <w:r>
              <w:rPr>
                <w:rFonts w:ascii="Arial" w:cs="Arial" w:eastAsia="Arial" w:hAnsi="Arial"/>
                <w:sz w:val="11"/>
                <w:szCs w:val="11"/>
                <w:color w:val="auto"/>
              </w:rPr>
              <w:t>53,419</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1,712,613</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PSUs(7)b</w:t>
            </w:r>
          </w:p>
        </w:tc>
        <w:tc>
          <w:tcPr>
            <w:tcW w:w="860" w:type="dxa"/>
            <w:vAlign w:val="bottom"/>
          </w:tcPr>
          <w:p>
            <w:pPr>
              <w:jc w:val="center"/>
              <w:ind w:left="46"/>
              <w:spacing w:after="0"/>
              <w:rPr>
                <w:sz w:val="20"/>
                <w:szCs w:val="20"/>
                <w:color w:val="auto"/>
              </w:rPr>
            </w:pPr>
            <w:r>
              <w:rPr>
                <w:rFonts w:ascii="Arial" w:cs="Arial" w:eastAsia="Arial" w:hAnsi="Arial"/>
                <w:sz w:val="11"/>
                <w:szCs w:val="11"/>
                <w:color w:val="auto"/>
                <w:w w:val="97"/>
              </w:rPr>
              <w:t>6/18/2025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10,000</w:t>
            </w:r>
          </w:p>
        </w:tc>
        <w:tc>
          <w:tcPr>
            <w:tcW w:w="1000" w:type="dxa"/>
            <w:vAlign w:val="bottom"/>
          </w:tcPr>
          <w:p>
            <w:pPr>
              <w:jc w:val="right"/>
              <w:ind w:right="206"/>
              <w:spacing w:after="0"/>
              <w:rPr>
                <w:sz w:val="20"/>
                <w:szCs w:val="20"/>
                <w:color w:val="auto"/>
              </w:rPr>
            </w:pPr>
            <w:r>
              <w:rPr>
                <w:rFonts w:ascii="Arial" w:cs="Arial" w:eastAsia="Arial" w:hAnsi="Arial"/>
                <w:sz w:val="11"/>
                <w:szCs w:val="11"/>
                <w:color w:val="auto"/>
              </w:rPr>
              <w:t>20,000</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641,200</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Stock Options(9)</w:t>
            </w:r>
          </w:p>
        </w:tc>
        <w:tc>
          <w:tcPr>
            <w:tcW w:w="860" w:type="dxa"/>
            <w:vAlign w:val="bottom"/>
          </w:tcPr>
          <w:p>
            <w:pPr>
              <w:jc w:val="center"/>
              <w:ind w:left="46"/>
              <w:spacing w:after="0"/>
              <w:rPr>
                <w:sz w:val="20"/>
                <w:szCs w:val="20"/>
                <w:color w:val="auto"/>
              </w:rPr>
            </w:pPr>
            <w:r>
              <w:rPr>
                <w:rFonts w:ascii="Arial" w:cs="Arial" w:eastAsia="Arial" w:hAnsi="Arial"/>
                <w:sz w:val="11"/>
                <w:szCs w:val="11"/>
                <w:color w:val="auto"/>
                <w:w w:val="97"/>
              </w:rPr>
              <w:t>6/18/2025</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jc w:val="right"/>
              <w:ind w:right="66"/>
              <w:spacing w:after="0"/>
              <w:rPr>
                <w:sz w:val="20"/>
                <w:szCs w:val="20"/>
                <w:color w:val="auto"/>
              </w:rPr>
            </w:pPr>
            <w:r>
              <w:rPr>
                <w:rFonts w:ascii="Arial" w:cs="Arial" w:eastAsia="Arial" w:hAnsi="Arial"/>
                <w:sz w:val="11"/>
                <w:szCs w:val="11"/>
                <w:color w:val="auto"/>
              </w:rPr>
              <w:t>100,000</w:t>
            </w:r>
          </w:p>
        </w:tc>
        <w:tc>
          <w:tcPr>
            <w:tcW w:w="760" w:type="dxa"/>
            <w:vAlign w:val="bottom"/>
          </w:tcPr>
          <w:p>
            <w:pPr>
              <w:jc w:val="right"/>
              <w:ind w:right="106"/>
              <w:spacing w:after="0"/>
              <w:rPr>
                <w:sz w:val="20"/>
                <w:szCs w:val="20"/>
                <w:color w:val="auto"/>
              </w:rPr>
            </w:pPr>
            <w:r>
              <w:rPr>
                <w:rFonts w:ascii="Arial" w:cs="Arial" w:eastAsia="Arial" w:hAnsi="Arial"/>
                <w:sz w:val="11"/>
                <w:szCs w:val="11"/>
                <w:color w:val="auto"/>
              </w:rPr>
              <w:t>18.72</w:t>
            </w:r>
          </w:p>
        </w:tc>
        <w:tc>
          <w:tcPr>
            <w:tcW w:w="700" w:type="dxa"/>
            <w:vAlign w:val="bottom"/>
          </w:tcPr>
          <w:p>
            <w:pPr>
              <w:jc w:val="right"/>
              <w:spacing w:after="0"/>
              <w:rPr>
                <w:sz w:val="20"/>
                <w:szCs w:val="20"/>
                <w:color w:val="auto"/>
              </w:rPr>
            </w:pPr>
            <w:r>
              <w:rPr>
                <w:rFonts w:ascii="Arial" w:cs="Arial" w:eastAsia="Arial" w:hAnsi="Arial"/>
                <w:sz w:val="11"/>
                <w:szCs w:val="11"/>
                <w:color w:val="auto"/>
              </w:rPr>
              <w:t>2,262,000</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shd w:val="clear" w:color="auto" w:fill="DBDBDB"/>
          </w:tcPr>
          <w:p>
            <w:pPr>
              <w:ind w:left="20"/>
              <w:spacing w:after="0"/>
              <w:rPr>
                <w:sz w:val="20"/>
                <w:szCs w:val="20"/>
                <w:color w:val="auto"/>
              </w:rPr>
            </w:pPr>
            <w:r>
              <w:rPr>
                <w:rFonts w:ascii="Arial" w:cs="Arial" w:eastAsia="Arial" w:hAnsi="Arial"/>
                <w:sz w:val="11"/>
                <w:szCs w:val="11"/>
                <w:color w:val="auto"/>
              </w:rPr>
              <w:t>Darin Harper</w:t>
            </w: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Incentive</w:t>
            </w:r>
          </w:p>
        </w:tc>
        <w:tc>
          <w:tcPr>
            <w:tcW w:w="860" w:type="dxa"/>
            <w:vAlign w:val="bottom"/>
            <w:shd w:val="clear" w:color="auto" w:fill="DBDBDB"/>
          </w:tcPr>
          <w:p>
            <w:pPr>
              <w:spacing w:after="0"/>
              <w:rPr>
                <w:sz w:val="14"/>
                <w:szCs w:val="14"/>
                <w:color w:val="auto"/>
              </w:rPr>
            </w:pPr>
          </w:p>
        </w:tc>
        <w:tc>
          <w:tcPr>
            <w:tcW w:w="880" w:type="dxa"/>
            <w:vAlign w:val="bottom"/>
            <w:gridSpan w:val="2"/>
            <w:shd w:val="clear" w:color="auto" w:fill="DBDBDB"/>
          </w:tcPr>
          <w:p>
            <w:pPr>
              <w:ind w:left="440"/>
              <w:spacing w:after="0"/>
              <w:rPr>
                <w:sz w:val="20"/>
                <w:szCs w:val="20"/>
                <w:color w:val="auto"/>
              </w:rPr>
            </w:pPr>
            <w:r>
              <w:rPr>
                <w:rFonts w:ascii="Arial" w:cs="Arial" w:eastAsia="Arial" w:hAnsi="Arial"/>
                <w:sz w:val="11"/>
                <w:szCs w:val="11"/>
                <w:color w:val="auto"/>
              </w:rPr>
              <w:t>190,000</w:t>
            </w:r>
          </w:p>
        </w:tc>
        <w:tc>
          <w:tcPr>
            <w:tcW w:w="1000" w:type="dxa"/>
            <w:vAlign w:val="bottom"/>
            <w:shd w:val="clear" w:color="auto" w:fill="DBDBDB"/>
          </w:tcPr>
          <w:p>
            <w:pPr>
              <w:jc w:val="right"/>
              <w:ind w:right="226"/>
              <w:spacing w:after="0"/>
              <w:rPr>
                <w:sz w:val="20"/>
                <w:szCs w:val="20"/>
                <w:color w:val="auto"/>
              </w:rPr>
            </w:pPr>
            <w:r>
              <w:rPr>
                <w:rFonts w:ascii="Arial" w:cs="Arial" w:eastAsia="Arial" w:hAnsi="Arial"/>
                <w:sz w:val="11"/>
                <w:szCs w:val="11"/>
                <w:color w:val="auto"/>
              </w:rPr>
              <w:t>380,000</w:t>
            </w:r>
          </w:p>
        </w:tc>
        <w:tc>
          <w:tcPr>
            <w:tcW w:w="140" w:type="dxa"/>
            <w:vAlign w:val="bottom"/>
            <w:shd w:val="clear" w:color="auto" w:fill="DBDBDB"/>
          </w:tcPr>
          <w:p>
            <w:pPr>
              <w:spacing w:after="0"/>
              <w:rPr>
                <w:sz w:val="14"/>
                <w:szCs w:val="14"/>
                <w:color w:val="auto"/>
              </w:rPr>
            </w:pPr>
          </w:p>
        </w:tc>
        <w:tc>
          <w:tcPr>
            <w:tcW w:w="500" w:type="dxa"/>
            <w:vAlign w:val="bottom"/>
            <w:shd w:val="clear" w:color="auto" w:fill="DBDBDB"/>
          </w:tcPr>
          <w:p>
            <w:pPr>
              <w:ind w:left="60"/>
              <w:spacing w:after="0"/>
              <w:rPr>
                <w:sz w:val="20"/>
                <w:szCs w:val="20"/>
                <w:color w:val="auto"/>
              </w:rPr>
            </w:pPr>
            <w:r>
              <w:rPr>
                <w:rFonts w:ascii="Arial" w:cs="Arial" w:eastAsia="Arial" w:hAnsi="Arial"/>
                <w:sz w:val="11"/>
                <w:szCs w:val="11"/>
                <w:color w:val="auto"/>
              </w:rPr>
              <w:t>760,000</w:t>
            </w:r>
          </w:p>
        </w:tc>
        <w:tc>
          <w:tcPr>
            <w:tcW w:w="10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RSUs(10)</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6/18/2025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17,335</w:t>
            </w:r>
          </w:p>
        </w:tc>
        <w:tc>
          <w:tcPr>
            <w:tcW w:w="10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555,760</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RSUs(11)</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6/27/2025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3,014</w:t>
            </w:r>
          </w:p>
        </w:tc>
        <w:tc>
          <w:tcPr>
            <w:tcW w:w="10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91,776</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RSUs(12)</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22,026</w:t>
            </w:r>
          </w:p>
        </w:tc>
        <w:tc>
          <w:tcPr>
            <w:tcW w:w="10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389,640</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PSUs(11)</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6/27/2025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1,507</w:t>
            </w:r>
          </w:p>
        </w:tc>
        <w:tc>
          <w:tcPr>
            <w:tcW w:w="100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3,014</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6,028</w:t>
            </w: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91,776</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PSUs(1)</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11,013</w:t>
            </w: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PSUs(2)</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spacing w:after="0"/>
              <w:rPr>
                <w:sz w:val="20"/>
                <w:szCs w:val="20"/>
                <w:color w:val="auto"/>
              </w:rPr>
            </w:pPr>
            <w:r>
              <w:rPr>
                <w:rFonts w:ascii="Arial" w:cs="Arial" w:eastAsia="Arial" w:hAnsi="Arial"/>
                <w:sz w:val="11"/>
                <w:szCs w:val="11"/>
                <w:color w:val="auto"/>
              </w:rPr>
              <w:t>5,507</w:t>
            </w:r>
          </w:p>
        </w:tc>
        <w:tc>
          <w:tcPr>
            <w:tcW w:w="100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11,013</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13,766</w:t>
            </w: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188"/>
        </w:trPr>
        <w:tc>
          <w:tcPr>
            <w:tcW w:w="70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1"/>
                <w:szCs w:val="11"/>
                <w:color w:val="auto"/>
              </w:rPr>
              <w:t>Stock Options(10)</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6/18/2025</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9,085</w:t>
            </w:r>
          </w:p>
        </w:tc>
        <w:tc>
          <w:tcPr>
            <w:tcW w:w="7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33.02</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205,503</w:t>
            </w:r>
          </w:p>
        </w:tc>
        <w:tc>
          <w:tcPr>
            <w:tcW w:w="0" w:type="dxa"/>
            <w:vAlign w:val="bottom"/>
          </w:tcPr>
          <w:p>
            <w:pPr>
              <w:spacing w:after="0"/>
              <w:rPr>
                <w:sz w:val="1"/>
                <w:szCs w:val="1"/>
                <w:color w:val="auto"/>
              </w:rPr>
            </w:pPr>
          </w:p>
        </w:tc>
      </w:tr>
      <w:tr>
        <w:trPr>
          <w:trHeight w:val="134"/>
        </w:trPr>
        <w:tc>
          <w:tcPr>
            <w:tcW w:w="700" w:type="dxa"/>
            <w:vAlign w:val="bottom"/>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1"/>
                <w:szCs w:val="11"/>
                <w:color w:val="auto"/>
              </w:rPr>
              <w:t>Stock Options(11)</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6/27/2025</w:t>
            </w: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5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3,014</w:t>
            </w:r>
          </w:p>
        </w:tc>
        <w:tc>
          <w:tcPr>
            <w:tcW w:w="7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30.45</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68,177</w:t>
            </w:r>
          </w:p>
        </w:tc>
        <w:tc>
          <w:tcPr>
            <w:tcW w:w="0" w:type="dxa"/>
            <w:vAlign w:val="bottom"/>
          </w:tcPr>
          <w:p>
            <w:pPr>
              <w:spacing w:after="0"/>
              <w:rPr>
                <w:sz w:val="1"/>
                <w:szCs w:val="1"/>
                <w:color w:val="auto"/>
              </w:rPr>
            </w:pPr>
          </w:p>
        </w:tc>
      </w:tr>
      <w:tr>
        <w:trPr>
          <w:trHeight w:val="134"/>
        </w:trPr>
        <w:tc>
          <w:tcPr>
            <w:tcW w:w="700" w:type="dxa"/>
            <w:vAlign w:val="bottom"/>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106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Stock Options(4)</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60,327</w:t>
            </w:r>
          </w:p>
        </w:tc>
        <w:tc>
          <w:tcPr>
            <w:tcW w:w="7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22.70</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643,689</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Stock Options(5)</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47,934</w:t>
            </w:r>
          </w:p>
        </w:tc>
        <w:tc>
          <w:tcPr>
            <w:tcW w:w="7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34.05</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344,166</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Stock Options(3)</w:t>
            </w:r>
          </w:p>
        </w:tc>
        <w:tc>
          <w:tcPr>
            <w:tcW w:w="86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22,026</w:t>
            </w:r>
          </w:p>
        </w:tc>
        <w:tc>
          <w:tcPr>
            <w:tcW w:w="7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22.70</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706,154</w:t>
            </w:r>
          </w:p>
        </w:tc>
        <w:tc>
          <w:tcPr>
            <w:tcW w:w="0" w:type="dxa"/>
            <w:vAlign w:val="bottom"/>
          </w:tcPr>
          <w:p>
            <w:pPr>
              <w:spacing w:after="0"/>
              <w:rPr>
                <w:sz w:val="1"/>
                <w:szCs w:val="1"/>
                <w:color w:val="auto"/>
              </w:rPr>
            </w:pPr>
          </w:p>
        </w:tc>
      </w:tr>
      <w:tr>
        <w:trPr>
          <w:trHeight w:val="33"/>
        </w:trPr>
        <w:tc>
          <w:tcPr>
            <w:tcW w:w="70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78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64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7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71329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39</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34"/>
        </w:trPr>
        <w:tc>
          <w:tcPr>
            <w:tcW w:w="700" w:type="dxa"/>
            <w:vAlign w:val="bottom"/>
          </w:tcPr>
          <w:p>
            <w:pPr>
              <w:ind w:left="20"/>
              <w:spacing w:after="0"/>
              <w:rPr>
                <w:sz w:val="20"/>
                <w:szCs w:val="20"/>
                <w:color w:val="auto"/>
              </w:rPr>
            </w:pPr>
            <w:r>
              <w:rPr>
                <w:rFonts w:ascii="Arial" w:cs="Arial" w:eastAsia="Arial" w:hAnsi="Arial"/>
                <w:sz w:val="11"/>
                <w:szCs w:val="11"/>
                <w:color w:val="auto"/>
              </w:rPr>
              <w:t>Antonio</w:t>
            </w:r>
          </w:p>
        </w:tc>
        <w:tc>
          <w:tcPr>
            <w:tcW w:w="1060" w:type="dxa"/>
            <w:vAlign w:val="bottom"/>
          </w:tcPr>
          <w:p>
            <w:pPr>
              <w:ind w:left="20"/>
              <w:spacing w:after="0"/>
              <w:rPr>
                <w:sz w:val="20"/>
                <w:szCs w:val="20"/>
                <w:color w:val="auto"/>
              </w:rPr>
            </w:pPr>
            <w:r>
              <w:rPr>
                <w:rFonts w:ascii="Arial" w:cs="Arial" w:eastAsia="Arial" w:hAnsi="Arial"/>
                <w:sz w:val="11"/>
                <w:szCs w:val="11"/>
                <w:color w:val="auto"/>
              </w:rPr>
              <w:t>Cash Incentive</w:t>
            </w:r>
          </w:p>
        </w:tc>
        <w:tc>
          <w:tcPr>
            <w:tcW w:w="9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128,100</w:t>
            </w:r>
          </w:p>
        </w:tc>
        <w:tc>
          <w:tcPr>
            <w:tcW w:w="780" w:type="dxa"/>
            <w:vAlign w:val="bottom"/>
          </w:tcPr>
          <w:p>
            <w:pPr>
              <w:jc w:val="right"/>
              <w:spacing w:after="0"/>
              <w:rPr>
                <w:sz w:val="20"/>
                <w:szCs w:val="20"/>
                <w:color w:val="auto"/>
              </w:rPr>
            </w:pPr>
            <w:r>
              <w:rPr>
                <w:rFonts w:ascii="Arial" w:cs="Arial" w:eastAsia="Arial" w:hAnsi="Arial"/>
                <w:sz w:val="11"/>
                <w:szCs w:val="11"/>
                <w:color w:val="auto"/>
              </w:rPr>
              <w:t>256,200</w:t>
            </w:r>
          </w:p>
        </w:tc>
        <w:tc>
          <w:tcPr>
            <w:tcW w:w="1720" w:type="dxa"/>
            <w:vAlign w:val="bottom"/>
          </w:tcPr>
          <w:p>
            <w:pPr>
              <w:jc w:val="right"/>
              <w:ind w:right="826"/>
              <w:spacing w:after="0"/>
              <w:rPr>
                <w:sz w:val="20"/>
                <w:szCs w:val="20"/>
                <w:color w:val="auto"/>
              </w:rPr>
            </w:pPr>
            <w:r>
              <w:rPr>
                <w:rFonts w:ascii="Arial" w:cs="Arial" w:eastAsia="Arial" w:hAnsi="Arial"/>
                <w:sz w:val="11"/>
                <w:szCs w:val="11"/>
                <w:color w:val="auto"/>
              </w:rPr>
              <w:t>512,400</w:t>
            </w: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00" w:type="dxa"/>
            <w:vAlign w:val="bottom"/>
          </w:tcPr>
          <w:p>
            <w:pPr>
              <w:ind w:left="20"/>
              <w:spacing w:after="0"/>
              <w:rPr>
                <w:sz w:val="20"/>
                <w:szCs w:val="20"/>
                <w:color w:val="auto"/>
              </w:rPr>
            </w:pPr>
            <w:r>
              <w:rPr>
                <w:rFonts w:ascii="Arial" w:cs="Arial" w:eastAsia="Arial" w:hAnsi="Arial"/>
                <w:sz w:val="11"/>
                <w:szCs w:val="11"/>
                <w:color w:val="auto"/>
              </w:rPr>
              <w:t>Bautista</w:t>
            </w: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RSUs(10)</w:t>
            </w:r>
          </w:p>
        </w:tc>
        <w:tc>
          <w:tcPr>
            <w:tcW w:w="900" w:type="dxa"/>
            <w:vAlign w:val="bottom"/>
            <w:vMerge w:val="restart"/>
          </w:tcPr>
          <w:p>
            <w:pPr>
              <w:jc w:val="center"/>
              <w:ind w:left="46"/>
              <w:spacing w:after="0"/>
              <w:rPr>
                <w:sz w:val="20"/>
                <w:szCs w:val="20"/>
                <w:color w:val="auto"/>
              </w:rPr>
            </w:pPr>
            <w:r>
              <w:rPr>
                <w:rFonts w:ascii="Arial" w:cs="Arial" w:eastAsia="Arial" w:hAnsi="Arial"/>
                <w:sz w:val="11"/>
                <w:szCs w:val="11"/>
                <w:color w:val="auto"/>
                <w:w w:val="97"/>
              </w:rPr>
              <w:t>6/18/2025</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80" w:type="dxa"/>
            <w:vAlign w:val="bottom"/>
            <w:vMerge w:val="restart"/>
          </w:tcPr>
          <w:p>
            <w:pPr>
              <w:jc w:val="right"/>
              <w:ind w:right="1186"/>
              <w:spacing w:after="0"/>
              <w:rPr>
                <w:sz w:val="20"/>
                <w:szCs w:val="20"/>
                <w:color w:val="auto"/>
              </w:rPr>
            </w:pPr>
            <w:r>
              <w:rPr>
                <w:rFonts w:ascii="Arial" w:cs="Arial" w:eastAsia="Arial" w:hAnsi="Arial"/>
                <w:sz w:val="11"/>
                <w:szCs w:val="11"/>
                <w:color w:val="auto"/>
              </w:rPr>
              <w:t>14,051</w:t>
            </w:r>
          </w:p>
        </w:tc>
        <w:tc>
          <w:tcPr>
            <w:tcW w:w="7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450,475</w:t>
            </w: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7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RSUs(11)</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right"/>
              <w:ind w:right="1186"/>
              <w:spacing w:after="0"/>
              <w:rPr>
                <w:sz w:val="20"/>
                <w:szCs w:val="20"/>
                <w:color w:val="auto"/>
              </w:rPr>
            </w:pPr>
            <w:r>
              <w:rPr>
                <w:rFonts w:ascii="Arial" w:cs="Arial" w:eastAsia="Arial" w:hAnsi="Arial"/>
                <w:sz w:val="11"/>
                <w:szCs w:val="11"/>
                <w:color w:val="auto"/>
              </w:rPr>
              <w:t>2,258</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68,756</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RSUs(12)</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right"/>
              <w:ind w:right="1186"/>
              <w:spacing w:after="0"/>
              <w:rPr>
                <w:sz w:val="20"/>
                <w:szCs w:val="20"/>
                <w:color w:val="auto"/>
              </w:rPr>
            </w:pPr>
            <w:r>
              <w:rPr>
                <w:rFonts w:ascii="Arial" w:cs="Arial" w:eastAsia="Arial" w:hAnsi="Arial"/>
                <w:sz w:val="11"/>
                <w:szCs w:val="11"/>
                <w:color w:val="auto"/>
              </w:rPr>
              <w:t>11,013</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PSUs(11)</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1"/>
                <w:szCs w:val="11"/>
                <w:color w:val="auto"/>
              </w:rPr>
              <w:t>1,129</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rPr>
              <w:t>2,258</w:t>
            </w:r>
          </w:p>
        </w:tc>
        <w:tc>
          <w:tcPr>
            <w:tcW w:w="2780" w:type="dxa"/>
            <w:vAlign w:val="bottom"/>
          </w:tcPr>
          <w:p>
            <w:pPr>
              <w:jc w:val="right"/>
              <w:ind w:right="2126"/>
              <w:spacing w:after="0"/>
              <w:rPr>
                <w:sz w:val="20"/>
                <w:szCs w:val="20"/>
                <w:color w:val="auto"/>
              </w:rPr>
            </w:pPr>
            <w:r>
              <w:rPr>
                <w:rFonts w:ascii="Arial" w:cs="Arial" w:eastAsia="Arial" w:hAnsi="Arial"/>
                <w:sz w:val="11"/>
                <w:szCs w:val="11"/>
                <w:color w:val="auto"/>
              </w:rPr>
              <w:t>4,516</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68,756</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PSUs(1)</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jc w:val="right"/>
              <w:ind w:right="206"/>
              <w:spacing w:after="0"/>
              <w:rPr>
                <w:sz w:val="20"/>
                <w:szCs w:val="20"/>
                <w:color w:val="auto"/>
              </w:rPr>
            </w:pPr>
            <w:r>
              <w:rPr>
                <w:rFonts w:ascii="Arial" w:cs="Arial" w:eastAsia="Arial" w:hAnsi="Arial"/>
                <w:sz w:val="11"/>
                <w:szCs w:val="11"/>
                <w:color w:val="auto"/>
              </w:rPr>
              <w:t>11,013</w:t>
            </w:r>
          </w:p>
        </w:tc>
        <w:tc>
          <w:tcPr>
            <w:tcW w:w="2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PSUs(2)</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1"/>
                <w:szCs w:val="11"/>
                <w:color w:val="auto"/>
              </w:rPr>
              <w:t>5,507</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rPr>
              <w:t>11,013</w:t>
            </w:r>
          </w:p>
        </w:tc>
        <w:tc>
          <w:tcPr>
            <w:tcW w:w="2780" w:type="dxa"/>
            <w:vAlign w:val="bottom"/>
          </w:tcPr>
          <w:p>
            <w:pPr>
              <w:jc w:val="right"/>
              <w:ind w:right="2126"/>
              <w:spacing w:after="0"/>
              <w:rPr>
                <w:sz w:val="20"/>
                <w:szCs w:val="20"/>
                <w:color w:val="auto"/>
              </w:rPr>
            </w:pPr>
            <w:r>
              <w:rPr>
                <w:rFonts w:ascii="Arial" w:cs="Arial" w:eastAsia="Arial" w:hAnsi="Arial"/>
                <w:sz w:val="11"/>
                <w:szCs w:val="11"/>
                <w:color w:val="auto"/>
              </w:rPr>
              <w:t>13,766</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Stock Options(10)</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6/18/2025</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6,056</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33.02</w:t>
            </w:r>
          </w:p>
        </w:tc>
        <w:tc>
          <w:tcPr>
            <w:tcW w:w="640" w:type="dxa"/>
            <w:vAlign w:val="bottom"/>
          </w:tcPr>
          <w:p>
            <w:pPr>
              <w:jc w:val="right"/>
              <w:spacing w:after="0"/>
              <w:rPr>
                <w:sz w:val="20"/>
                <w:szCs w:val="20"/>
                <w:color w:val="auto"/>
              </w:rPr>
            </w:pPr>
            <w:r>
              <w:rPr>
                <w:rFonts w:ascii="Arial" w:cs="Arial" w:eastAsia="Arial" w:hAnsi="Arial"/>
                <w:sz w:val="11"/>
                <w:szCs w:val="11"/>
                <w:color w:val="auto"/>
              </w:rPr>
              <w:t>136,987</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Stock Options(11)</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2,258</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30.45</w:t>
            </w:r>
          </w:p>
        </w:tc>
        <w:tc>
          <w:tcPr>
            <w:tcW w:w="640" w:type="dxa"/>
            <w:vAlign w:val="bottom"/>
          </w:tcPr>
          <w:p>
            <w:pPr>
              <w:jc w:val="right"/>
              <w:spacing w:after="0"/>
              <w:rPr>
                <w:sz w:val="20"/>
                <w:szCs w:val="20"/>
                <w:color w:val="auto"/>
              </w:rPr>
            </w:pPr>
            <w:r>
              <w:rPr>
                <w:rFonts w:ascii="Arial" w:cs="Arial" w:eastAsia="Arial" w:hAnsi="Arial"/>
                <w:sz w:val="11"/>
                <w:szCs w:val="11"/>
                <w:color w:val="auto"/>
              </w:rPr>
              <w:t>51,076</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Stock Options(4)(14)</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41,794</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22.70</w:t>
            </w:r>
          </w:p>
        </w:tc>
        <w:tc>
          <w:tcPr>
            <w:tcW w:w="640" w:type="dxa"/>
            <w:vAlign w:val="bottom"/>
          </w:tcPr>
          <w:p>
            <w:pPr>
              <w:jc w:val="right"/>
              <w:spacing w:after="0"/>
              <w:rPr>
                <w:sz w:val="20"/>
                <w:szCs w:val="20"/>
                <w:color w:val="auto"/>
              </w:rPr>
            </w:pPr>
            <w:r>
              <w:rPr>
                <w:rFonts w:ascii="Arial" w:cs="Arial" w:eastAsia="Arial" w:hAnsi="Arial"/>
                <w:sz w:val="11"/>
                <w:szCs w:val="11"/>
                <w:color w:val="auto"/>
              </w:rPr>
              <w:t>195,596</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Stock Options(5)(14)</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28,271</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34.05</w:t>
            </w:r>
          </w:p>
        </w:tc>
        <w:tc>
          <w:tcPr>
            <w:tcW w:w="640" w:type="dxa"/>
            <w:vAlign w:val="bottom"/>
          </w:tcPr>
          <w:p>
            <w:pPr>
              <w:jc w:val="right"/>
              <w:spacing w:after="0"/>
              <w:rPr>
                <w:sz w:val="20"/>
                <w:szCs w:val="20"/>
                <w:color w:val="auto"/>
              </w:rPr>
            </w:pPr>
            <w:r>
              <w:rPr>
                <w:rFonts w:ascii="Arial" w:cs="Arial" w:eastAsia="Arial" w:hAnsi="Arial"/>
                <w:sz w:val="11"/>
                <w:szCs w:val="11"/>
                <w:color w:val="auto"/>
              </w:rPr>
              <w:t>127,785</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Stock Options(3)</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11,013</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22.70</w:t>
            </w:r>
          </w:p>
        </w:tc>
        <w:tc>
          <w:tcPr>
            <w:tcW w:w="640" w:type="dxa"/>
            <w:vAlign w:val="bottom"/>
          </w:tcPr>
          <w:p>
            <w:pPr>
              <w:jc w:val="right"/>
              <w:spacing w:after="0"/>
              <w:rPr>
                <w:sz w:val="20"/>
                <w:szCs w:val="20"/>
                <w:color w:val="auto"/>
              </w:rPr>
            </w:pPr>
            <w:r>
              <w:rPr>
                <w:rFonts w:ascii="Arial" w:cs="Arial" w:eastAsia="Arial" w:hAnsi="Arial"/>
                <w:sz w:val="11"/>
                <w:szCs w:val="11"/>
                <w:color w:val="auto"/>
              </w:rPr>
              <w:t>353,077</w:t>
            </w:r>
          </w:p>
        </w:tc>
        <w:tc>
          <w:tcPr>
            <w:tcW w:w="0" w:type="dxa"/>
            <w:vAlign w:val="bottom"/>
          </w:tcPr>
          <w:p>
            <w:pPr>
              <w:spacing w:after="0"/>
              <w:rPr>
                <w:sz w:val="1"/>
                <w:szCs w:val="1"/>
                <w:color w:val="auto"/>
              </w:rPr>
            </w:pPr>
          </w:p>
        </w:tc>
      </w:tr>
      <w:tr>
        <w:trPr>
          <w:trHeight w:val="33"/>
        </w:trPr>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Steve Klohn</w:t>
            </w: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Incentive</w:t>
            </w:r>
          </w:p>
        </w:tc>
        <w:tc>
          <w:tcPr>
            <w:tcW w:w="900" w:type="dxa"/>
            <w:vAlign w:val="bottom"/>
            <w:shd w:val="clear" w:color="auto" w:fill="DBDBDB"/>
          </w:tcPr>
          <w:p>
            <w:pPr>
              <w:spacing w:after="0"/>
              <w:rPr>
                <w:sz w:val="14"/>
                <w:szCs w:val="1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120,000</w:t>
            </w: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240,000</w:t>
            </w:r>
          </w:p>
        </w:tc>
        <w:tc>
          <w:tcPr>
            <w:tcW w:w="1720" w:type="dxa"/>
            <w:vAlign w:val="bottom"/>
            <w:shd w:val="clear" w:color="auto" w:fill="DBDBDB"/>
          </w:tcPr>
          <w:p>
            <w:pPr>
              <w:jc w:val="right"/>
              <w:ind w:right="826"/>
              <w:spacing w:after="0"/>
              <w:rPr>
                <w:sz w:val="20"/>
                <w:szCs w:val="20"/>
                <w:color w:val="auto"/>
              </w:rPr>
            </w:pPr>
            <w:r>
              <w:rPr>
                <w:rFonts w:ascii="Arial" w:cs="Arial" w:eastAsia="Arial" w:hAnsi="Arial"/>
                <w:sz w:val="11"/>
                <w:szCs w:val="11"/>
                <w:color w:val="auto"/>
              </w:rPr>
              <w:t>480,000</w:t>
            </w:r>
          </w:p>
        </w:tc>
        <w:tc>
          <w:tcPr>
            <w:tcW w:w="1020" w:type="dxa"/>
            <w:vAlign w:val="bottom"/>
            <w:shd w:val="clear" w:color="auto" w:fill="DBDBDB"/>
          </w:tcPr>
          <w:p>
            <w:pPr>
              <w:spacing w:after="0"/>
              <w:rPr>
                <w:sz w:val="14"/>
                <w:szCs w:val="14"/>
                <w:color w:val="auto"/>
              </w:rPr>
            </w:pPr>
          </w:p>
        </w:tc>
        <w:tc>
          <w:tcPr>
            <w:tcW w:w="27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RSUs(10)</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6/18/2025</w:t>
            </w:r>
          </w:p>
        </w:tc>
        <w:tc>
          <w:tcPr>
            <w:tcW w:w="86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780" w:type="dxa"/>
            <w:vAlign w:val="bottom"/>
            <w:shd w:val="clear" w:color="auto" w:fill="DBDBDB"/>
          </w:tcPr>
          <w:p>
            <w:pPr>
              <w:jc w:val="right"/>
              <w:ind w:right="1186"/>
              <w:spacing w:after="0"/>
              <w:rPr>
                <w:sz w:val="20"/>
                <w:szCs w:val="20"/>
                <w:color w:val="auto"/>
              </w:rPr>
            </w:pPr>
            <w:r>
              <w:rPr>
                <w:rFonts w:ascii="Arial" w:cs="Arial" w:eastAsia="Arial" w:hAnsi="Arial"/>
                <w:sz w:val="11"/>
                <w:szCs w:val="11"/>
                <w:color w:val="auto"/>
              </w:rPr>
              <w:t>22,128</w:t>
            </w:r>
          </w:p>
        </w:tc>
        <w:tc>
          <w:tcPr>
            <w:tcW w:w="7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709,424</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RSUs(11)</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780" w:type="dxa"/>
            <w:vAlign w:val="bottom"/>
            <w:shd w:val="clear" w:color="auto" w:fill="DBDBDB"/>
          </w:tcPr>
          <w:p>
            <w:pPr>
              <w:jc w:val="right"/>
              <w:ind w:right="1186"/>
              <w:spacing w:after="0"/>
              <w:rPr>
                <w:sz w:val="20"/>
                <w:szCs w:val="20"/>
                <w:color w:val="auto"/>
              </w:rPr>
            </w:pPr>
            <w:r>
              <w:rPr>
                <w:rFonts w:ascii="Arial" w:cs="Arial" w:eastAsia="Arial" w:hAnsi="Arial"/>
                <w:sz w:val="11"/>
                <w:szCs w:val="11"/>
                <w:color w:val="auto"/>
              </w:rPr>
              <w:t>2,115</w:t>
            </w:r>
          </w:p>
        </w:tc>
        <w:tc>
          <w:tcPr>
            <w:tcW w:w="7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64,402</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RSUs(12)</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2780" w:type="dxa"/>
            <w:vAlign w:val="bottom"/>
            <w:shd w:val="clear" w:color="auto" w:fill="DBDBDB"/>
          </w:tcPr>
          <w:p>
            <w:pPr>
              <w:jc w:val="right"/>
              <w:ind w:right="1186"/>
              <w:spacing w:after="0"/>
              <w:rPr>
                <w:sz w:val="20"/>
                <w:szCs w:val="20"/>
                <w:color w:val="auto"/>
              </w:rPr>
            </w:pPr>
            <w:r>
              <w:rPr>
                <w:rFonts w:ascii="Arial" w:cs="Arial" w:eastAsia="Arial" w:hAnsi="Arial"/>
                <w:sz w:val="11"/>
                <w:szCs w:val="11"/>
                <w:color w:val="auto"/>
              </w:rPr>
              <w:t>11,013</w:t>
            </w:r>
          </w:p>
        </w:tc>
        <w:tc>
          <w:tcPr>
            <w:tcW w:w="7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PSUs(11)</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1,058</w:t>
            </w:r>
          </w:p>
        </w:tc>
        <w:tc>
          <w:tcPr>
            <w:tcW w:w="102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2,115</w:t>
            </w:r>
          </w:p>
        </w:tc>
        <w:tc>
          <w:tcPr>
            <w:tcW w:w="2780" w:type="dxa"/>
            <w:vAlign w:val="bottom"/>
            <w:shd w:val="clear" w:color="auto" w:fill="DBDBDB"/>
          </w:tcPr>
          <w:p>
            <w:pPr>
              <w:jc w:val="right"/>
              <w:ind w:right="2126"/>
              <w:spacing w:after="0"/>
              <w:rPr>
                <w:sz w:val="20"/>
                <w:szCs w:val="20"/>
                <w:color w:val="auto"/>
              </w:rPr>
            </w:pPr>
            <w:r>
              <w:rPr>
                <w:rFonts w:ascii="Arial" w:cs="Arial" w:eastAsia="Arial" w:hAnsi="Arial"/>
                <w:sz w:val="11"/>
                <w:szCs w:val="11"/>
                <w:color w:val="auto"/>
              </w:rPr>
              <w:t>4,230</w:t>
            </w:r>
          </w:p>
        </w:tc>
        <w:tc>
          <w:tcPr>
            <w:tcW w:w="7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64,402</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PSUs(1)</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11,013</w:t>
            </w:r>
          </w:p>
        </w:tc>
        <w:tc>
          <w:tcPr>
            <w:tcW w:w="27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202"/>
        </w:trPr>
        <w:tc>
          <w:tcPr>
            <w:tcW w:w="700" w:type="dxa"/>
            <w:vAlign w:val="bottom"/>
            <w:shd w:val="clear" w:color="auto" w:fill="DBDBDB"/>
          </w:tcPr>
          <w:p>
            <w:pPr>
              <w:spacing w:after="0"/>
              <w:rPr>
                <w:sz w:val="17"/>
                <w:szCs w:val="17"/>
                <w:color w:val="auto"/>
              </w:rPr>
            </w:pPr>
          </w:p>
        </w:tc>
        <w:tc>
          <w:tcPr>
            <w:tcW w:w="10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PSUs(2)</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shd w:val="clear" w:color="auto" w:fill="DBDBDB"/>
          </w:tcPr>
          <w:p>
            <w:pPr>
              <w:spacing w:after="0"/>
              <w:rPr>
                <w:sz w:val="17"/>
                <w:szCs w:val="17"/>
                <w:color w:val="auto"/>
              </w:rPr>
            </w:pPr>
          </w:p>
        </w:tc>
        <w:tc>
          <w:tcPr>
            <w:tcW w:w="780" w:type="dxa"/>
            <w:vAlign w:val="bottom"/>
            <w:shd w:val="clear" w:color="auto" w:fill="DBDBDB"/>
          </w:tcPr>
          <w:p>
            <w:pPr>
              <w:spacing w:after="0"/>
              <w:rPr>
                <w:sz w:val="17"/>
                <w:szCs w:val="17"/>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5,507</w:t>
            </w:r>
          </w:p>
        </w:tc>
        <w:tc>
          <w:tcPr>
            <w:tcW w:w="1020" w:type="dxa"/>
            <w:vAlign w:val="bottom"/>
            <w:shd w:val="clear" w:color="auto" w:fill="DBDBDB"/>
          </w:tcPr>
          <w:p>
            <w:pPr>
              <w:jc w:val="right"/>
              <w:ind w:right="206"/>
              <w:spacing w:after="0"/>
              <w:rPr>
                <w:sz w:val="20"/>
                <w:szCs w:val="20"/>
                <w:color w:val="auto"/>
              </w:rPr>
            </w:pPr>
            <w:r>
              <w:rPr>
                <w:rFonts w:ascii="Arial" w:cs="Arial" w:eastAsia="Arial" w:hAnsi="Arial"/>
                <w:sz w:val="11"/>
                <w:szCs w:val="11"/>
                <w:color w:val="auto"/>
              </w:rPr>
              <w:t>11,013</w:t>
            </w:r>
          </w:p>
        </w:tc>
        <w:tc>
          <w:tcPr>
            <w:tcW w:w="2780" w:type="dxa"/>
            <w:vAlign w:val="bottom"/>
            <w:shd w:val="clear" w:color="auto" w:fill="DBDBDB"/>
          </w:tcPr>
          <w:p>
            <w:pPr>
              <w:jc w:val="right"/>
              <w:ind w:right="2126"/>
              <w:spacing w:after="0"/>
              <w:rPr>
                <w:sz w:val="20"/>
                <w:szCs w:val="20"/>
                <w:color w:val="auto"/>
              </w:rPr>
            </w:pPr>
            <w:r>
              <w:rPr>
                <w:rFonts w:ascii="Arial" w:cs="Arial" w:eastAsia="Arial" w:hAnsi="Arial"/>
                <w:sz w:val="11"/>
                <w:szCs w:val="11"/>
                <w:color w:val="auto"/>
              </w:rPr>
              <w:t>13,766</w:t>
            </w:r>
          </w:p>
        </w:tc>
        <w:tc>
          <w:tcPr>
            <w:tcW w:w="72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188"/>
        </w:trPr>
        <w:tc>
          <w:tcPr>
            <w:tcW w:w="70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1"/>
                <w:szCs w:val="11"/>
                <w:color w:val="auto"/>
              </w:rPr>
              <w:t>Stock Options(10)</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6/18/2025</w:t>
            </w: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7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278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6,056</w:t>
            </w:r>
          </w:p>
        </w:tc>
        <w:tc>
          <w:tcPr>
            <w:tcW w:w="7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33.02</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136,987</w:t>
            </w:r>
          </w:p>
        </w:tc>
        <w:tc>
          <w:tcPr>
            <w:tcW w:w="0" w:type="dxa"/>
            <w:vAlign w:val="bottom"/>
          </w:tcPr>
          <w:p>
            <w:pPr>
              <w:spacing w:after="0"/>
              <w:rPr>
                <w:sz w:val="1"/>
                <w:szCs w:val="1"/>
                <w:color w:val="auto"/>
              </w:rPr>
            </w:pPr>
          </w:p>
        </w:tc>
      </w:tr>
      <w:tr>
        <w:trPr>
          <w:trHeight w:val="134"/>
        </w:trPr>
        <w:tc>
          <w:tcPr>
            <w:tcW w:w="700" w:type="dxa"/>
            <w:vAlign w:val="bottom"/>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7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27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1"/>
                <w:szCs w:val="11"/>
                <w:color w:val="auto"/>
              </w:rPr>
              <w:t>Stock Options(10)</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6/18/2025</w:t>
            </w: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7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278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6,803</w:t>
            </w:r>
          </w:p>
        </w:tc>
        <w:tc>
          <w:tcPr>
            <w:tcW w:w="7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37.04</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153,884</w:t>
            </w:r>
          </w:p>
        </w:tc>
        <w:tc>
          <w:tcPr>
            <w:tcW w:w="0" w:type="dxa"/>
            <w:vAlign w:val="bottom"/>
          </w:tcPr>
          <w:p>
            <w:pPr>
              <w:spacing w:after="0"/>
              <w:rPr>
                <w:sz w:val="1"/>
                <w:szCs w:val="1"/>
                <w:color w:val="auto"/>
              </w:rPr>
            </w:pPr>
          </w:p>
        </w:tc>
      </w:tr>
      <w:tr>
        <w:trPr>
          <w:trHeight w:val="134"/>
        </w:trPr>
        <w:tc>
          <w:tcPr>
            <w:tcW w:w="700" w:type="dxa"/>
            <w:vAlign w:val="bottom"/>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7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27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1"/>
                <w:szCs w:val="11"/>
                <w:color w:val="auto"/>
              </w:rPr>
              <w:t>Stock Options(11)</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7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278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2,115</w:t>
            </w:r>
          </w:p>
        </w:tc>
        <w:tc>
          <w:tcPr>
            <w:tcW w:w="7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30.45</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47,841</w:t>
            </w:r>
          </w:p>
        </w:tc>
        <w:tc>
          <w:tcPr>
            <w:tcW w:w="0" w:type="dxa"/>
            <w:vAlign w:val="bottom"/>
          </w:tcPr>
          <w:p>
            <w:pPr>
              <w:spacing w:after="0"/>
              <w:rPr>
                <w:sz w:val="1"/>
                <w:szCs w:val="1"/>
                <w:color w:val="auto"/>
              </w:rPr>
            </w:pPr>
          </w:p>
        </w:tc>
      </w:tr>
      <w:tr>
        <w:trPr>
          <w:trHeight w:val="134"/>
        </w:trPr>
        <w:tc>
          <w:tcPr>
            <w:tcW w:w="700" w:type="dxa"/>
            <w:vAlign w:val="bottom"/>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7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27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1"/>
                <w:szCs w:val="11"/>
                <w:color w:val="auto"/>
              </w:rPr>
              <w:t>Stock Options(4)(14)</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7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278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41,794</w:t>
            </w:r>
          </w:p>
        </w:tc>
        <w:tc>
          <w:tcPr>
            <w:tcW w:w="7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22.70</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195,596</w:t>
            </w:r>
          </w:p>
        </w:tc>
        <w:tc>
          <w:tcPr>
            <w:tcW w:w="0" w:type="dxa"/>
            <w:vAlign w:val="bottom"/>
          </w:tcPr>
          <w:p>
            <w:pPr>
              <w:spacing w:after="0"/>
              <w:rPr>
                <w:sz w:val="1"/>
                <w:szCs w:val="1"/>
                <w:color w:val="auto"/>
              </w:rPr>
            </w:pPr>
          </w:p>
        </w:tc>
      </w:tr>
      <w:tr>
        <w:trPr>
          <w:trHeight w:val="134"/>
        </w:trPr>
        <w:tc>
          <w:tcPr>
            <w:tcW w:w="700" w:type="dxa"/>
            <w:vAlign w:val="bottom"/>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7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27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shd w:val="clear" w:color="auto" w:fill="DBDBDB"/>
          </w:tcPr>
          <w:p>
            <w:pPr>
              <w:spacing w:after="0"/>
              <w:rPr>
                <w:sz w:val="16"/>
                <w:szCs w:val="16"/>
                <w:color w:val="auto"/>
              </w:rPr>
            </w:pPr>
          </w:p>
        </w:tc>
        <w:tc>
          <w:tcPr>
            <w:tcW w:w="1060" w:type="dxa"/>
            <w:vAlign w:val="bottom"/>
            <w:vMerge w:val="restart"/>
            <w:shd w:val="clear" w:color="auto" w:fill="DBDBDB"/>
          </w:tcPr>
          <w:p>
            <w:pPr>
              <w:ind w:left="20"/>
              <w:spacing w:after="0"/>
              <w:rPr>
                <w:sz w:val="20"/>
                <w:szCs w:val="20"/>
                <w:color w:val="auto"/>
              </w:rPr>
            </w:pPr>
            <w:r>
              <w:rPr>
                <w:rFonts w:ascii="Arial" w:cs="Arial" w:eastAsia="Arial" w:hAnsi="Arial"/>
                <w:sz w:val="11"/>
                <w:szCs w:val="11"/>
                <w:color w:val="auto"/>
              </w:rPr>
              <w:t>Stock Options(5)(14)</w:t>
            </w:r>
          </w:p>
        </w:tc>
        <w:tc>
          <w:tcPr>
            <w:tcW w:w="900" w:type="dxa"/>
            <w:vAlign w:val="bottom"/>
            <w:shd w:val="clear" w:color="auto" w:fill="DBDBDB"/>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172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278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28,271</w:t>
            </w:r>
          </w:p>
        </w:tc>
        <w:tc>
          <w:tcPr>
            <w:tcW w:w="720" w:type="dxa"/>
            <w:vAlign w:val="bottom"/>
            <w:shd w:val="clear" w:color="auto" w:fill="DBDBDB"/>
          </w:tcPr>
          <w:p>
            <w:pPr>
              <w:jc w:val="right"/>
              <w:ind w:right="166"/>
              <w:spacing w:after="0"/>
              <w:rPr>
                <w:sz w:val="20"/>
                <w:szCs w:val="20"/>
                <w:color w:val="auto"/>
              </w:rPr>
            </w:pPr>
            <w:r>
              <w:rPr>
                <w:rFonts w:ascii="Arial" w:cs="Arial" w:eastAsia="Arial" w:hAnsi="Arial"/>
                <w:sz w:val="11"/>
                <w:szCs w:val="11"/>
                <w:color w:val="auto"/>
              </w:rPr>
              <w:t>34.05</w:t>
            </w:r>
          </w:p>
        </w:tc>
        <w:tc>
          <w:tcPr>
            <w:tcW w:w="6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127,785</w:t>
            </w:r>
          </w:p>
        </w:tc>
        <w:tc>
          <w:tcPr>
            <w:tcW w:w="0" w:type="dxa"/>
            <w:vAlign w:val="bottom"/>
          </w:tcPr>
          <w:p>
            <w:pPr>
              <w:spacing w:after="0"/>
              <w:rPr>
                <w:sz w:val="1"/>
                <w:szCs w:val="1"/>
                <w:color w:val="auto"/>
              </w:rPr>
            </w:pPr>
          </w:p>
        </w:tc>
      </w:tr>
      <w:tr>
        <w:trPr>
          <w:trHeight w:val="134"/>
        </w:trPr>
        <w:tc>
          <w:tcPr>
            <w:tcW w:w="700" w:type="dxa"/>
            <w:vAlign w:val="bottom"/>
            <w:shd w:val="clear" w:color="auto" w:fill="DBDBDB"/>
          </w:tcPr>
          <w:p>
            <w:pPr>
              <w:spacing w:after="0"/>
              <w:rPr>
                <w:sz w:val="11"/>
                <w:szCs w:val="11"/>
                <w:color w:val="auto"/>
              </w:rPr>
            </w:pPr>
          </w:p>
        </w:tc>
        <w:tc>
          <w:tcPr>
            <w:tcW w:w="1060" w:type="dxa"/>
            <w:vAlign w:val="bottom"/>
            <w:vMerge w:val="continue"/>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172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27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Stock Options(3)</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10/07/2025</w:t>
            </w:r>
          </w:p>
        </w:tc>
        <w:tc>
          <w:tcPr>
            <w:tcW w:w="86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17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2780" w:type="dxa"/>
            <w:vAlign w:val="bottom"/>
            <w:tcBorders>
              <w:bottom w:val="single" w:sz="8" w:color="DBDBDB"/>
            </w:tcBorders>
            <w:shd w:val="clear" w:color="auto" w:fill="DBDBDB"/>
          </w:tcPr>
          <w:p>
            <w:pPr>
              <w:jc w:val="right"/>
              <w:ind w:right="166"/>
              <w:spacing w:after="0"/>
              <w:rPr>
                <w:sz w:val="20"/>
                <w:szCs w:val="20"/>
                <w:color w:val="auto"/>
              </w:rPr>
            </w:pPr>
            <w:r>
              <w:rPr>
                <w:rFonts w:ascii="Arial" w:cs="Arial" w:eastAsia="Arial" w:hAnsi="Arial"/>
                <w:sz w:val="11"/>
                <w:szCs w:val="11"/>
                <w:color w:val="auto"/>
              </w:rPr>
              <w:t>11,013</w:t>
            </w:r>
          </w:p>
        </w:tc>
        <w:tc>
          <w:tcPr>
            <w:tcW w:w="720" w:type="dxa"/>
            <w:vAlign w:val="bottom"/>
            <w:tcBorders>
              <w:bottom w:val="single" w:sz="8" w:color="DBDBDB"/>
            </w:tcBorders>
            <w:shd w:val="clear" w:color="auto" w:fill="DBDBDB"/>
          </w:tcPr>
          <w:p>
            <w:pPr>
              <w:jc w:val="right"/>
              <w:ind w:right="166"/>
              <w:spacing w:after="0"/>
              <w:rPr>
                <w:sz w:val="20"/>
                <w:szCs w:val="20"/>
                <w:color w:val="auto"/>
              </w:rPr>
            </w:pPr>
            <w:r>
              <w:rPr>
                <w:rFonts w:ascii="Arial" w:cs="Arial" w:eastAsia="Arial" w:hAnsi="Arial"/>
                <w:sz w:val="11"/>
                <w:szCs w:val="11"/>
                <w:color w:val="auto"/>
              </w:rPr>
              <w:t>22.70</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353,077</w:t>
            </w:r>
          </w:p>
        </w:tc>
        <w:tc>
          <w:tcPr>
            <w:tcW w:w="0" w:type="dxa"/>
            <w:vAlign w:val="bottom"/>
          </w:tcPr>
          <w:p>
            <w:pPr>
              <w:spacing w:after="0"/>
              <w:rPr>
                <w:sz w:val="1"/>
                <w:szCs w:val="1"/>
                <w:color w:val="auto"/>
              </w:rPr>
            </w:pPr>
          </w:p>
        </w:tc>
      </w:tr>
      <w:tr>
        <w:trPr>
          <w:trHeight w:val="168"/>
        </w:trPr>
        <w:tc>
          <w:tcPr>
            <w:tcW w:w="1760" w:type="dxa"/>
            <w:vAlign w:val="bottom"/>
            <w:gridSpan w:val="2"/>
          </w:tcPr>
          <w:p>
            <w:pPr>
              <w:ind w:left="20"/>
              <w:spacing w:after="0"/>
              <w:rPr>
                <w:sz w:val="20"/>
                <w:szCs w:val="20"/>
                <w:color w:val="auto"/>
              </w:rPr>
            </w:pPr>
            <w:r>
              <w:rPr>
                <w:rFonts w:ascii="Arial" w:cs="Arial" w:eastAsia="Arial" w:hAnsi="Arial"/>
                <w:sz w:val="11"/>
                <w:szCs w:val="11"/>
                <w:color w:val="auto"/>
              </w:rPr>
              <w:t>Tony Wehner Cash Incentive</w:t>
            </w:r>
          </w:p>
        </w:tc>
        <w:tc>
          <w:tcPr>
            <w:tcW w:w="9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180,000</w:t>
            </w:r>
          </w:p>
        </w:tc>
        <w:tc>
          <w:tcPr>
            <w:tcW w:w="780" w:type="dxa"/>
            <w:vAlign w:val="bottom"/>
          </w:tcPr>
          <w:p>
            <w:pPr>
              <w:jc w:val="right"/>
              <w:spacing w:after="0"/>
              <w:rPr>
                <w:sz w:val="20"/>
                <w:szCs w:val="20"/>
                <w:color w:val="auto"/>
              </w:rPr>
            </w:pPr>
            <w:r>
              <w:rPr>
                <w:rFonts w:ascii="Arial" w:cs="Arial" w:eastAsia="Arial" w:hAnsi="Arial"/>
                <w:sz w:val="11"/>
                <w:szCs w:val="11"/>
                <w:color w:val="auto"/>
              </w:rPr>
              <w:t>360,000</w:t>
            </w:r>
          </w:p>
        </w:tc>
        <w:tc>
          <w:tcPr>
            <w:tcW w:w="1720" w:type="dxa"/>
            <w:vAlign w:val="bottom"/>
          </w:tcPr>
          <w:p>
            <w:pPr>
              <w:jc w:val="right"/>
              <w:ind w:right="826"/>
              <w:spacing w:after="0"/>
              <w:rPr>
                <w:sz w:val="20"/>
                <w:szCs w:val="20"/>
                <w:color w:val="auto"/>
              </w:rPr>
            </w:pPr>
            <w:r>
              <w:rPr>
                <w:rFonts w:ascii="Arial" w:cs="Arial" w:eastAsia="Arial" w:hAnsi="Arial"/>
                <w:sz w:val="11"/>
                <w:szCs w:val="11"/>
                <w:color w:val="auto"/>
              </w:rPr>
              <w:t>720,000</w:t>
            </w:r>
          </w:p>
        </w:tc>
        <w:tc>
          <w:tcPr>
            <w:tcW w:w="10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RSUs(10)</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6/18/2025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right"/>
              <w:ind w:right="1186"/>
              <w:spacing w:after="0"/>
              <w:rPr>
                <w:sz w:val="20"/>
                <w:szCs w:val="20"/>
                <w:color w:val="auto"/>
              </w:rPr>
            </w:pPr>
            <w:r>
              <w:rPr>
                <w:rFonts w:ascii="Arial" w:cs="Arial" w:eastAsia="Arial" w:hAnsi="Arial"/>
                <w:sz w:val="11"/>
                <w:szCs w:val="11"/>
                <w:color w:val="auto"/>
              </w:rPr>
              <w:t>19,708</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631,838</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RSUs(11)</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right"/>
              <w:ind w:right="1186"/>
              <w:spacing w:after="0"/>
              <w:rPr>
                <w:sz w:val="20"/>
                <w:szCs w:val="20"/>
                <w:color w:val="auto"/>
              </w:rPr>
            </w:pPr>
            <w:r>
              <w:rPr>
                <w:rFonts w:ascii="Arial" w:cs="Arial" w:eastAsia="Arial" w:hAnsi="Arial"/>
                <w:sz w:val="11"/>
                <w:szCs w:val="11"/>
                <w:color w:val="auto"/>
              </w:rPr>
              <w:t>2,856</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86,965</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RSUs(12)</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right"/>
              <w:ind w:right="1186"/>
              <w:spacing w:after="0"/>
              <w:rPr>
                <w:sz w:val="20"/>
                <w:szCs w:val="20"/>
                <w:color w:val="auto"/>
              </w:rPr>
            </w:pPr>
            <w:r>
              <w:rPr>
                <w:rFonts w:ascii="Arial" w:cs="Arial" w:eastAsia="Arial" w:hAnsi="Arial"/>
                <w:sz w:val="11"/>
                <w:szCs w:val="11"/>
                <w:color w:val="auto"/>
              </w:rPr>
              <w:t>11,013</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RSUs(13)</w:t>
            </w:r>
          </w:p>
        </w:tc>
        <w:tc>
          <w:tcPr>
            <w:tcW w:w="900" w:type="dxa"/>
            <w:vAlign w:val="bottom"/>
          </w:tcPr>
          <w:p>
            <w:pPr>
              <w:jc w:val="center"/>
              <w:ind w:left="26"/>
              <w:spacing w:after="0"/>
              <w:rPr>
                <w:sz w:val="20"/>
                <w:szCs w:val="20"/>
                <w:color w:val="auto"/>
              </w:rPr>
            </w:pPr>
            <w:r>
              <w:rPr>
                <w:rFonts w:ascii="Arial" w:cs="Arial" w:eastAsia="Arial" w:hAnsi="Arial"/>
                <w:sz w:val="11"/>
                <w:szCs w:val="11"/>
                <w:color w:val="auto"/>
                <w:w w:val="97"/>
              </w:rPr>
              <w:t>1/1/2026</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right"/>
              <w:ind w:right="1186"/>
              <w:spacing w:after="0"/>
              <w:rPr>
                <w:sz w:val="20"/>
                <w:szCs w:val="20"/>
                <w:color w:val="auto"/>
              </w:rPr>
            </w:pPr>
            <w:r>
              <w:rPr>
                <w:rFonts w:ascii="Arial" w:cs="Arial" w:eastAsia="Arial" w:hAnsi="Arial"/>
                <w:sz w:val="11"/>
                <w:szCs w:val="11"/>
                <w:color w:val="auto"/>
              </w:rPr>
              <w:t>11,737</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199,998</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PSUs(11)</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1"/>
                <w:szCs w:val="11"/>
                <w:color w:val="auto"/>
              </w:rPr>
              <w:t>1,428</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rPr>
              <w:t>2,856</w:t>
            </w:r>
          </w:p>
        </w:tc>
        <w:tc>
          <w:tcPr>
            <w:tcW w:w="2780" w:type="dxa"/>
            <w:vAlign w:val="bottom"/>
          </w:tcPr>
          <w:p>
            <w:pPr>
              <w:jc w:val="right"/>
              <w:ind w:right="2126"/>
              <w:spacing w:after="0"/>
              <w:rPr>
                <w:sz w:val="20"/>
                <w:szCs w:val="20"/>
                <w:color w:val="auto"/>
              </w:rPr>
            </w:pPr>
            <w:r>
              <w:rPr>
                <w:rFonts w:ascii="Arial" w:cs="Arial" w:eastAsia="Arial" w:hAnsi="Arial"/>
                <w:sz w:val="11"/>
                <w:szCs w:val="11"/>
                <w:color w:val="auto"/>
              </w:rPr>
              <w:t>5,712</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86,965</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PSUs(1)</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jc w:val="right"/>
              <w:ind w:right="206"/>
              <w:spacing w:after="0"/>
              <w:rPr>
                <w:sz w:val="20"/>
                <w:szCs w:val="20"/>
                <w:color w:val="auto"/>
              </w:rPr>
            </w:pPr>
            <w:r>
              <w:rPr>
                <w:rFonts w:ascii="Arial" w:cs="Arial" w:eastAsia="Arial" w:hAnsi="Arial"/>
                <w:sz w:val="11"/>
                <w:szCs w:val="11"/>
                <w:color w:val="auto"/>
              </w:rPr>
              <w:t>11,013</w:t>
            </w:r>
          </w:p>
        </w:tc>
        <w:tc>
          <w:tcPr>
            <w:tcW w:w="2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PSUs(2)</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1"/>
                <w:szCs w:val="11"/>
                <w:color w:val="auto"/>
              </w:rPr>
              <w:t>5,507</w:t>
            </w:r>
          </w:p>
        </w:tc>
        <w:tc>
          <w:tcPr>
            <w:tcW w:w="1020" w:type="dxa"/>
            <w:vAlign w:val="bottom"/>
          </w:tcPr>
          <w:p>
            <w:pPr>
              <w:jc w:val="right"/>
              <w:ind w:right="206"/>
              <w:spacing w:after="0"/>
              <w:rPr>
                <w:sz w:val="20"/>
                <w:szCs w:val="20"/>
                <w:color w:val="auto"/>
              </w:rPr>
            </w:pPr>
            <w:r>
              <w:rPr>
                <w:rFonts w:ascii="Arial" w:cs="Arial" w:eastAsia="Arial" w:hAnsi="Arial"/>
                <w:sz w:val="11"/>
                <w:szCs w:val="11"/>
                <w:color w:val="auto"/>
              </w:rPr>
              <w:t>11,013</w:t>
            </w:r>
          </w:p>
        </w:tc>
        <w:tc>
          <w:tcPr>
            <w:tcW w:w="2780" w:type="dxa"/>
            <w:vAlign w:val="bottom"/>
          </w:tcPr>
          <w:p>
            <w:pPr>
              <w:jc w:val="right"/>
              <w:ind w:right="2126"/>
              <w:spacing w:after="0"/>
              <w:rPr>
                <w:sz w:val="20"/>
                <w:szCs w:val="20"/>
                <w:color w:val="auto"/>
              </w:rPr>
            </w:pPr>
            <w:r>
              <w:rPr>
                <w:rFonts w:ascii="Arial" w:cs="Arial" w:eastAsia="Arial" w:hAnsi="Arial"/>
                <w:sz w:val="11"/>
                <w:szCs w:val="11"/>
                <w:color w:val="auto"/>
              </w:rPr>
              <w:t>13,766</w:t>
            </w:r>
          </w:p>
        </w:tc>
        <w:tc>
          <w:tcPr>
            <w:tcW w:w="7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194,820</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Stock Options(10)</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6/18/2025</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8,328</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33.02</w:t>
            </w:r>
          </w:p>
        </w:tc>
        <w:tc>
          <w:tcPr>
            <w:tcW w:w="640" w:type="dxa"/>
            <w:vAlign w:val="bottom"/>
          </w:tcPr>
          <w:p>
            <w:pPr>
              <w:jc w:val="right"/>
              <w:spacing w:after="0"/>
              <w:rPr>
                <w:sz w:val="20"/>
                <w:szCs w:val="20"/>
                <w:color w:val="auto"/>
              </w:rPr>
            </w:pPr>
            <w:r>
              <w:rPr>
                <w:rFonts w:ascii="Arial" w:cs="Arial" w:eastAsia="Arial" w:hAnsi="Arial"/>
                <w:sz w:val="11"/>
                <w:szCs w:val="11"/>
                <w:color w:val="auto"/>
              </w:rPr>
              <w:t>188,379</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Stock Options(11)</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6/27/2025</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2,856</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30.45</w:t>
            </w:r>
          </w:p>
        </w:tc>
        <w:tc>
          <w:tcPr>
            <w:tcW w:w="640" w:type="dxa"/>
            <w:vAlign w:val="bottom"/>
          </w:tcPr>
          <w:p>
            <w:pPr>
              <w:jc w:val="right"/>
              <w:spacing w:after="0"/>
              <w:rPr>
                <w:sz w:val="20"/>
                <w:szCs w:val="20"/>
                <w:color w:val="auto"/>
              </w:rPr>
            </w:pPr>
            <w:r>
              <w:rPr>
                <w:rFonts w:ascii="Arial" w:cs="Arial" w:eastAsia="Arial" w:hAnsi="Arial"/>
                <w:sz w:val="11"/>
                <w:szCs w:val="11"/>
                <w:color w:val="auto"/>
              </w:rPr>
              <w:t>64,603</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Stock Options(4)(14)</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41,794</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22.70</w:t>
            </w:r>
          </w:p>
        </w:tc>
        <w:tc>
          <w:tcPr>
            <w:tcW w:w="640" w:type="dxa"/>
            <w:vAlign w:val="bottom"/>
          </w:tcPr>
          <w:p>
            <w:pPr>
              <w:jc w:val="right"/>
              <w:spacing w:after="0"/>
              <w:rPr>
                <w:sz w:val="20"/>
                <w:szCs w:val="20"/>
                <w:color w:val="auto"/>
              </w:rPr>
            </w:pPr>
            <w:r>
              <w:rPr>
                <w:rFonts w:ascii="Arial" w:cs="Arial" w:eastAsia="Arial" w:hAnsi="Arial"/>
                <w:sz w:val="11"/>
                <w:szCs w:val="11"/>
                <w:color w:val="auto"/>
              </w:rPr>
              <w:t>195,596</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1060" w:type="dxa"/>
            <w:vAlign w:val="bottom"/>
            <w:vMerge w:val="restart"/>
          </w:tcPr>
          <w:p>
            <w:pPr>
              <w:ind w:left="20"/>
              <w:spacing w:after="0"/>
              <w:rPr>
                <w:sz w:val="20"/>
                <w:szCs w:val="20"/>
                <w:color w:val="auto"/>
              </w:rPr>
            </w:pPr>
            <w:r>
              <w:rPr>
                <w:rFonts w:ascii="Arial" w:cs="Arial" w:eastAsia="Arial" w:hAnsi="Arial"/>
                <w:sz w:val="11"/>
                <w:szCs w:val="11"/>
                <w:color w:val="auto"/>
              </w:rPr>
              <w:t>Stock Options(5)(14)</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28,271</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34.05</w:t>
            </w:r>
          </w:p>
        </w:tc>
        <w:tc>
          <w:tcPr>
            <w:tcW w:w="640" w:type="dxa"/>
            <w:vAlign w:val="bottom"/>
          </w:tcPr>
          <w:p>
            <w:pPr>
              <w:jc w:val="right"/>
              <w:spacing w:after="0"/>
              <w:rPr>
                <w:sz w:val="20"/>
                <w:szCs w:val="20"/>
                <w:color w:val="auto"/>
              </w:rPr>
            </w:pPr>
            <w:r>
              <w:rPr>
                <w:rFonts w:ascii="Arial" w:cs="Arial" w:eastAsia="Arial" w:hAnsi="Arial"/>
                <w:sz w:val="11"/>
                <w:szCs w:val="11"/>
                <w:color w:val="auto"/>
              </w:rPr>
              <w:t>127,785</w:t>
            </w:r>
          </w:p>
        </w:tc>
        <w:tc>
          <w:tcPr>
            <w:tcW w:w="0" w:type="dxa"/>
            <w:vAlign w:val="bottom"/>
          </w:tcPr>
          <w:p>
            <w:pPr>
              <w:spacing w:after="0"/>
              <w:rPr>
                <w:sz w:val="1"/>
                <w:szCs w:val="1"/>
                <w:color w:val="auto"/>
              </w:rPr>
            </w:pPr>
          </w:p>
        </w:tc>
      </w:tr>
      <w:tr>
        <w:trPr>
          <w:trHeight w:val="134"/>
        </w:trPr>
        <w:tc>
          <w:tcPr>
            <w:tcW w:w="7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1060" w:type="dxa"/>
            <w:vAlign w:val="bottom"/>
          </w:tcPr>
          <w:p>
            <w:pPr>
              <w:ind w:left="20"/>
              <w:spacing w:after="0"/>
              <w:rPr>
                <w:sz w:val="20"/>
                <w:szCs w:val="20"/>
                <w:color w:val="auto"/>
              </w:rPr>
            </w:pPr>
            <w:r>
              <w:rPr>
                <w:rFonts w:ascii="Arial" w:cs="Arial" w:eastAsia="Arial" w:hAnsi="Arial"/>
                <w:sz w:val="11"/>
                <w:szCs w:val="11"/>
                <w:color w:val="auto"/>
              </w:rPr>
              <w:t>Stock Options(3)</w:t>
            </w:r>
          </w:p>
        </w:tc>
        <w:tc>
          <w:tcPr>
            <w:tcW w:w="900" w:type="dxa"/>
            <w:vAlign w:val="bottom"/>
          </w:tcPr>
          <w:p>
            <w:pPr>
              <w:jc w:val="center"/>
              <w:ind w:left="46"/>
              <w:spacing w:after="0"/>
              <w:rPr>
                <w:sz w:val="20"/>
                <w:szCs w:val="20"/>
                <w:color w:val="auto"/>
              </w:rPr>
            </w:pPr>
            <w:r>
              <w:rPr>
                <w:rFonts w:ascii="Arial" w:cs="Arial" w:eastAsia="Arial" w:hAnsi="Arial"/>
                <w:sz w:val="11"/>
                <w:szCs w:val="11"/>
                <w:color w:val="auto"/>
                <w:w w:val="97"/>
              </w:rPr>
              <w:t>10/7/2025</w:t>
            </w: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right"/>
              <w:ind w:right="166"/>
              <w:spacing w:after="0"/>
              <w:rPr>
                <w:sz w:val="20"/>
                <w:szCs w:val="20"/>
                <w:color w:val="auto"/>
              </w:rPr>
            </w:pPr>
            <w:r>
              <w:rPr>
                <w:rFonts w:ascii="Arial" w:cs="Arial" w:eastAsia="Arial" w:hAnsi="Arial"/>
                <w:sz w:val="11"/>
                <w:szCs w:val="11"/>
                <w:color w:val="auto"/>
              </w:rPr>
              <w:t>11,013</w:t>
            </w: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22.70</w:t>
            </w:r>
          </w:p>
        </w:tc>
        <w:tc>
          <w:tcPr>
            <w:tcW w:w="640" w:type="dxa"/>
            <w:vAlign w:val="bottom"/>
          </w:tcPr>
          <w:p>
            <w:pPr>
              <w:jc w:val="right"/>
              <w:spacing w:after="0"/>
              <w:rPr>
                <w:sz w:val="20"/>
                <w:szCs w:val="20"/>
                <w:color w:val="auto"/>
              </w:rPr>
            </w:pPr>
            <w:r>
              <w:rPr>
                <w:rFonts w:ascii="Arial" w:cs="Arial" w:eastAsia="Arial" w:hAnsi="Arial"/>
                <w:sz w:val="11"/>
                <w:szCs w:val="11"/>
                <w:color w:val="auto"/>
              </w:rPr>
              <w:t>353,077</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20" w:hanging="413"/>
        <w:spacing w:after="0" w:line="260" w:lineRule="auto"/>
        <w:tabs>
          <w:tab w:leader="none" w:pos="40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shown reflect an award of PSUs that will be earned upon achievement of specific same store sales growth over a performance period ending February 1, 2028.</w:t>
      </w:r>
    </w:p>
    <w:p>
      <w:pPr>
        <w:spacing w:after="0" w:line="175" w:lineRule="exact"/>
        <w:rPr>
          <w:rFonts w:ascii="Arial" w:cs="Arial" w:eastAsia="Arial" w:hAnsi="Arial"/>
          <w:sz w:val="14"/>
          <w:szCs w:val="14"/>
          <w:color w:val="auto"/>
        </w:rPr>
      </w:pPr>
    </w:p>
    <w:p>
      <w:pPr>
        <w:jc w:val="both"/>
        <w:ind w:left="420" w:hanging="413"/>
        <w:spacing w:after="0" w:line="250" w:lineRule="auto"/>
        <w:tabs>
          <w:tab w:leader="none" w:pos="40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shown reflect an award of PSUs that will be earned upon achievement of specific Adjusted EBITDA and same store sales growth over a performance period ending February 1, 2028. The shares shown in the “Threshold” column reflect the minimum possible payout (representing 50% of target) under the award agreement. The minimum award level is 0% of target (“Target”) if the Threshold is not met, and the maximum award is 125% of target (“Maximum”) assuming achievement of a relative TSR ranking for the Company compared to a peer group as outlined in the agreement. Threshold is represented with the minimum possible payout.</w:t>
      </w:r>
    </w:p>
    <w:p>
      <w:pPr>
        <w:spacing w:after="0" w:line="1" w:lineRule="exact"/>
        <w:rPr>
          <w:rFonts w:ascii="Arial" w:cs="Arial" w:eastAsia="Arial" w:hAnsi="Arial"/>
          <w:sz w:val="14"/>
          <w:szCs w:val="14"/>
          <w:color w:val="auto"/>
        </w:rPr>
      </w:pPr>
    </w:p>
    <w:p>
      <w:pPr>
        <w:ind w:left="420" w:right="500" w:hanging="413"/>
        <w:spacing w:after="0"/>
        <w:tabs>
          <w:tab w:leader="none" w:pos="40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shown represent options granted to certain executives that will become earned on the first date before February 1, 2028 where the 60-day VWAP of the Company’s shares reaches $64.12.</w:t>
      </w:r>
    </w:p>
    <w:p>
      <w:pPr>
        <w:ind w:left="420" w:right="500" w:hanging="413"/>
        <w:spacing w:after="0" w:line="250" w:lineRule="auto"/>
        <w:tabs>
          <w:tab w:leader="none" w:pos="40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shown represent options granted to certain executives that will become earned on the first date before February 1, 2028 where the 60-day VWAP of the Company’s shares reaches $96.18.</w:t>
      </w:r>
    </w:p>
    <w:p>
      <w:pPr>
        <w:ind w:left="400" w:hanging="393"/>
        <w:spacing w:after="0"/>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shown represent options granted to certain executives that will vest ratably over a three-year period following the grant date.</w:t>
      </w:r>
    </w:p>
    <w:p>
      <w:pPr>
        <w:spacing w:after="0" w:line="13" w:lineRule="exact"/>
        <w:rPr>
          <w:rFonts w:ascii="Arial" w:cs="Arial" w:eastAsia="Arial" w:hAnsi="Arial"/>
          <w:sz w:val="14"/>
          <w:szCs w:val="14"/>
          <w:color w:val="auto"/>
        </w:rPr>
      </w:pPr>
    </w:p>
    <w:p>
      <w:pPr>
        <w:ind w:left="420" w:hanging="413"/>
        <w:spacing w:after="0" w:line="260" w:lineRule="auto"/>
        <w:tabs>
          <w:tab w:leader="none" w:pos="407"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shown represent options granted to Mr. Lal that will vest ratably over a three-year period following the grant date and require Mr. Lal to purchase a certain number of shares. If shares are not purchased by certain dates specified within the agreement, the awarded options will be forfeited on those dates.</w:t>
      </w:r>
    </w:p>
    <w:p>
      <w:pPr>
        <w:ind w:left="400" w:hanging="393"/>
        <w:spacing w:after="0"/>
        <w:tabs>
          <w:tab w:leader="none" w:pos="4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shares shown represent RSUs and PSUs awarded as compensation associated with Mr. Sheehan’s tenure as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329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40</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46" w:name="page47"/>
    <w:bookmarkEnd w:id="46"/>
    <w:p>
      <w:pPr>
        <w:ind w:left="1060" w:hanging="408"/>
        <w:spacing w:after="0" w:line="270" w:lineRule="auto"/>
        <w:tabs>
          <w:tab w:leader="none" w:pos="1058" w:val="left"/>
        </w:tabs>
        <w:numPr>
          <w:ilvl w:val="1"/>
          <w:numId w:val="86"/>
        </w:numPr>
        <w:rPr>
          <w:rFonts w:ascii="Arial" w:cs="Arial" w:eastAsia="Arial" w:hAnsi="Arial"/>
          <w:sz w:val="14"/>
          <w:szCs w:val="14"/>
          <w:color w:val="auto"/>
        </w:rPr>
      </w:pPr>
      <w:r>
        <w:rPr>
          <w:rFonts w:ascii="Arial" w:cs="Arial" w:eastAsia="Arial" w:hAnsi="Arial"/>
          <w:sz w:val="14"/>
          <w:szCs w:val="14"/>
          <w:color w:val="auto"/>
        </w:rPr>
        <w:t>The PSUs will be earned if same store sales for any fiscal quarter ending November 4, 2025, February 3, 2026 or May 5, 2026 are positive when compared to the same quarter in the prior year. If same store sales are not positive for any of the periods described, all PSUs are determined to not be earned.</w:t>
      </w:r>
    </w:p>
    <w:p>
      <w:pPr>
        <w:spacing w:after="0" w:line="1" w:lineRule="exact"/>
        <w:rPr>
          <w:rFonts w:ascii="Arial" w:cs="Arial" w:eastAsia="Arial" w:hAnsi="Arial"/>
          <w:sz w:val="14"/>
          <w:szCs w:val="14"/>
          <w:color w:val="auto"/>
        </w:rPr>
      </w:pPr>
    </w:p>
    <w:p>
      <w:pPr>
        <w:ind w:left="1060" w:right="20" w:hanging="408"/>
        <w:spacing w:after="0" w:line="250" w:lineRule="auto"/>
        <w:tabs>
          <w:tab w:leader="none" w:pos="1058" w:val="left"/>
        </w:tabs>
        <w:numPr>
          <w:ilvl w:val="1"/>
          <w:numId w:val="86"/>
        </w:numPr>
        <w:rPr>
          <w:rFonts w:ascii="Arial" w:cs="Arial" w:eastAsia="Arial" w:hAnsi="Arial"/>
          <w:sz w:val="14"/>
          <w:szCs w:val="14"/>
          <w:color w:val="auto"/>
        </w:rPr>
      </w:pPr>
      <w:r>
        <w:rPr>
          <w:rFonts w:ascii="Arial" w:cs="Arial" w:eastAsia="Arial" w:hAnsi="Arial"/>
          <w:sz w:val="14"/>
          <w:szCs w:val="14"/>
          <w:color w:val="auto"/>
        </w:rPr>
        <w:t>The PSUs would have been earned if the Company share price had reached an average 15 day price of $45 or $55 for achievement of minimum or maximum payout, respectively, before December 9, 2025. These values were not attained and these awards did not vest.</w:t>
      </w:r>
    </w:p>
    <w:p>
      <w:pPr>
        <w:ind w:left="400" w:hanging="393"/>
        <w:spacing w:after="0"/>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shown reflect RSUs earned by Mr. Sheehan for service as a board member after serving in the role of Interim Executive Officer.</w:t>
      </w:r>
    </w:p>
    <w:p>
      <w:pPr>
        <w:spacing w:after="0" w:line="13" w:lineRule="exact"/>
        <w:rPr>
          <w:rFonts w:ascii="Arial" w:cs="Arial" w:eastAsia="Arial" w:hAnsi="Arial"/>
          <w:sz w:val="14"/>
          <w:szCs w:val="14"/>
          <w:color w:val="auto"/>
        </w:rPr>
      </w:pPr>
    </w:p>
    <w:p>
      <w:pPr>
        <w:ind w:left="400" w:hanging="393"/>
        <w:spacing w:after="0"/>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shown represent options that vested immediately on the grant date and were associated with Mr. Sheehan’s tenure as Interim Executive Officer.</w:t>
      </w:r>
    </w:p>
    <w:p>
      <w:pPr>
        <w:spacing w:after="0" w:line="13" w:lineRule="exact"/>
        <w:rPr>
          <w:rFonts w:ascii="Arial" w:cs="Arial" w:eastAsia="Arial" w:hAnsi="Arial"/>
          <w:sz w:val="14"/>
          <w:szCs w:val="14"/>
          <w:color w:val="auto"/>
        </w:rPr>
      </w:pPr>
    </w:p>
    <w:p>
      <w:pPr>
        <w:jc w:val="both"/>
        <w:ind w:left="420" w:hanging="413"/>
        <w:spacing w:after="0" w:line="253" w:lineRule="auto"/>
        <w:tabs>
          <w:tab w:leader="none" w:pos="419"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shown reflect an award of RSUs and options, as applicable, prior to shareholder approval of the 2025 Plan and were considered “contingent awards” as discussed in our 2025 proxy statement filed May 8, 2025. The value of these awards is based on the closing share price, in the case of RSUs, or the fair value, in the case of options, as of approval of the 2025 Plan by shareholders on June 18, 2025.</w:t>
      </w:r>
    </w:p>
    <w:p>
      <w:pPr>
        <w:spacing w:after="0" w:line="1" w:lineRule="exact"/>
        <w:rPr>
          <w:rFonts w:ascii="Arial" w:cs="Arial" w:eastAsia="Arial" w:hAnsi="Arial"/>
          <w:sz w:val="14"/>
          <w:szCs w:val="14"/>
          <w:color w:val="auto"/>
        </w:rPr>
      </w:pPr>
    </w:p>
    <w:p>
      <w:pPr>
        <w:jc w:val="both"/>
        <w:ind w:left="420" w:hanging="413"/>
        <w:spacing w:after="0" w:line="255" w:lineRule="auto"/>
        <w:tabs>
          <w:tab w:leader="none" w:pos="409"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shown reflect an award of PSUs, RSUs and options, as applicable, in accordance with the 2025 long-term incentive program implemented pursuant to the 2025 Plan. The shares shown in the “Threshold” column reflect the minimum possible payout (representing 50% of target) under the Company’s PSU component of the 2025 long-term incentive program. The minimum award level is 0% of Target if the Threshold is not met, and 200% of Target at Maximum. Threshold is represented with the minimum possible payout.</w:t>
      </w:r>
    </w:p>
    <w:p>
      <w:pPr>
        <w:spacing w:after="0" w:line="1" w:lineRule="exact"/>
        <w:rPr>
          <w:rFonts w:ascii="Arial" w:cs="Arial" w:eastAsia="Arial" w:hAnsi="Arial"/>
          <w:sz w:val="14"/>
          <w:szCs w:val="14"/>
          <w:color w:val="auto"/>
        </w:rPr>
      </w:pPr>
    </w:p>
    <w:p>
      <w:pPr>
        <w:ind w:left="400" w:hanging="393"/>
        <w:spacing w:after="0"/>
        <w:tabs>
          <w:tab w:leader="none" w:pos="40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shown represent RSUs granted to certain executives that will vest ratably over a three-year period after the grant date.</w:t>
      </w:r>
    </w:p>
    <w:p>
      <w:pPr>
        <w:spacing w:after="0" w:line="13" w:lineRule="exact"/>
        <w:rPr>
          <w:rFonts w:ascii="Arial" w:cs="Arial" w:eastAsia="Arial" w:hAnsi="Arial"/>
          <w:sz w:val="14"/>
          <w:szCs w:val="14"/>
          <w:color w:val="auto"/>
        </w:rPr>
      </w:pPr>
    </w:p>
    <w:p>
      <w:pPr>
        <w:ind w:left="420" w:right="20" w:hanging="413"/>
        <w:spacing w:after="0" w:line="260" w:lineRule="auto"/>
        <w:tabs>
          <w:tab w:leader="none" w:pos="419"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shares shown represent RSUs granted to Mr. Wehner in connection with his transition to his role as President - Main Event that will vest ratably over a three-year period after the grant date.</w:t>
      </w:r>
    </w:p>
    <w:p>
      <w:pPr>
        <w:ind w:left="420" w:hanging="413"/>
        <w:spacing w:after="0" w:line="282" w:lineRule="auto"/>
        <w:tabs>
          <w:tab w:leader="none" w:pos="419" w:val="left"/>
        </w:tabs>
        <w:numPr>
          <w:ilvl w:val="0"/>
          <w:numId w:val="87"/>
        </w:numPr>
        <w:rPr>
          <w:rFonts w:ascii="Arial" w:cs="Arial" w:eastAsia="Arial" w:hAnsi="Arial"/>
          <w:sz w:val="14"/>
          <w:szCs w:val="14"/>
          <w:color w:val="auto"/>
        </w:rPr>
      </w:pPr>
      <w:r>
        <w:rPr>
          <w:rFonts w:ascii="Arial" w:cs="Arial" w:eastAsia="Arial" w:hAnsi="Arial"/>
          <w:sz w:val="14"/>
          <w:szCs w:val="14"/>
          <w:color w:val="auto"/>
        </w:rPr>
        <w:t>Awards are considered modifications as they were accepted as a condition of cancelling PSUs that were originally issued in 2022. As such, the fair value represents the incremental value of the individual awards over the original PSUs at the time these options were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251460</wp:posOffset>
            </wp:positionV>
            <wp:extent cx="71329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41</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7" w:name="page48"/>
    <w:bookmarkEnd w:id="47"/>
    <w:p>
      <w:pPr>
        <w:ind w:left="20"/>
        <w:spacing w:after="0"/>
        <w:rPr>
          <w:sz w:val="20"/>
          <w:szCs w:val="20"/>
          <w:color w:val="auto"/>
        </w:rPr>
      </w:pPr>
      <w:r>
        <w:rPr>
          <w:rFonts w:ascii="Arial" w:cs="Arial" w:eastAsia="Arial" w:hAnsi="Arial"/>
          <w:sz w:val="25"/>
          <w:szCs w:val="25"/>
          <w:b w:val="1"/>
          <w:bCs w:val="1"/>
          <w:color w:val="4C4C4C"/>
        </w:rPr>
        <w:t>Outstanding Equity Awards at Fiscal Year-End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2"/>
          </w:tcPr>
          <w:p>
            <w:pPr>
              <w:ind w:left="440"/>
              <w:spacing w:after="0"/>
              <w:rPr>
                <w:sz w:val="20"/>
                <w:szCs w:val="20"/>
                <w:color w:val="auto"/>
              </w:rPr>
            </w:pPr>
            <w:r>
              <w:rPr>
                <w:rFonts w:ascii="Arial" w:cs="Arial" w:eastAsia="Arial" w:hAnsi="Arial"/>
                <w:sz w:val="11"/>
                <w:szCs w:val="11"/>
                <w:b w:val="1"/>
                <w:bCs w:val="1"/>
                <w:color w:val="auto"/>
              </w:rPr>
              <w:t>Option Awards</w:t>
            </w: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2"/>
          </w:tcPr>
          <w:p>
            <w:pPr>
              <w:jc w:val="right"/>
              <w:ind w:right="326"/>
              <w:spacing w:after="0"/>
              <w:rPr>
                <w:sz w:val="20"/>
                <w:szCs w:val="20"/>
                <w:color w:val="auto"/>
              </w:rPr>
            </w:pPr>
            <w:r>
              <w:rPr>
                <w:rFonts w:ascii="Arial" w:cs="Arial" w:eastAsia="Arial" w:hAnsi="Arial"/>
                <w:sz w:val="11"/>
                <w:szCs w:val="11"/>
                <w:b w:val="1"/>
                <w:bCs w:val="1"/>
                <w:color w:val="auto"/>
              </w:rPr>
              <w:t>Stock Awards</w:t>
            </w:r>
          </w:p>
        </w:tc>
        <w:tc>
          <w:tcPr>
            <w:tcW w:w="4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7"/>
        </w:trPr>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003B71"/>
            </w:tcBorders>
          </w:tcPr>
          <w:p>
            <w:pPr>
              <w:spacing w:after="0"/>
              <w:rPr>
                <w:sz w:val="2"/>
                <w:szCs w:val="2"/>
                <w:color w:val="auto"/>
              </w:rPr>
            </w:pPr>
          </w:p>
        </w:tc>
        <w:tc>
          <w:tcPr>
            <w:tcW w:w="460" w:type="dxa"/>
            <w:vAlign w:val="bottom"/>
            <w:tcBorders>
              <w:bottom w:val="single" w:sz="8" w:color="003B71"/>
            </w:tcBorders>
          </w:tcPr>
          <w:p>
            <w:pPr>
              <w:spacing w:after="0"/>
              <w:rPr>
                <w:sz w:val="2"/>
                <w:szCs w:val="2"/>
                <w:color w:val="auto"/>
              </w:rPr>
            </w:pPr>
          </w:p>
        </w:tc>
        <w:tc>
          <w:tcPr>
            <w:tcW w:w="780" w:type="dxa"/>
            <w:vAlign w:val="bottom"/>
            <w:tcBorders>
              <w:bottom w:val="single" w:sz="8" w:color="003B71"/>
            </w:tcBorders>
          </w:tcPr>
          <w:p>
            <w:pPr>
              <w:spacing w:after="0"/>
              <w:rPr>
                <w:sz w:val="2"/>
                <w:szCs w:val="2"/>
                <w:color w:val="auto"/>
              </w:rPr>
            </w:pPr>
          </w:p>
        </w:tc>
        <w:tc>
          <w:tcPr>
            <w:tcW w:w="540" w:type="dxa"/>
            <w:vAlign w:val="bottom"/>
            <w:tcBorders>
              <w:bottom w:val="single" w:sz="8" w:color="003B71"/>
            </w:tcBorders>
          </w:tcPr>
          <w:p>
            <w:pPr>
              <w:spacing w:after="0"/>
              <w:rPr>
                <w:sz w:val="2"/>
                <w:szCs w:val="2"/>
                <w:color w:val="auto"/>
              </w:rPr>
            </w:pPr>
          </w:p>
        </w:tc>
        <w:tc>
          <w:tcPr>
            <w:tcW w:w="780" w:type="dxa"/>
            <w:vAlign w:val="bottom"/>
            <w:tcBorders>
              <w:bottom w:val="single" w:sz="8" w:color="003B71"/>
            </w:tcBorders>
          </w:tcPr>
          <w:p>
            <w:pPr>
              <w:spacing w:after="0"/>
              <w:rPr>
                <w:sz w:val="2"/>
                <w:szCs w:val="2"/>
                <w:color w:val="auto"/>
              </w:rPr>
            </w:pPr>
          </w:p>
        </w:tc>
        <w:tc>
          <w:tcPr>
            <w:tcW w:w="760" w:type="dxa"/>
            <w:vAlign w:val="bottom"/>
            <w:tcBorders>
              <w:bottom w:val="single" w:sz="8" w:color="003B71"/>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003B71"/>
            </w:tcBorders>
          </w:tcPr>
          <w:p>
            <w:pPr>
              <w:spacing w:after="0"/>
              <w:rPr>
                <w:sz w:val="2"/>
                <w:szCs w:val="2"/>
                <w:color w:val="auto"/>
              </w:rPr>
            </w:pPr>
          </w:p>
        </w:tc>
        <w:tc>
          <w:tcPr>
            <w:tcW w:w="300" w:type="dxa"/>
            <w:vAlign w:val="bottom"/>
            <w:tcBorders>
              <w:bottom w:val="single" w:sz="8" w:color="003B71"/>
            </w:tcBorders>
          </w:tcPr>
          <w:p>
            <w:pPr>
              <w:spacing w:after="0"/>
              <w:rPr>
                <w:sz w:val="2"/>
                <w:szCs w:val="2"/>
                <w:color w:val="auto"/>
              </w:rPr>
            </w:pPr>
          </w:p>
        </w:tc>
        <w:tc>
          <w:tcPr>
            <w:tcW w:w="260" w:type="dxa"/>
            <w:vAlign w:val="bottom"/>
            <w:tcBorders>
              <w:bottom w:val="single" w:sz="8" w:color="003B71"/>
            </w:tcBorders>
          </w:tcPr>
          <w:p>
            <w:pPr>
              <w:spacing w:after="0"/>
              <w:rPr>
                <w:sz w:val="2"/>
                <w:szCs w:val="2"/>
                <w:color w:val="auto"/>
              </w:rPr>
            </w:pPr>
          </w:p>
        </w:tc>
        <w:tc>
          <w:tcPr>
            <w:tcW w:w="940" w:type="dxa"/>
            <w:vAlign w:val="bottom"/>
            <w:tcBorders>
              <w:bottom w:val="single" w:sz="8" w:color="003B71"/>
            </w:tcBorders>
          </w:tcPr>
          <w:p>
            <w:pPr>
              <w:spacing w:after="0"/>
              <w:rPr>
                <w:sz w:val="2"/>
                <w:szCs w:val="2"/>
                <w:color w:val="auto"/>
              </w:rPr>
            </w:pPr>
          </w:p>
        </w:tc>
        <w:tc>
          <w:tcPr>
            <w:tcW w:w="740" w:type="dxa"/>
            <w:vAlign w:val="bottom"/>
            <w:tcBorders>
              <w:bottom w:val="single" w:sz="8" w:color="003B71"/>
            </w:tcBorders>
          </w:tcPr>
          <w:p>
            <w:pPr>
              <w:spacing w:after="0"/>
              <w:rPr>
                <w:sz w:val="2"/>
                <w:szCs w:val="2"/>
                <w:color w:val="auto"/>
              </w:rPr>
            </w:pPr>
          </w:p>
        </w:tc>
        <w:tc>
          <w:tcPr>
            <w:tcW w:w="400" w:type="dxa"/>
            <w:vAlign w:val="bottom"/>
            <w:tcBorders>
              <w:bottom w:val="single" w:sz="8" w:color="003B71"/>
            </w:tcBorders>
          </w:tcPr>
          <w:p>
            <w:pPr>
              <w:spacing w:after="0"/>
              <w:rPr>
                <w:sz w:val="2"/>
                <w:szCs w:val="2"/>
                <w:color w:val="auto"/>
              </w:rPr>
            </w:pPr>
          </w:p>
        </w:tc>
        <w:tc>
          <w:tcPr>
            <w:tcW w:w="1040" w:type="dxa"/>
            <w:vAlign w:val="bottom"/>
            <w:tcBorders>
              <w:bottom w:val="single" w:sz="8" w:color="003B71"/>
            </w:tcBorders>
          </w:tcPr>
          <w:p>
            <w:pPr>
              <w:spacing w:after="0"/>
              <w:rPr>
                <w:sz w:val="2"/>
                <w:szCs w:val="2"/>
                <w:color w:val="auto"/>
              </w:rPr>
            </w:pPr>
          </w:p>
        </w:tc>
      </w:tr>
      <w:tr>
        <w:trPr>
          <w:trHeight w:val="141"/>
        </w:trPr>
        <w:tc>
          <w:tcPr>
            <w:tcW w:w="1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jc w:val="center"/>
              <w:ind w:left="266"/>
              <w:spacing w:after="0"/>
              <w:rPr>
                <w:sz w:val="20"/>
                <w:szCs w:val="20"/>
                <w:color w:val="auto"/>
              </w:rPr>
            </w:pPr>
            <w:r>
              <w:rPr>
                <w:rFonts w:ascii="Arial" w:cs="Arial" w:eastAsia="Arial" w:hAnsi="Arial"/>
                <w:sz w:val="11"/>
                <w:szCs w:val="11"/>
                <w:b w:val="1"/>
                <w:bCs w:val="1"/>
                <w:color w:val="auto"/>
              </w:rPr>
              <w:t>Equity</w:t>
            </w:r>
          </w:p>
        </w:tc>
        <w:tc>
          <w:tcPr>
            <w:tcW w:w="400" w:type="dxa"/>
            <w:vAlign w:val="bottom"/>
          </w:tcPr>
          <w:p>
            <w:pPr>
              <w:spacing w:after="0"/>
              <w:rPr>
                <w:sz w:val="12"/>
                <w:szCs w:val="12"/>
                <w:color w:val="auto"/>
              </w:rPr>
            </w:pPr>
          </w:p>
        </w:tc>
        <w:tc>
          <w:tcPr>
            <w:tcW w:w="1040" w:type="dxa"/>
            <w:vAlign w:val="bottom"/>
          </w:tcPr>
          <w:p>
            <w:pPr>
              <w:jc w:val="center"/>
              <w:ind w:left="6"/>
              <w:spacing w:after="0"/>
              <w:rPr>
                <w:sz w:val="20"/>
                <w:szCs w:val="20"/>
                <w:color w:val="auto"/>
              </w:rPr>
            </w:pPr>
            <w:r>
              <w:rPr>
                <w:rFonts w:ascii="Arial" w:cs="Arial" w:eastAsia="Arial" w:hAnsi="Arial"/>
                <w:sz w:val="11"/>
                <w:szCs w:val="11"/>
                <w:b w:val="1"/>
                <w:bCs w:val="1"/>
                <w:color w:val="auto"/>
              </w:rPr>
              <w:t>Equity</w:t>
            </w:r>
          </w:p>
        </w:tc>
      </w:tr>
      <w:tr>
        <w:trPr>
          <w:trHeight w:val="121"/>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left="26"/>
              <w:spacing w:after="0" w:line="121" w:lineRule="exact"/>
              <w:rPr>
                <w:sz w:val="20"/>
                <w:szCs w:val="20"/>
                <w:color w:val="auto"/>
              </w:rPr>
            </w:pPr>
            <w:r>
              <w:rPr>
                <w:rFonts w:ascii="Arial" w:cs="Arial" w:eastAsia="Arial" w:hAnsi="Arial"/>
                <w:sz w:val="11"/>
                <w:szCs w:val="11"/>
                <w:b w:val="1"/>
                <w:bCs w:val="1"/>
                <w:color w:val="auto"/>
                <w:w w:val="96"/>
              </w:rPr>
              <w:t>Number</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40" w:type="dxa"/>
            <w:vAlign w:val="bottom"/>
            <w:gridSpan w:val="2"/>
          </w:tcPr>
          <w:p>
            <w:pPr>
              <w:jc w:val="center"/>
              <w:ind w:right="26"/>
              <w:spacing w:after="0" w:line="121" w:lineRule="exact"/>
              <w:rPr>
                <w:sz w:val="20"/>
                <w:szCs w:val="20"/>
                <w:color w:val="auto"/>
              </w:rPr>
            </w:pPr>
            <w:r>
              <w:rPr>
                <w:rFonts w:ascii="Arial" w:cs="Arial" w:eastAsia="Arial" w:hAnsi="Arial"/>
                <w:sz w:val="11"/>
                <w:szCs w:val="11"/>
                <w:b w:val="1"/>
                <w:bCs w:val="1"/>
                <w:color w:val="auto"/>
                <w:w w:val="99"/>
              </w:rPr>
              <w:t>Incentive Plan</w:t>
            </w:r>
          </w:p>
        </w:tc>
        <w:tc>
          <w:tcPr>
            <w:tcW w:w="1040" w:type="dxa"/>
            <w:vAlign w:val="bottom"/>
          </w:tcPr>
          <w:p>
            <w:pPr>
              <w:jc w:val="center"/>
              <w:ind w:left="26"/>
              <w:spacing w:after="0" w:line="121" w:lineRule="exact"/>
              <w:rPr>
                <w:sz w:val="20"/>
                <w:szCs w:val="20"/>
                <w:color w:val="auto"/>
              </w:rPr>
            </w:pPr>
            <w:r>
              <w:rPr>
                <w:rFonts w:ascii="Arial" w:cs="Arial" w:eastAsia="Arial" w:hAnsi="Arial"/>
                <w:sz w:val="11"/>
                <w:szCs w:val="11"/>
                <w:b w:val="1"/>
                <w:bCs w:val="1"/>
                <w:color w:val="auto"/>
                <w:w w:val="97"/>
              </w:rPr>
              <w:t>Incentive Plan</w:t>
            </w:r>
          </w:p>
        </w:tc>
      </w:tr>
      <w:tr>
        <w:trPr>
          <w:trHeight w:val="134"/>
        </w:trPr>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Number of</w:t>
            </w:r>
          </w:p>
        </w:tc>
        <w:tc>
          <w:tcPr>
            <w:tcW w:w="13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w w:val="95"/>
              </w:rPr>
              <w:t>of RSU Units</w:t>
            </w:r>
          </w:p>
        </w:tc>
        <w:tc>
          <w:tcPr>
            <w:tcW w:w="260" w:type="dxa"/>
            <w:vAlign w:val="bottom"/>
          </w:tcPr>
          <w:p>
            <w:pPr>
              <w:spacing w:after="0"/>
              <w:rPr>
                <w:sz w:val="11"/>
                <w:szCs w:val="11"/>
                <w:color w:val="auto"/>
              </w:rPr>
            </w:pPr>
          </w:p>
        </w:tc>
        <w:tc>
          <w:tcPr>
            <w:tcW w:w="940" w:type="dxa"/>
            <w:vAlign w:val="bottom"/>
          </w:tcPr>
          <w:p>
            <w:pPr>
              <w:jc w:val="center"/>
              <w:ind w:right="146"/>
              <w:spacing w:after="0"/>
              <w:rPr>
                <w:sz w:val="20"/>
                <w:szCs w:val="20"/>
                <w:color w:val="auto"/>
              </w:rPr>
            </w:pPr>
            <w:r>
              <w:rPr>
                <w:rFonts w:ascii="Arial" w:cs="Arial" w:eastAsia="Arial" w:hAnsi="Arial"/>
                <w:sz w:val="11"/>
                <w:szCs w:val="11"/>
                <w:b w:val="1"/>
                <w:bCs w:val="1"/>
                <w:color w:val="auto"/>
                <w:w w:val="95"/>
              </w:rPr>
              <w:t>Market</w:t>
            </w:r>
          </w:p>
        </w:tc>
        <w:tc>
          <w:tcPr>
            <w:tcW w:w="740" w:type="dxa"/>
            <w:vAlign w:val="bottom"/>
          </w:tcPr>
          <w:p>
            <w:pPr>
              <w:jc w:val="center"/>
              <w:ind w:left="266"/>
              <w:spacing w:after="0"/>
              <w:rPr>
                <w:sz w:val="20"/>
                <w:szCs w:val="20"/>
                <w:color w:val="auto"/>
              </w:rPr>
            </w:pPr>
            <w:r>
              <w:rPr>
                <w:rFonts w:ascii="Arial" w:cs="Arial" w:eastAsia="Arial" w:hAnsi="Arial"/>
                <w:sz w:val="11"/>
                <w:szCs w:val="11"/>
                <w:b w:val="1"/>
                <w:bCs w:val="1"/>
                <w:color w:val="auto"/>
                <w:w w:val="96"/>
              </w:rPr>
              <w:t>Awards:</w:t>
            </w:r>
          </w:p>
        </w:tc>
        <w:tc>
          <w:tcPr>
            <w:tcW w:w="400" w:type="dxa"/>
            <w:vAlign w:val="bottom"/>
          </w:tcPr>
          <w:p>
            <w:pPr>
              <w:spacing w:after="0"/>
              <w:rPr>
                <w:sz w:val="11"/>
                <w:szCs w:val="11"/>
                <w:color w:val="auto"/>
              </w:rPr>
            </w:pPr>
          </w:p>
        </w:tc>
        <w:tc>
          <w:tcPr>
            <w:tcW w:w="1040" w:type="dxa"/>
            <w:vAlign w:val="bottom"/>
          </w:tcPr>
          <w:p>
            <w:pPr>
              <w:jc w:val="center"/>
              <w:ind w:left="6"/>
              <w:spacing w:after="0"/>
              <w:rPr>
                <w:sz w:val="20"/>
                <w:szCs w:val="20"/>
                <w:color w:val="auto"/>
              </w:rPr>
            </w:pPr>
            <w:r>
              <w:rPr>
                <w:rFonts w:ascii="Arial" w:cs="Arial" w:eastAsia="Arial" w:hAnsi="Arial"/>
                <w:sz w:val="11"/>
                <w:szCs w:val="11"/>
                <w:b w:val="1"/>
                <w:bCs w:val="1"/>
                <w:color w:val="auto"/>
                <w:w w:val="96"/>
              </w:rPr>
              <w:t>Awards:</w:t>
            </w:r>
          </w:p>
        </w:tc>
      </w:tr>
      <w:tr>
        <w:trPr>
          <w:trHeight w:val="121"/>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8"/>
              </w:rPr>
              <w:t>Securities</w:t>
            </w:r>
          </w:p>
        </w:tc>
        <w:tc>
          <w:tcPr>
            <w:tcW w:w="132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8"/>
              </w:rPr>
              <w:t>Securities</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left="326"/>
              <w:spacing w:after="0" w:line="121" w:lineRule="exact"/>
              <w:rPr>
                <w:sz w:val="20"/>
                <w:szCs w:val="20"/>
                <w:color w:val="auto"/>
              </w:rPr>
            </w:pPr>
            <w:r>
              <w:rPr>
                <w:rFonts w:ascii="Arial" w:cs="Arial" w:eastAsia="Arial" w:hAnsi="Arial"/>
                <w:sz w:val="11"/>
                <w:szCs w:val="11"/>
                <w:b w:val="1"/>
                <w:bCs w:val="1"/>
                <w:color w:val="auto"/>
              </w:rPr>
              <w:t>That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46"/>
              <w:spacing w:after="0" w:line="121" w:lineRule="exact"/>
              <w:rPr>
                <w:sz w:val="20"/>
                <w:szCs w:val="20"/>
                <w:color w:val="auto"/>
              </w:rPr>
            </w:pPr>
            <w:r>
              <w:rPr>
                <w:rFonts w:ascii="Arial" w:cs="Arial" w:eastAsia="Arial" w:hAnsi="Arial"/>
                <w:sz w:val="11"/>
                <w:szCs w:val="11"/>
                <w:b w:val="1"/>
                <w:bCs w:val="1"/>
                <w:color w:val="auto"/>
                <w:w w:val="98"/>
              </w:rPr>
              <w:t>Value of</w:t>
            </w:r>
          </w:p>
        </w:tc>
        <w:tc>
          <w:tcPr>
            <w:tcW w:w="1140" w:type="dxa"/>
            <w:vAlign w:val="bottom"/>
            <w:gridSpan w:val="2"/>
          </w:tcPr>
          <w:p>
            <w:pPr>
              <w:jc w:val="center"/>
              <w:ind w:right="26"/>
              <w:spacing w:after="0" w:line="121" w:lineRule="exact"/>
              <w:rPr>
                <w:sz w:val="20"/>
                <w:szCs w:val="20"/>
                <w:color w:val="auto"/>
              </w:rPr>
            </w:pPr>
            <w:r>
              <w:rPr>
                <w:rFonts w:ascii="Arial" w:cs="Arial" w:eastAsia="Arial" w:hAnsi="Arial"/>
                <w:sz w:val="11"/>
                <w:szCs w:val="11"/>
                <w:b w:val="1"/>
                <w:bCs w:val="1"/>
                <w:color w:val="auto"/>
                <w:w w:val="98"/>
              </w:rPr>
              <w:t>Number of</w:t>
            </w:r>
          </w:p>
        </w:tc>
        <w:tc>
          <w:tcPr>
            <w:tcW w:w="1040" w:type="dxa"/>
            <w:vAlign w:val="bottom"/>
          </w:tcPr>
          <w:p>
            <w:pPr>
              <w:jc w:val="center"/>
              <w:ind w:left="6"/>
              <w:spacing w:after="0" w:line="121" w:lineRule="exact"/>
              <w:rPr>
                <w:sz w:val="20"/>
                <w:szCs w:val="20"/>
                <w:color w:val="auto"/>
              </w:rPr>
            </w:pPr>
            <w:r>
              <w:rPr>
                <w:rFonts w:ascii="Arial" w:cs="Arial" w:eastAsia="Arial" w:hAnsi="Arial"/>
                <w:sz w:val="11"/>
                <w:szCs w:val="11"/>
                <w:b w:val="1"/>
                <w:bCs w:val="1"/>
                <w:color w:val="auto"/>
                <w:w w:val="97"/>
              </w:rPr>
              <w:t>Market Value</w:t>
            </w:r>
          </w:p>
        </w:tc>
      </w:tr>
      <w:tr>
        <w:trPr>
          <w:trHeight w:val="134"/>
        </w:trPr>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Underlying</w:t>
            </w:r>
          </w:p>
        </w:tc>
        <w:tc>
          <w:tcPr>
            <w:tcW w:w="13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Underlying</w:t>
            </w:r>
          </w:p>
        </w:tc>
        <w:tc>
          <w:tcPr>
            <w:tcW w:w="780" w:type="dxa"/>
            <w:vAlign w:val="bottom"/>
          </w:tcPr>
          <w:p>
            <w:pPr>
              <w:jc w:val="center"/>
              <w:ind w:right="46"/>
              <w:spacing w:after="0"/>
              <w:rPr>
                <w:sz w:val="20"/>
                <w:szCs w:val="20"/>
                <w:color w:val="auto"/>
              </w:rPr>
            </w:pPr>
            <w:r>
              <w:rPr>
                <w:rFonts w:ascii="Arial" w:cs="Arial" w:eastAsia="Arial" w:hAnsi="Arial"/>
                <w:sz w:val="11"/>
                <w:szCs w:val="11"/>
                <w:b w:val="1"/>
                <w:bCs w:val="1"/>
                <w:color w:val="auto"/>
              </w:rPr>
              <w:t>Option</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ind w:left="326"/>
              <w:spacing w:after="0"/>
              <w:rPr>
                <w:sz w:val="20"/>
                <w:szCs w:val="20"/>
                <w:color w:val="auto"/>
              </w:rPr>
            </w:pPr>
            <w:r>
              <w:rPr>
                <w:rFonts w:ascii="Arial" w:cs="Arial" w:eastAsia="Arial" w:hAnsi="Arial"/>
                <w:sz w:val="11"/>
                <w:szCs w:val="11"/>
                <w:b w:val="1"/>
                <w:bCs w:val="1"/>
                <w:color w:val="auto"/>
                <w:w w:val="91"/>
              </w:rPr>
              <w:t>Have</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center"/>
              <w:ind w:right="126"/>
              <w:spacing w:after="0"/>
              <w:rPr>
                <w:sz w:val="20"/>
                <w:szCs w:val="20"/>
                <w:color w:val="auto"/>
              </w:rPr>
            </w:pPr>
            <w:r>
              <w:rPr>
                <w:rFonts w:ascii="Arial" w:cs="Arial" w:eastAsia="Arial" w:hAnsi="Arial"/>
                <w:sz w:val="11"/>
                <w:szCs w:val="11"/>
                <w:b w:val="1"/>
                <w:bCs w:val="1"/>
                <w:color w:val="auto"/>
                <w:w w:val="97"/>
              </w:rPr>
              <w:t>Units of</w:t>
            </w:r>
          </w:p>
        </w:tc>
        <w:tc>
          <w:tcPr>
            <w:tcW w:w="1140" w:type="dxa"/>
            <w:vAlign w:val="bottom"/>
            <w:gridSpan w:val="2"/>
          </w:tcPr>
          <w:p>
            <w:pPr>
              <w:jc w:val="center"/>
              <w:ind w:right="26"/>
              <w:spacing w:after="0"/>
              <w:rPr>
                <w:sz w:val="20"/>
                <w:szCs w:val="20"/>
                <w:color w:val="auto"/>
              </w:rPr>
            </w:pPr>
            <w:r>
              <w:rPr>
                <w:rFonts w:ascii="Arial" w:cs="Arial" w:eastAsia="Arial" w:hAnsi="Arial"/>
                <w:sz w:val="11"/>
                <w:szCs w:val="11"/>
                <w:b w:val="1"/>
                <w:bCs w:val="1"/>
                <w:color w:val="auto"/>
                <w:w w:val="98"/>
              </w:rPr>
              <w:t>Unearned</w:t>
            </w:r>
          </w:p>
        </w:tc>
        <w:tc>
          <w:tcPr>
            <w:tcW w:w="1040" w:type="dxa"/>
            <w:vAlign w:val="bottom"/>
          </w:tcPr>
          <w:p>
            <w:pPr>
              <w:jc w:val="center"/>
              <w:ind w:left="6"/>
              <w:spacing w:after="0"/>
              <w:rPr>
                <w:sz w:val="20"/>
                <w:szCs w:val="20"/>
                <w:color w:val="auto"/>
              </w:rPr>
            </w:pPr>
            <w:r>
              <w:rPr>
                <w:rFonts w:ascii="Arial" w:cs="Arial" w:eastAsia="Arial" w:hAnsi="Arial"/>
                <w:sz w:val="11"/>
                <w:szCs w:val="11"/>
                <w:b w:val="1"/>
                <w:bCs w:val="1"/>
                <w:color w:val="auto"/>
                <w:w w:val="96"/>
              </w:rPr>
              <w:t>of Unearned</w:t>
            </w:r>
          </w:p>
        </w:tc>
      </w:tr>
      <w:tr>
        <w:trPr>
          <w:trHeight w:val="121"/>
        </w:trPr>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7"/>
              </w:rPr>
              <w:t>Unexercised</w:t>
            </w:r>
          </w:p>
        </w:tc>
        <w:tc>
          <w:tcPr>
            <w:tcW w:w="1320" w:type="dxa"/>
            <w:vAlign w:val="bottom"/>
            <w:gridSpan w:val="2"/>
          </w:tcPr>
          <w:p>
            <w:pPr>
              <w:jc w:val="center"/>
              <w:spacing w:after="0" w:line="121" w:lineRule="exact"/>
              <w:rPr>
                <w:sz w:val="20"/>
                <w:szCs w:val="20"/>
                <w:color w:val="auto"/>
              </w:rPr>
            </w:pPr>
            <w:r>
              <w:rPr>
                <w:rFonts w:ascii="Arial" w:cs="Arial" w:eastAsia="Arial" w:hAnsi="Arial"/>
                <w:sz w:val="11"/>
                <w:szCs w:val="11"/>
                <w:b w:val="1"/>
                <w:bCs w:val="1"/>
                <w:color w:val="auto"/>
                <w:w w:val="97"/>
              </w:rPr>
              <w:t>Unexercised</w:t>
            </w:r>
          </w:p>
        </w:tc>
        <w:tc>
          <w:tcPr>
            <w:tcW w:w="780" w:type="dxa"/>
            <w:vAlign w:val="bottom"/>
          </w:tcPr>
          <w:p>
            <w:pPr>
              <w:jc w:val="center"/>
              <w:ind w:right="46"/>
              <w:spacing w:after="0" w:line="121" w:lineRule="exact"/>
              <w:rPr>
                <w:sz w:val="20"/>
                <w:szCs w:val="20"/>
                <w:color w:val="auto"/>
              </w:rPr>
            </w:pPr>
            <w:r>
              <w:rPr>
                <w:rFonts w:ascii="Arial" w:cs="Arial" w:eastAsia="Arial" w:hAnsi="Arial"/>
                <w:sz w:val="11"/>
                <w:szCs w:val="11"/>
                <w:b w:val="1"/>
                <w:bCs w:val="1"/>
                <w:color w:val="auto"/>
                <w:w w:val="97"/>
              </w:rPr>
              <w:t>Exercise</w:t>
            </w:r>
          </w:p>
        </w:tc>
        <w:tc>
          <w:tcPr>
            <w:tcW w:w="84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95"/>
              </w:rPr>
              <w:t>Option</w:t>
            </w:r>
          </w:p>
        </w:tc>
        <w:tc>
          <w:tcPr>
            <w:tcW w:w="660" w:type="dxa"/>
            <w:vAlign w:val="bottom"/>
          </w:tcPr>
          <w:p>
            <w:pPr>
              <w:jc w:val="center"/>
              <w:ind w:left="346"/>
              <w:spacing w:after="0" w:line="121" w:lineRule="exact"/>
              <w:rPr>
                <w:sz w:val="20"/>
                <w:szCs w:val="20"/>
                <w:color w:val="auto"/>
              </w:rPr>
            </w:pPr>
            <w:r>
              <w:rPr>
                <w:rFonts w:ascii="Arial" w:cs="Arial" w:eastAsia="Arial" w:hAnsi="Arial"/>
                <w:sz w:val="11"/>
                <w:szCs w:val="11"/>
                <w:b w:val="1"/>
                <w:bCs w:val="1"/>
                <w:color w:val="auto"/>
                <w:w w:val="97"/>
              </w:rPr>
              <w:t>Not</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26"/>
              <w:spacing w:after="0" w:line="121" w:lineRule="exact"/>
              <w:rPr>
                <w:sz w:val="20"/>
                <w:szCs w:val="20"/>
                <w:color w:val="auto"/>
              </w:rPr>
            </w:pPr>
            <w:r>
              <w:rPr>
                <w:rFonts w:ascii="Arial" w:cs="Arial" w:eastAsia="Arial" w:hAnsi="Arial"/>
                <w:sz w:val="11"/>
                <w:szCs w:val="11"/>
                <w:b w:val="1"/>
                <w:bCs w:val="1"/>
                <w:color w:val="auto"/>
                <w:w w:val="99"/>
              </w:rPr>
              <w:t>Stock That</w:t>
            </w:r>
          </w:p>
        </w:tc>
        <w:tc>
          <w:tcPr>
            <w:tcW w:w="1140" w:type="dxa"/>
            <w:vAlign w:val="bottom"/>
            <w:gridSpan w:val="2"/>
          </w:tcPr>
          <w:p>
            <w:pPr>
              <w:jc w:val="center"/>
              <w:ind w:right="26"/>
              <w:spacing w:after="0" w:line="121" w:lineRule="exact"/>
              <w:rPr>
                <w:sz w:val="20"/>
                <w:szCs w:val="20"/>
                <w:color w:val="auto"/>
              </w:rPr>
            </w:pPr>
            <w:r>
              <w:rPr>
                <w:rFonts w:ascii="Arial" w:cs="Arial" w:eastAsia="Arial" w:hAnsi="Arial"/>
                <w:sz w:val="11"/>
                <w:szCs w:val="11"/>
                <w:b w:val="1"/>
                <w:bCs w:val="1"/>
                <w:color w:val="auto"/>
                <w:w w:val="98"/>
              </w:rPr>
              <w:t>PSU Units That</w:t>
            </w:r>
          </w:p>
        </w:tc>
        <w:tc>
          <w:tcPr>
            <w:tcW w:w="1040" w:type="dxa"/>
            <w:vAlign w:val="bottom"/>
          </w:tcPr>
          <w:p>
            <w:pPr>
              <w:jc w:val="center"/>
              <w:ind w:left="26"/>
              <w:spacing w:after="0" w:line="121" w:lineRule="exact"/>
              <w:rPr>
                <w:sz w:val="20"/>
                <w:szCs w:val="20"/>
                <w:color w:val="auto"/>
              </w:rPr>
            </w:pPr>
            <w:r>
              <w:rPr>
                <w:rFonts w:ascii="Arial" w:cs="Arial" w:eastAsia="Arial" w:hAnsi="Arial"/>
                <w:sz w:val="11"/>
                <w:szCs w:val="11"/>
                <w:b w:val="1"/>
                <w:bCs w:val="1"/>
                <w:color w:val="auto"/>
                <w:w w:val="96"/>
              </w:rPr>
              <w:t>Units That</w:t>
            </w:r>
          </w:p>
        </w:tc>
      </w:tr>
      <w:tr>
        <w:trPr>
          <w:trHeight w:val="134"/>
        </w:trPr>
        <w:tc>
          <w:tcPr>
            <w:tcW w:w="1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Options</w:t>
            </w:r>
          </w:p>
        </w:tc>
        <w:tc>
          <w:tcPr>
            <w:tcW w:w="13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Options</w:t>
            </w:r>
          </w:p>
        </w:tc>
        <w:tc>
          <w:tcPr>
            <w:tcW w:w="780" w:type="dxa"/>
            <w:vAlign w:val="bottom"/>
          </w:tcPr>
          <w:p>
            <w:pPr>
              <w:jc w:val="center"/>
              <w:ind w:right="46"/>
              <w:spacing w:after="0"/>
              <w:rPr>
                <w:sz w:val="20"/>
                <w:szCs w:val="20"/>
                <w:color w:val="auto"/>
              </w:rPr>
            </w:pPr>
            <w:r>
              <w:rPr>
                <w:rFonts w:ascii="Arial" w:cs="Arial" w:eastAsia="Arial" w:hAnsi="Arial"/>
                <w:sz w:val="11"/>
                <w:szCs w:val="11"/>
                <w:b w:val="1"/>
                <w:bCs w:val="1"/>
                <w:color w:val="auto"/>
              </w:rPr>
              <w:t>Price</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6"/>
              </w:rPr>
              <w:t>Expiration</w:t>
            </w:r>
          </w:p>
        </w:tc>
        <w:tc>
          <w:tcPr>
            <w:tcW w:w="960" w:type="dxa"/>
            <w:vAlign w:val="bottom"/>
            <w:gridSpan w:val="2"/>
          </w:tcPr>
          <w:p>
            <w:pPr>
              <w:jc w:val="center"/>
              <w:ind w:left="26"/>
              <w:spacing w:after="0"/>
              <w:rPr>
                <w:sz w:val="20"/>
                <w:szCs w:val="20"/>
                <w:color w:val="auto"/>
              </w:rPr>
            </w:pPr>
            <w:r>
              <w:rPr>
                <w:rFonts w:ascii="Arial" w:cs="Arial" w:eastAsia="Arial" w:hAnsi="Arial"/>
                <w:sz w:val="11"/>
                <w:szCs w:val="11"/>
                <w:b w:val="1"/>
                <w:bCs w:val="1"/>
                <w:color w:val="auto"/>
                <w:w w:val="99"/>
              </w:rPr>
              <w:t>Vested</w:t>
            </w:r>
          </w:p>
        </w:tc>
        <w:tc>
          <w:tcPr>
            <w:tcW w:w="260" w:type="dxa"/>
            <w:vAlign w:val="bottom"/>
          </w:tcPr>
          <w:p>
            <w:pPr>
              <w:spacing w:after="0"/>
              <w:rPr>
                <w:sz w:val="11"/>
                <w:szCs w:val="11"/>
                <w:color w:val="auto"/>
              </w:rPr>
            </w:pPr>
          </w:p>
        </w:tc>
        <w:tc>
          <w:tcPr>
            <w:tcW w:w="940" w:type="dxa"/>
            <w:vAlign w:val="bottom"/>
          </w:tcPr>
          <w:p>
            <w:pPr>
              <w:jc w:val="center"/>
              <w:ind w:right="146"/>
              <w:spacing w:after="0"/>
              <w:rPr>
                <w:sz w:val="20"/>
                <w:szCs w:val="20"/>
                <w:color w:val="auto"/>
              </w:rPr>
            </w:pPr>
            <w:r>
              <w:rPr>
                <w:rFonts w:ascii="Arial" w:cs="Arial" w:eastAsia="Arial" w:hAnsi="Arial"/>
                <w:sz w:val="11"/>
                <w:szCs w:val="11"/>
                <w:b w:val="1"/>
                <w:bCs w:val="1"/>
                <w:color w:val="auto"/>
                <w:w w:val="96"/>
              </w:rPr>
              <w:t>Have Not</w:t>
            </w:r>
          </w:p>
        </w:tc>
        <w:tc>
          <w:tcPr>
            <w:tcW w:w="1140" w:type="dxa"/>
            <w:vAlign w:val="bottom"/>
            <w:gridSpan w:val="2"/>
          </w:tcPr>
          <w:p>
            <w:pPr>
              <w:jc w:val="center"/>
              <w:ind w:right="26"/>
              <w:spacing w:after="0"/>
              <w:rPr>
                <w:sz w:val="20"/>
                <w:szCs w:val="20"/>
                <w:color w:val="auto"/>
              </w:rPr>
            </w:pPr>
            <w:r>
              <w:rPr>
                <w:rFonts w:ascii="Arial" w:cs="Arial" w:eastAsia="Arial" w:hAnsi="Arial"/>
                <w:sz w:val="11"/>
                <w:szCs w:val="11"/>
                <w:b w:val="1"/>
                <w:bCs w:val="1"/>
                <w:color w:val="auto"/>
                <w:w w:val="96"/>
              </w:rPr>
              <w:t>Have Not</w:t>
            </w:r>
          </w:p>
        </w:tc>
        <w:tc>
          <w:tcPr>
            <w:tcW w:w="1040" w:type="dxa"/>
            <w:vAlign w:val="bottom"/>
          </w:tcPr>
          <w:p>
            <w:pPr>
              <w:jc w:val="center"/>
              <w:ind w:left="6"/>
              <w:spacing w:after="0"/>
              <w:rPr>
                <w:sz w:val="20"/>
                <w:szCs w:val="20"/>
                <w:color w:val="auto"/>
              </w:rPr>
            </w:pPr>
            <w:r>
              <w:rPr>
                <w:rFonts w:ascii="Arial" w:cs="Arial" w:eastAsia="Arial" w:hAnsi="Arial"/>
                <w:sz w:val="11"/>
                <w:szCs w:val="11"/>
                <w:b w:val="1"/>
                <w:bCs w:val="1"/>
                <w:color w:val="auto"/>
                <w:w w:val="96"/>
              </w:rPr>
              <w:t>Have Not</w:t>
            </w:r>
          </w:p>
        </w:tc>
      </w:tr>
      <w:tr>
        <w:trPr>
          <w:trHeight w:val="168"/>
        </w:trPr>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gridSpan w:val="2"/>
          </w:tcPr>
          <w:p>
            <w:pPr>
              <w:jc w:val="center"/>
              <w:ind w:left="466"/>
              <w:spacing w:after="0"/>
              <w:rPr>
                <w:sz w:val="20"/>
                <w:szCs w:val="20"/>
                <w:color w:val="auto"/>
              </w:rPr>
            </w:pPr>
            <w:r>
              <w:rPr>
                <w:rFonts w:ascii="Arial" w:cs="Arial" w:eastAsia="Arial" w:hAnsi="Arial"/>
                <w:sz w:val="11"/>
                <w:szCs w:val="11"/>
                <w:b w:val="1"/>
                <w:bCs w:val="1"/>
                <w:color w:val="auto"/>
                <w:w w:val="88"/>
              </w:rPr>
              <w:t>(#)</w:t>
            </w:r>
          </w:p>
        </w:tc>
        <w:tc>
          <w:tcPr>
            <w:tcW w:w="460" w:type="dxa"/>
            <w:vAlign w:val="bottom"/>
          </w:tcPr>
          <w:p>
            <w:pPr>
              <w:spacing w:after="0"/>
              <w:rPr>
                <w:sz w:val="14"/>
                <w:szCs w:val="14"/>
                <w:color w:val="auto"/>
              </w:rPr>
            </w:pPr>
          </w:p>
        </w:tc>
        <w:tc>
          <w:tcPr>
            <w:tcW w:w="780" w:type="dxa"/>
            <w:vAlign w:val="bottom"/>
          </w:tcPr>
          <w:p>
            <w:pPr>
              <w:jc w:val="center"/>
              <w:ind w:left="486"/>
              <w:spacing w:after="0"/>
              <w:rPr>
                <w:sz w:val="20"/>
                <w:szCs w:val="20"/>
                <w:color w:val="auto"/>
              </w:rPr>
            </w:pPr>
            <w:r>
              <w:rPr>
                <w:rFonts w:ascii="Arial" w:cs="Arial" w:eastAsia="Arial" w:hAnsi="Arial"/>
                <w:sz w:val="11"/>
                <w:szCs w:val="11"/>
                <w:b w:val="1"/>
                <w:bCs w:val="1"/>
                <w:color w:val="auto"/>
                <w:w w:val="88"/>
              </w:rPr>
              <w:t>(#)</w:t>
            </w:r>
          </w:p>
        </w:tc>
        <w:tc>
          <w:tcPr>
            <w:tcW w:w="540" w:type="dxa"/>
            <w:vAlign w:val="bottom"/>
          </w:tcPr>
          <w:p>
            <w:pPr>
              <w:spacing w:after="0"/>
              <w:rPr>
                <w:sz w:val="14"/>
                <w:szCs w:val="14"/>
                <w:color w:val="auto"/>
              </w:rPr>
            </w:pPr>
          </w:p>
        </w:tc>
        <w:tc>
          <w:tcPr>
            <w:tcW w:w="78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w:t>
            </w:r>
          </w:p>
        </w:tc>
        <w:tc>
          <w:tcPr>
            <w:tcW w:w="8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Date</w:t>
            </w:r>
          </w:p>
        </w:tc>
        <w:tc>
          <w:tcPr>
            <w:tcW w:w="660" w:type="dxa"/>
            <w:vAlign w:val="bottom"/>
          </w:tcPr>
          <w:p>
            <w:pPr>
              <w:jc w:val="center"/>
              <w:ind w:left="326"/>
              <w:spacing w:after="0"/>
              <w:rPr>
                <w:sz w:val="20"/>
                <w:szCs w:val="20"/>
                <w:color w:val="auto"/>
              </w:rPr>
            </w:pPr>
            <w:r>
              <w:rPr>
                <w:rFonts w:ascii="Arial" w:cs="Arial" w:eastAsia="Arial" w:hAnsi="Arial"/>
                <w:sz w:val="11"/>
                <w:szCs w:val="11"/>
                <w:b w:val="1"/>
                <w:bCs w:val="1"/>
                <w:color w:val="auto"/>
                <w:w w:val="88"/>
              </w:rPr>
              <w: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1"/>
                <w:szCs w:val="11"/>
                <w:b w:val="1"/>
                <w:bCs w:val="1"/>
                <w:color w:val="auto"/>
                <w:w w:val="98"/>
              </w:rPr>
              <w:t>Vested ($)</w:t>
            </w:r>
          </w:p>
        </w:tc>
        <w:tc>
          <w:tcPr>
            <w:tcW w:w="1140" w:type="dxa"/>
            <w:vAlign w:val="bottom"/>
            <w:gridSpan w:val="2"/>
          </w:tcPr>
          <w:p>
            <w:pPr>
              <w:jc w:val="center"/>
              <w:ind w:right="26"/>
              <w:spacing w:after="0"/>
              <w:rPr>
                <w:sz w:val="20"/>
                <w:szCs w:val="20"/>
                <w:color w:val="auto"/>
              </w:rPr>
            </w:pPr>
            <w:r>
              <w:rPr>
                <w:rFonts w:ascii="Arial" w:cs="Arial" w:eastAsia="Arial" w:hAnsi="Arial"/>
                <w:sz w:val="11"/>
                <w:szCs w:val="11"/>
                <w:b w:val="1"/>
                <w:bCs w:val="1"/>
                <w:color w:val="auto"/>
                <w:w w:val="95"/>
              </w:rPr>
              <w:t>Vested (#)</w:t>
            </w:r>
          </w:p>
        </w:tc>
        <w:tc>
          <w:tcPr>
            <w:tcW w:w="1040" w:type="dxa"/>
            <w:vAlign w:val="bottom"/>
          </w:tcPr>
          <w:p>
            <w:pPr>
              <w:jc w:val="center"/>
              <w:ind w:left="6"/>
              <w:spacing w:after="0"/>
              <w:rPr>
                <w:sz w:val="20"/>
                <w:szCs w:val="20"/>
                <w:color w:val="auto"/>
              </w:rPr>
            </w:pPr>
            <w:r>
              <w:rPr>
                <w:rFonts w:ascii="Arial" w:cs="Arial" w:eastAsia="Arial" w:hAnsi="Arial"/>
                <w:sz w:val="11"/>
                <w:szCs w:val="11"/>
                <w:b w:val="1"/>
                <w:bCs w:val="1"/>
                <w:color w:val="auto"/>
                <w:w w:val="95"/>
              </w:rPr>
              <w:t>Vested ($)</w:t>
            </w:r>
          </w:p>
        </w:tc>
      </w:tr>
      <w:tr>
        <w:trPr>
          <w:trHeight w:val="161"/>
        </w:trPr>
        <w:tc>
          <w:tcPr>
            <w:tcW w:w="1360" w:type="dxa"/>
            <w:vAlign w:val="bottom"/>
          </w:tcPr>
          <w:p>
            <w:pPr>
              <w:ind w:left="20"/>
              <w:spacing w:after="0"/>
              <w:rPr>
                <w:sz w:val="20"/>
                <w:szCs w:val="20"/>
                <w:color w:val="auto"/>
              </w:rPr>
            </w:pPr>
            <w:r>
              <w:rPr>
                <w:rFonts w:ascii="Arial" w:cs="Arial" w:eastAsia="Arial" w:hAnsi="Arial"/>
                <w:sz w:val="11"/>
                <w:szCs w:val="11"/>
                <w:b w:val="1"/>
                <w:bCs w:val="1"/>
                <w:color w:val="auto"/>
              </w:rPr>
              <w:t>Name (a)</w:t>
            </w:r>
          </w:p>
        </w:tc>
        <w:tc>
          <w:tcPr>
            <w:tcW w:w="860" w:type="dxa"/>
            <w:vAlign w:val="bottom"/>
          </w:tcPr>
          <w:p>
            <w:pPr>
              <w:ind w:left="140"/>
              <w:spacing w:after="0"/>
              <w:rPr>
                <w:sz w:val="20"/>
                <w:szCs w:val="20"/>
                <w:color w:val="auto"/>
              </w:rPr>
            </w:pPr>
            <w:r>
              <w:rPr>
                <w:rFonts w:ascii="Arial" w:cs="Arial" w:eastAsia="Arial" w:hAnsi="Arial"/>
                <w:sz w:val="11"/>
                <w:szCs w:val="11"/>
                <w:b w:val="1"/>
                <w:bCs w:val="1"/>
                <w:color w:val="auto"/>
              </w:rPr>
              <w:t>Grant Date</w:t>
            </w:r>
          </w:p>
        </w:tc>
        <w:tc>
          <w:tcPr>
            <w:tcW w:w="80" w:type="dxa"/>
            <w:vAlign w:val="bottom"/>
          </w:tcPr>
          <w:p>
            <w:pPr>
              <w:spacing w:after="0"/>
              <w:rPr>
                <w:sz w:val="13"/>
                <w:szCs w:val="13"/>
                <w:color w:val="auto"/>
              </w:rPr>
            </w:pPr>
          </w:p>
        </w:tc>
        <w:tc>
          <w:tcPr>
            <w:tcW w:w="1220" w:type="dxa"/>
            <w:vAlign w:val="bottom"/>
            <w:tcBorders>
              <w:top w:val="single" w:sz="8" w:color="003B71"/>
            </w:tcBorders>
            <w:gridSpan w:val="2"/>
          </w:tcPr>
          <w:p>
            <w:pPr>
              <w:jc w:val="center"/>
              <w:spacing w:after="0"/>
              <w:rPr>
                <w:sz w:val="20"/>
                <w:szCs w:val="20"/>
                <w:color w:val="auto"/>
              </w:rPr>
            </w:pPr>
            <w:r>
              <w:rPr>
                <w:rFonts w:ascii="Arial" w:cs="Arial" w:eastAsia="Arial" w:hAnsi="Arial"/>
                <w:sz w:val="11"/>
                <w:szCs w:val="11"/>
                <w:b w:val="1"/>
                <w:bCs w:val="1"/>
                <w:color w:val="auto"/>
                <w:w w:val="98"/>
              </w:rPr>
              <w:t>Exercisable</w:t>
            </w:r>
          </w:p>
        </w:tc>
        <w:tc>
          <w:tcPr>
            <w:tcW w:w="1320" w:type="dxa"/>
            <w:vAlign w:val="bottom"/>
            <w:tcBorders>
              <w:top w:val="single" w:sz="8" w:color="003B71"/>
            </w:tcBorders>
            <w:gridSpan w:val="2"/>
          </w:tcPr>
          <w:p>
            <w:pPr>
              <w:jc w:val="center"/>
              <w:spacing w:after="0"/>
              <w:rPr>
                <w:sz w:val="20"/>
                <w:szCs w:val="20"/>
                <w:color w:val="auto"/>
              </w:rPr>
            </w:pPr>
            <w:r>
              <w:rPr>
                <w:rFonts w:ascii="Arial" w:cs="Arial" w:eastAsia="Arial" w:hAnsi="Arial"/>
                <w:sz w:val="11"/>
                <w:szCs w:val="11"/>
                <w:b w:val="1"/>
                <w:bCs w:val="1"/>
                <w:color w:val="auto"/>
                <w:w w:val="96"/>
              </w:rPr>
              <w:t>Unexercisable</w:t>
            </w:r>
          </w:p>
        </w:tc>
        <w:tc>
          <w:tcPr>
            <w:tcW w:w="780" w:type="dxa"/>
            <w:vAlign w:val="bottom"/>
            <w:tcBorders>
              <w:top w:val="single" w:sz="8" w:color="003B71"/>
            </w:tcBorders>
          </w:tcPr>
          <w:p>
            <w:pPr>
              <w:spacing w:after="0"/>
              <w:rPr>
                <w:sz w:val="13"/>
                <w:szCs w:val="13"/>
                <w:color w:val="auto"/>
              </w:rPr>
            </w:pPr>
          </w:p>
        </w:tc>
        <w:tc>
          <w:tcPr>
            <w:tcW w:w="760" w:type="dxa"/>
            <w:vAlign w:val="bottom"/>
            <w:tcBorders>
              <w:top w:val="single" w:sz="8" w:color="003B71"/>
            </w:tcBorders>
          </w:tcPr>
          <w:p>
            <w:pPr>
              <w:spacing w:after="0"/>
              <w:rPr>
                <w:sz w:val="13"/>
                <w:szCs w:val="13"/>
                <w:color w:val="auto"/>
              </w:rPr>
            </w:pPr>
          </w:p>
        </w:tc>
        <w:tc>
          <w:tcPr>
            <w:tcW w:w="80" w:type="dxa"/>
            <w:vAlign w:val="bottom"/>
            <w:tcBorders>
              <w:top w:val="single" w:sz="8" w:color="003B71"/>
            </w:tcBorders>
          </w:tcPr>
          <w:p>
            <w:pPr>
              <w:spacing w:after="0"/>
              <w:rPr>
                <w:sz w:val="13"/>
                <w:szCs w:val="13"/>
                <w:color w:val="auto"/>
              </w:rPr>
            </w:pPr>
          </w:p>
        </w:tc>
        <w:tc>
          <w:tcPr>
            <w:tcW w:w="660" w:type="dxa"/>
            <w:vAlign w:val="bottom"/>
            <w:tcBorders>
              <w:top w:val="single" w:sz="8" w:color="003B71"/>
            </w:tcBorders>
          </w:tcPr>
          <w:p>
            <w:pPr>
              <w:spacing w:after="0"/>
              <w:rPr>
                <w:sz w:val="13"/>
                <w:szCs w:val="13"/>
                <w:color w:val="auto"/>
              </w:rPr>
            </w:pPr>
          </w:p>
        </w:tc>
        <w:tc>
          <w:tcPr>
            <w:tcW w:w="300" w:type="dxa"/>
            <w:vAlign w:val="bottom"/>
            <w:tcBorders>
              <w:top w:val="single" w:sz="8" w:color="003B71"/>
            </w:tcBorders>
          </w:tcPr>
          <w:p>
            <w:pPr>
              <w:spacing w:after="0"/>
              <w:rPr>
                <w:sz w:val="13"/>
                <w:szCs w:val="13"/>
                <w:color w:val="auto"/>
              </w:rPr>
            </w:pPr>
          </w:p>
        </w:tc>
        <w:tc>
          <w:tcPr>
            <w:tcW w:w="260" w:type="dxa"/>
            <w:vAlign w:val="bottom"/>
            <w:tcBorders>
              <w:top w:val="single" w:sz="8" w:color="003B71"/>
            </w:tcBorders>
          </w:tcPr>
          <w:p>
            <w:pPr>
              <w:spacing w:after="0"/>
              <w:rPr>
                <w:sz w:val="13"/>
                <w:szCs w:val="13"/>
                <w:color w:val="auto"/>
              </w:rPr>
            </w:pPr>
          </w:p>
        </w:tc>
        <w:tc>
          <w:tcPr>
            <w:tcW w:w="940" w:type="dxa"/>
            <w:vAlign w:val="bottom"/>
            <w:tcBorders>
              <w:top w:val="single" w:sz="8" w:color="003B71"/>
            </w:tcBorders>
          </w:tcPr>
          <w:p>
            <w:pPr>
              <w:jc w:val="center"/>
              <w:ind w:right="126"/>
              <w:spacing w:after="0"/>
              <w:rPr>
                <w:sz w:val="20"/>
                <w:szCs w:val="20"/>
                <w:color w:val="auto"/>
              </w:rPr>
            </w:pPr>
            <w:r>
              <w:rPr>
                <w:rFonts w:ascii="Arial" w:cs="Arial" w:eastAsia="Arial" w:hAnsi="Arial"/>
                <w:sz w:val="11"/>
                <w:szCs w:val="11"/>
                <w:b w:val="1"/>
                <w:bCs w:val="1"/>
                <w:color w:val="auto"/>
                <w:w w:val="88"/>
              </w:rPr>
              <w:t>(1)</w:t>
            </w:r>
          </w:p>
        </w:tc>
        <w:tc>
          <w:tcPr>
            <w:tcW w:w="740" w:type="dxa"/>
            <w:vAlign w:val="bottom"/>
            <w:tcBorders>
              <w:top w:val="single" w:sz="8" w:color="003B71"/>
            </w:tcBorders>
          </w:tcPr>
          <w:p>
            <w:pPr>
              <w:spacing w:after="0"/>
              <w:rPr>
                <w:sz w:val="13"/>
                <w:szCs w:val="13"/>
                <w:color w:val="auto"/>
              </w:rPr>
            </w:pPr>
          </w:p>
        </w:tc>
        <w:tc>
          <w:tcPr>
            <w:tcW w:w="400" w:type="dxa"/>
            <w:vAlign w:val="bottom"/>
            <w:tcBorders>
              <w:top w:val="single" w:sz="8" w:color="003B71"/>
            </w:tcBorders>
          </w:tcPr>
          <w:p>
            <w:pPr>
              <w:spacing w:after="0"/>
              <w:rPr>
                <w:sz w:val="13"/>
                <w:szCs w:val="13"/>
                <w:color w:val="auto"/>
              </w:rPr>
            </w:pPr>
          </w:p>
        </w:tc>
        <w:tc>
          <w:tcPr>
            <w:tcW w:w="1040" w:type="dxa"/>
            <w:vAlign w:val="bottom"/>
            <w:tcBorders>
              <w:top w:val="single" w:sz="8" w:color="003B71"/>
            </w:tcBorders>
          </w:tcPr>
          <w:p>
            <w:pPr>
              <w:jc w:val="center"/>
              <w:ind w:left="6"/>
              <w:spacing w:after="0"/>
              <w:rPr>
                <w:sz w:val="20"/>
                <w:szCs w:val="20"/>
                <w:color w:val="auto"/>
              </w:rPr>
            </w:pPr>
            <w:r>
              <w:rPr>
                <w:rFonts w:ascii="Arial" w:cs="Arial" w:eastAsia="Arial" w:hAnsi="Arial"/>
                <w:sz w:val="11"/>
                <w:szCs w:val="11"/>
                <w:b w:val="1"/>
                <w:bCs w:val="1"/>
                <w:color w:val="auto"/>
              </w:rPr>
              <w:t>(2)</w:t>
            </w:r>
          </w:p>
        </w:tc>
      </w:tr>
      <w:tr>
        <w:trPr>
          <w:trHeight w:val="27"/>
        </w:trPr>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5"/>
        </w:trPr>
        <w:tc>
          <w:tcPr>
            <w:tcW w:w="1360" w:type="dxa"/>
            <w:vAlign w:val="bottom"/>
            <w:shd w:val="clear" w:color="auto" w:fill="DBDBDB"/>
          </w:tcPr>
          <w:p>
            <w:pPr>
              <w:ind w:left="20"/>
              <w:spacing w:after="0"/>
              <w:rPr>
                <w:sz w:val="20"/>
                <w:szCs w:val="20"/>
                <w:color w:val="auto"/>
              </w:rPr>
            </w:pPr>
            <w:r>
              <w:rPr>
                <w:rFonts w:ascii="Arial" w:cs="Arial" w:eastAsia="Arial" w:hAnsi="Arial"/>
                <w:sz w:val="11"/>
                <w:szCs w:val="11"/>
                <w:color w:val="auto"/>
              </w:rPr>
              <w:t>Tarun Lal</w:t>
            </w: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7/15/2025</w:t>
            </w:r>
          </w:p>
        </w:tc>
        <w:tc>
          <w:tcPr>
            <w:tcW w:w="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460" w:type="dxa"/>
            <w:vAlign w:val="bottom"/>
            <w:shd w:val="clear" w:color="auto" w:fill="DBDBDB"/>
          </w:tcPr>
          <w:p>
            <w:pPr>
              <w:spacing w:after="0"/>
              <w:rPr>
                <w:sz w:val="13"/>
                <w:szCs w:val="13"/>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124,766</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(3)</w:t>
            </w:r>
          </w:p>
        </w:tc>
        <w:tc>
          <w:tcPr>
            <w:tcW w:w="78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32.06</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7/15/2035</w:t>
            </w: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124,766</w:t>
            </w:r>
          </w:p>
        </w:tc>
        <w:tc>
          <w:tcPr>
            <w:tcW w:w="400" w:type="dxa"/>
            <w:vAlign w:val="bottom"/>
            <w:shd w:val="clear" w:color="auto" w:fill="DBDBDB"/>
          </w:tcPr>
          <w:p>
            <w:pPr>
              <w:spacing w:after="0"/>
              <w:rPr>
                <w:sz w:val="20"/>
                <w:szCs w:val="20"/>
                <w:color w:val="auto"/>
              </w:rPr>
            </w:pPr>
            <w:r>
              <w:rPr>
                <w:rFonts w:ascii="Arial" w:cs="Arial" w:eastAsia="Arial" w:hAnsi="Arial"/>
                <w:sz w:val="11"/>
                <w:szCs w:val="11"/>
                <w:color w:val="auto"/>
              </w:rPr>
              <w:t>(7)</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2,424,203</w:t>
            </w: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7/15/2025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124,766</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(4)</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32.06</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7/15/2035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124,766</w:t>
            </w:r>
          </w:p>
        </w:tc>
        <w:tc>
          <w:tcPr>
            <w:tcW w:w="400" w:type="dxa"/>
            <w:vAlign w:val="bottom"/>
            <w:shd w:val="clear" w:color="auto" w:fill="DBDBDB"/>
          </w:tcPr>
          <w:p>
            <w:pPr>
              <w:spacing w:after="0"/>
              <w:rPr>
                <w:sz w:val="20"/>
                <w:szCs w:val="20"/>
                <w:color w:val="auto"/>
              </w:rPr>
            </w:pPr>
            <w:r>
              <w:rPr>
                <w:rFonts w:ascii="Arial" w:cs="Arial" w:eastAsia="Arial" w:hAnsi="Arial"/>
                <w:sz w:val="11"/>
                <w:szCs w:val="11"/>
                <w:color w:val="auto"/>
              </w:rPr>
              <w:t>(8)</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2,424,203</w:t>
            </w: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7/15/2025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83,177</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(5)</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48.09</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7/15/2035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r>
      <w:tr>
        <w:trPr>
          <w:trHeight w:val="201"/>
        </w:trPr>
        <w:tc>
          <w:tcPr>
            <w:tcW w:w="136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7/15/2025</w:t>
            </w:r>
          </w:p>
        </w:tc>
        <w:tc>
          <w:tcPr>
            <w:tcW w:w="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31,191</w:t>
            </w:r>
          </w:p>
        </w:tc>
        <w:tc>
          <w:tcPr>
            <w:tcW w:w="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(6)</w:t>
            </w:r>
          </w:p>
        </w:tc>
        <w:tc>
          <w:tcPr>
            <w:tcW w:w="7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32.06</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7/15/2035</w:t>
            </w:r>
          </w:p>
        </w:tc>
        <w:tc>
          <w:tcPr>
            <w:tcW w:w="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spacing w:after="0"/>
              <w:rPr>
                <w:sz w:val="17"/>
                <w:szCs w:val="17"/>
                <w:color w:val="auto"/>
              </w:rPr>
            </w:pPr>
          </w:p>
        </w:tc>
      </w:tr>
      <w:tr>
        <w:trPr>
          <w:trHeight w:val="155"/>
        </w:trPr>
        <w:tc>
          <w:tcPr>
            <w:tcW w:w="1360" w:type="dxa"/>
            <w:vAlign w:val="bottom"/>
          </w:tcPr>
          <w:p>
            <w:pPr>
              <w:ind w:left="20"/>
              <w:spacing w:after="0"/>
              <w:rPr>
                <w:sz w:val="20"/>
                <w:szCs w:val="20"/>
                <w:color w:val="auto"/>
              </w:rPr>
            </w:pPr>
            <w:r>
              <w:rPr>
                <w:rFonts w:ascii="Arial" w:cs="Arial" w:eastAsia="Arial" w:hAnsi="Arial"/>
                <w:sz w:val="11"/>
                <w:szCs w:val="11"/>
                <w:color w:val="auto"/>
              </w:rPr>
              <w:t>Kevin M. Sheehan</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4/7/2016</w:t>
            </w:r>
          </w:p>
        </w:tc>
        <w:tc>
          <w:tcPr>
            <w:tcW w:w="840" w:type="dxa"/>
            <w:vAlign w:val="bottom"/>
            <w:gridSpan w:val="2"/>
          </w:tcPr>
          <w:p>
            <w:pPr>
              <w:jc w:val="right"/>
              <w:ind w:right="6"/>
              <w:spacing w:after="0"/>
              <w:rPr>
                <w:sz w:val="20"/>
                <w:szCs w:val="20"/>
                <w:color w:val="auto"/>
              </w:rPr>
            </w:pPr>
            <w:r>
              <w:rPr>
                <w:rFonts w:ascii="Arial" w:cs="Arial" w:eastAsia="Arial" w:hAnsi="Arial"/>
                <w:sz w:val="11"/>
                <w:szCs w:val="11"/>
                <w:color w:val="auto"/>
              </w:rPr>
              <w:t>4,545</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39.10</w:t>
            </w:r>
          </w:p>
        </w:tc>
        <w:tc>
          <w:tcPr>
            <w:tcW w:w="760" w:type="dxa"/>
            <w:vAlign w:val="bottom"/>
          </w:tcPr>
          <w:p>
            <w:pPr>
              <w:jc w:val="right"/>
              <w:spacing w:after="0"/>
              <w:rPr>
                <w:sz w:val="20"/>
                <w:szCs w:val="20"/>
                <w:color w:val="auto"/>
              </w:rPr>
            </w:pPr>
            <w:r>
              <w:rPr>
                <w:rFonts w:ascii="Arial" w:cs="Arial" w:eastAsia="Arial" w:hAnsi="Arial"/>
                <w:sz w:val="11"/>
                <w:szCs w:val="11"/>
                <w:color w:val="auto"/>
              </w:rPr>
              <w:t>4/7/2026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6/18/2025</w:t>
            </w:r>
          </w:p>
        </w:tc>
        <w:tc>
          <w:tcPr>
            <w:tcW w:w="840" w:type="dxa"/>
            <w:vAlign w:val="bottom"/>
            <w:gridSpan w:val="2"/>
          </w:tcPr>
          <w:p>
            <w:pPr>
              <w:jc w:val="right"/>
              <w:ind w:right="6"/>
              <w:spacing w:after="0"/>
              <w:rPr>
                <w:sz w:val="20"/>
                <w:szCs w:val="20"/>
                <w:color w:val="auto"/>
              </w:rPr>
            </w:pPr>
            <w:r>
              <w:rPr>
                <w:rFonts w:ascii="Arial" w:cs="Arial" w:eastAsia="Arial" w:hAnsi="Arial"/>
                <w:sz w:val="11"/>
                <w:szCs w:val="11"/>
                <w:color w:val="auto"/>
              </w:rPr>
              <w:t>100,000</w:t>
            </w:r>
          </w:p>
        </w:tc>
        <w:tc>
          <w:tcPr>
            <w:tcW w:w="460" w:type="dxa"/>
            <w:vAlign w:val="bottom"/>
          </w:tcPr>
          <w:p>
            <w:pPr>
              <w:ind w:left="20"/>
              <w:spacing w:after="0"/>
              <w:rPr>
                <w:sz w:val="20"/>
                <w:szCs w:val="20"/>
                <w:color w:val="auto"/>
              </w:rPr>
            </w:pPr>
            <w:r>
              <w:rPr>
                <w:rFonts w:ascii="Arial" w:cs="Arial" w:eastAsia="Arial" w:hAnsi="Arial"/>
                <w:sz w:val="11"/>
                <w:szCs w:val="11"/>
                <w:color w:val="auto"/>
              </w:rPr>
              <w:t>(9)</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18.72</w:t>
            </w:r>
          </w:p>
        </w:tc>
        <w:tc>
          <w:tcPr>
            <w:tcW w:w="760" w:type="dxa"/>
            <w:vAlign w:val="bottom"/>
          </w:tcPr>
          <w:p>
            <w:pPr>
              <w:jc w:val="right"/>
              <w:spacing w:after="0"/>
              <w:rPr>
                <w:sz w:val="20"/>
                <w:szCs w:val="20"/>
                <w:color w:val="auto"/>
              </w:rPr>
            </w:pPr>
            <w:r>
              <w:rPr>
                <w:rFonts w:ascii="Arial" w:cs="Arial" w:eastAsia="Arial" w:hAnsi="Arial"/>
                <w:sz w:val="11"/>
                <w:szCs w:val="11"/>
                <w:color w:val="auto"/>
              </w:rPr>
              <w:t>5/1/2027</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53,419</w:t>
            </w:r>
          </w:p>
        </w:tc>
        <w:tc>
          <w:tcPr>
            <w:tcW w:w="400" w:type="dxa"/>
            <w:vAlign w:val="bottom"/>
          </w:tcPr>
          <w:p>
            <w:pPr>
              <w:spacing w:after="0"/>
              <w:rPr>
                <w:sz w:val="20"/>
                <w:szCs w:val="20"/>
                <w:color w:val="auto"/>
              </w:rPr>
            </w:pPr>
            <w:r>
              <w:rPr>
                <w:rFonts w:ascii="Arial" w:cs="Arial" w:eastAsia="Arial" w:hAnsi="Arial"/>
                <w:sz w:val="11"/>
                <w:szCs w:val="11"/>
                <w:color w:val="auto"/>
              </w:rPr>
              <w:t>(10)</w:t>
            </w:r>
          </w:p>
        </w:tc>
        <w:tc>
          <w:tcPr>
            <w:tcW w:w="1040" w:type="dxa"/>
            <w:vAlign w:val="bottom"/>
          </w:tcPr>
          <w:p>
            <w:pPr>
              <w:jc w:val="right"/>
              <w:spacing w:after="0"/>
              <w:rPr>
                <w:sz w:val="20"/>
                <w:szCs w:val="20"/>
                <w:color w:val="auto"/>
              </w:rPr>
            </w:pPr>
            <w:r>
              <w:rPr>
                <w:rFonts w:ascii="Arial" w:cs="Arial" w:eastAsia="Arial" w:hAnsi="Arial"/>
                <w:sz w:val="11"/>
                <w:szCs w:val="11"/>
                <w:color w:val="auto"/>
              </w:rPr>
              <w:t>1,037,931</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8"/>
              </w:rPr>
              <w:t>10/20/2025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7,690</w:t>
            </w:r>
          </w:p>
        </w:tc>
        <w:tc>
          <w:tcPr>
            <w:tcW w:w="300" w:type="dxa"/>
            <w:vAlign w:val="bottom"/>
          </w:tcPr>
          <w:p>
            <w:pPr>
              <w:ind w:left="20"/>
              <w:spacing w:after="0"/>
              <w:rPr>
                <w:sz w:val="20"/>
                <w:szCs w:val="20"/>
                <w:color w:val="auto"/>
              </w:rPr>
            </w:pPr>
            <w:r>
              <w:rPr>
                <w:rFonts w:ascii="Arial" w:cs="Arial" w:eastAsia="Arial" w:hAnsi="Arial"/>
                <w:sz w:val="11"/>
                <w:szCs w:val="11"/>
                <w:color w:val="auto"/>
              </w:rPr>
              <w:t>(11)</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149,417</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1/27/2026</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712</w:t>
            </w:r>
          </w:p>
        </w:tc>
        <w:tc>
          <w:tcPr>
            <w:tcW w:w="300" w:type="dxa"/>
            <w:vAlign w:val="bottom"/>
          </w:tcPr>
          <w:p>
            <w:pPr>
              <w:ind w:left="20"/>
              <w:spacing w:after="0"/>
              <w:rPr>
                <w:sz w:val="20"/>
                <w:szCs w:val="20"/>
                <w:color w:val="auto"/>
              </w:rPr>
            </w:pPr>
            <w:r>
              <w:rPr>
                <w:rFonts w:ascii="Arial" w:cs="Arial" w:eastAsia="Arial" w:hAnsi="Arial"/>
                <w:sz w:val="11"/>
                <w:szCs w:val="11"/>
                <w:color w:val="auto"/>
              </w:rPr>
              <w:t>(11)</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13,834</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3"/>
        </w:trPr>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5"/>
        </w:trPr>
        <w:tc>
          <w:tcPr>
            <w:tcW w:w="1360" w:type="dxa"/>
            <w:vAlign w:val="bottom"/>
            <w:shd w:val="clear" w:color="auto" w:fill="DBDBDB"/>
          </w:tcPr>
          <w:p>
            <w:pPr>
              <w:ind w:left="20"/>
              <w:spacing w:after="0"/>
              <w:rPr>
                <w:sz w:val="20"/>
                <w:szCs w:val="20"/>
                <w:color w:val="auto"/>
              </w:rPr>
            </w:pPr>
            <w:r>
              <w:rPr>
                <w:rFonts w:ascii="Arial" w:cs="Arial" w:eastAsia="Arial" w:hAnsi="Arial"/>
                <w:sz w:val="11"/>
                <w:szCs w:val="11"/>
                <w:color w:val="auto"/>
              </w:rPr>
              <w:t>Darin Harper</w:t>
            </w: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6/24/2024</w:t>
            </w:r>
          </w:p>
        </w:tc>
        <w:tc>
          <w:tcPr>
            <w:tcW w:w="840" w:type="dxa"/>
            <w:vAlign w:val="bottom"/>
            <w:gridSpan w:val="2"/>
            <w:shd w:val="clear" w:color="auto" w:fill="DBDBDB"/>
          </w:tcPr>
          <w:p>
            <w:pPr>
              <w:jc w:val="right"/>
              <w:ind w:right="6"/>
              <w:spacing w:after="0"/>
              <w:rPr>
                <w:sz w:val="20"/>
                <w:szCs w:val="20"/>
                <w:color w:val="auto"/>
              </w:rPr>
            </w:pPr>
            <w:r>
              <w:rPr>
                <w:rFonts w:ascii="Arial" w:cs="Arial" w:eastAsia="Arial" w:hAnsi="Arial"/>
                <w:sz w:val="11"/>
                <w:szCs w:val="11"/>
                <w:color w:val="auto"/>
              </w:rPr>
              <w:t>2,405</w:t>
            </w:r>
          </w:p>
        </w:tc>
        <w:tc>
          <w:tcPr>
            <w:tcW w:w="460" w:type="dxa"/>
            <w:vAlign w:val="bottom"/>
            <w:shd w:val="clear" w:color="auto" w:fill="DBDBDB"/>
          </w:tcPr>
          <w:p>
            <w:pPr>
              <w:ind w:left="20"/>
              <w:spacing w:after="0"/>
              <w:rPr>
                <w:sz w:val="20"/>
                <w:szCs w:val="20"/>
                <w:color w:val="auto"/>
              </w:rPr>
            </w:pPr>
            <w:r>
              <w:rPr>
                <w:rFonts w:ascii="Arial" w:cs="Arial" w:eastAsia="Arial" w:hAnsi="Arial"/>
                <w:sz w:val="11"/>
                <w:szCs w:val="11"/>
                <w:color w:val="auto"/>
              </w:rPr>
              <w:t>(19)a</w:t>
            </w: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9,623</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(19)a</w:t>
            </w:r>
          </w:p>
        </w:tc>
        <w:tc>
          <w:tcPr>
            <w:tcW w:w="78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48.88</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6/24/2034</w:t>
            </w: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16,591</w:t>
            </w:r>
          </w:p>
        </w:tc>
        <w:tc>
          <w:tcPr>
            <w:tcW w:w="300" w:type="dxa"/>
            <w:vAlign w:val="bottom"/>
            <w:shd w:val="clear" w:color="auto" w:fill="DBDBDB"/>
          </w:tcPr>
          <w:p>
            <w:pPr>
              <w:ind w:left="20"/>
              <w:spacing w:after="0"/>
              <w:rPr>
                <w:sz w:val="20"/>
                <w:szCs w:val="20"/>
                <w:color w:val="auto"/>
              </w:rPr>
            </w:pPr>
            <w:r>
              <w:rPr>
                <w:rFonts w:ascii="Arial" w:cs="Arial" w:eastAsia="Arial" w:hAnsi="Arial"/>
                <w:sz w:val="11"/>
                <w:szCs w:val="11"/>
                <w:color w:val="auto"/>
              </w:rPr>
              <w:t>(23)</w:t>
            </w:r>
          </w:p>
        </w:tc>
        <w:tc>
          <w:tcPr>
            <w:tcW w:w="260" w:type="dxa"/>
            <w:vAlign w:val="bottom"/>
            <w:shd w:val="clear" w:color="auto" w:fill="DBDBDB"/>
          </w:tcPr>
          <w:p>
            <w:pPr>
              <w:spacing w:after="0"/>
              <w:rPr>
                <w:sz w:val="13"/>
                <w:szCs w:val="13"/>
                <w:color w:val="auto"/>
              </w:rPr>
            </w:pPr>
          </w:p>
        </w:tc>
        <w:tc>
          <w:tcPr>
            <w:tcW w:w="9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322,363</w:t>
            </w:r>
          </w:p>
        </w:tc>
        <w:tc>
          <w:tcPr>
            <w:tcW w:w="7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6/24/2024</w:t>
            </w:r>
          </w:p>
        </w:tc>
        <w:tc>
          <w:tcPr>
            <w:tcW w:w="840" w:type="dxa"/>
            <w:vAlign w:val="bottom"/>
            <w:gridSpan w:val="2"/>
            <w:shd w:val="clear" w:color="auto" w:fill="DBDBDB"/>
          </w:tcPr>
          <w:p>
            <w:pPr>
              <w:jc w:val="right"/>
              <w:ind w:right="6"/>
              <w:spacing w:after="0"/>
              <w:rPr>
                <w:sz w:val="20"/>
                <w:szCs w:val="20"/>
                <w:color w:val="auto"/>
              </w:rPr>
            </w:pPr>
            <w:r>
              <w:rPr>
                <w:rFonts w:ascii="Arial" w:cs="Arial" w:eastAsia="Arial" w:hAnsi="Arial"/>
                <w:sz w:val="11"/>
                <w:szCs w:val="11"/>
                <w:color w:val="auto"/>
              </w:rPr>
              <w:t>1,742</w:t>
            </w:r>
          </w:p>
        </w:tc>
        <w:tc>
          <w:tcPr>
            <w:tcW w:w="460" w:type="dxa"/>
            <w:vAlign w:val="bottom"/>
            <w:shd w:val="clear" w:color="auto" w:fill="DBDBDB"/>
          </w:tcPr>
          <w:p>
            <w:pPr>
              <w:ind w:left="20"/>
              <w:spacing w:after="0"/>
              <w:rPr>
                <w:sz w:val="20"/>
                <w:szCs w:val="20"/>
                <w:color w:val="auto"/>
              </w:rPr>
            </w:pPr>
            <w:r>
              <w:rPr>
                <w:rFonts w:ascii="Arial" w:cs="Arial" w:eastAsia="Arial" w:hAnsi="Arial"/>
                <w:sz w:val="11"/>
                <w:szCs w:val="11"/>
                <w:color w:val="auto"/>
              </w:rPr>
              <w:t>(19)a</w:t>
            </w: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6,968</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(19)a</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48.22</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6/24/2034</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1,096</w:t>
            </w:r>
          </w:p>
        </w:tc>
        <w:tc>
          <w:tcPr>
            <w:tcW w:w="300" w:type="dxa"/>
            <w:vAlign w:val="bottom"/>
            <w:shd w:val="clear" w:color="auto" w:fill="DBDBDB"/>
          </w:tcPr>
          <w:p>
            <w:pPr>
              <w:ind w:left="20"/>
              <w:spacing w:after="0"/>
              <w:rPr>
                <w:sz w:val="20"/>
                <w:szCs w:val="20"/>
                <w:color w:val="auto"/>
              </w:rPr>
            </w:pPr>
            <w:r>
              <w:rPr>
                <w:rFonts w:ascii="Arial" w:cs="Arial" w:eastAsia="Arial" w:hAnsi="Arial"/>
                <w:sz w:val="11"/>
                <w:szCs w:val="11"/>
                <w:color w:val="auto"/>
              </w:rPr>
              <w:t>(22)</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21,295</w:t>
            </w:r>
          </w:p>
        </w:tc>
        <w:tc>
          <w:tcPr>
            <w:tcW w:w="7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6/24/2024</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845</w:t>
            </w:r>
          </w:p>
        </w:tc>
        <w:tc>
          <w:tcPr>
            <w:tcW w:w="460" w:type="dxa"/>
            <w:vAlign w:val="bottom"/>
            <w:shd w:val="clear" w:color="auto" w:fill="DBDBDB"/>
          </w:tcPr>
          <w:p>
            <w:pPr>
              <w:ind w:left="20"/>
              <w:spacing w:after="0"/>
              <w:rPr>
                <w:sz w:val="20"/>
                <w:szCs w:val="20"/>
                <w:color w:val="auto"/>
              </w:rPr>
            </w:pPr>
            <w:r>
              <w:rPr>
                <w:rFonts w:ascii="Arial" w:cs="Arial" w:eastAsia="Arial" w:hAnsi="Arial"/>
                <w:sz w:val="11"/>
                <w:szCs w:val="11"/>
                <w:color w:val="auto"/>
              </w:rPr>
              <w:t>(19)b</w:t>
            </w: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1,690</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(19)b</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35.58</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6/24/2034</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6/18/2025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9,085</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(12)</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33.02</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6/18/2035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17,335</w:t>
            </w:r>
          </w:p>
        </w:tc>
        <w:tc>
          <w:tcPr>
            <w:tcW w:w="300" w:type="dxa"/>
            <w:vAlign w:val="bottom"/>
            <w:shd w:val="clear" w:color="auto" w:fill="DBDBDB"/>
          </w:tcPr>
          <w:p>
            <w:pPr>
              <w:ind w:left="20"/>
              <w:spacing w:after="0"/>
              <w:rPr>
                <w:sz w:val="20"/>
                <w:szCs w:val="20"/>
                <w:color w:val="auto"/>
              </w:rPr>
            </w:pPr>
            <w:r>
              <w:rPr>
                <w:rFonts w:ascii="Arial" w:cs="Arial" w:eastAsia="Arial" w:hAnsi="Arial"/>
                <w:sz w:val="11"/>
                <w:szCs w:val="11"/>
                <w:color w:val="auto"/>
              </w:rPr>
              <w:t>(12)</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336,819</w:t>
            </w:r>
          </w:p>
        </w:tc>
        <w:tc>
          <w:tcPr>
            <w:tcW w:w="7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6/27/2025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3,014</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(13)</w:t>
            </w:r>
          </w:p>
        </w:tc>
        <w:tc>
          <w:tcPr>
            <w:tcW w:w="78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30.45</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6/27/2025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3,014</w:t>
            </w:r>
          </w:p>
        </w:tc>
        <w:tc>
          <w:tcPr>
            <w:tcW w:w="300" w:type="dxa"/>
            <w:vAlign w:val="bottom"/>
            <w:shd w:val="clear" w:color="auto" w:fill="DBDBDB"/>
          </w:tcPr>
          <w:p>
            <w:pPr>
              <w:ind w:left="20"/>
              <w:spacing w:after="0"/>
              <w:rPr>
                <w:sz w:val="20"/>
                <w:szCs w:val="20"/>
                <w:color w:val="auto"/>
              </w:rPr>
            </w:pPr>
            <w:r>
              <w:rPr>
                <w:rFonts w:ascii="Arial" w:cs="Arial" w:eastAsia="Arial" w:hAnsi="Arial"/>
                <w:sz w:val="11"/>
                <w:szCs w:val="11"/>
                <w:color w:val="auto"/>
              </w:rPr>
              <w:t>(14)</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58,562</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3,014</w:t>
            </w:r>
          </w:p>
        </w:tc>
        <w:tc>
          <w:tcPr>
            <w:tcW w:w="400" w:type="dxa"/>
            <w:vAlign w:val="bottom"/>
            <w:shd w:val="clear" w:color="auto" w:fill="DBDBDB"/>
          </w:tcPr>
          <w:p>
            <w:pPr>
              <w:spacing w:after="0"/>
              <w:rPr>
                <w:sz w:val="20"/>
                <w:szCs w:val="20"/>
                <w:color w:val="auto"/>
              </w:rPr>
            </w:pPr>
            <w:r>
              <w:rPr>
                <w:rFonts w:ascii="Arial" w:cs="Arial" w:eastAsia="Arial" w:hAnsi="Arial"/>
                <w:sz w:val="11"/>
                <w:szCs w:val="11"/>
                <w:color w:val="auto"/>
              </w:rPr>
              <w:t>(15)</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58,562</w:t>
            </w: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60,327</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(4)</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22.70</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22,026</w:t>
            </w:r>
          </w:p>
        </w:tc>
        <w:tc>
          <w:tcPr>
            <w:tcW w:w="300" w:type="dxa"/>
            <w:vAlign w:val="bottom"/>
            <w:shd w:val="clear" w:color="auto" w:fill="DBDBDB"/>
          </w:tcPr>
          <w:p>
            <w:pPr>
              <w:ind w:left="20"/>
              <w:spacing w:after="0"/>
              <w:rPr>
                <w:sz w:val="20"/>
                <w:szCs w:val="20"/>
                <w:color w:val="auto"/>
              </w:rPr>
            </w:pPr>
            <w:r>
              <w:rPr>
                <w:rFonts w:ascii="Arial" w:cs="Arial" w:eastAsia="Arial" w:hAnsi="Arial"/>
                <w:sz w:val="11"/>
                <w:szCs w:val="11"/>
                <w:color w:val="auto"/>
              </w:rPr>
              <w:t>(16)</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427,965</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11,013</w:t>
            </w:r>
          </w:p>
        </w:tc>
        <w:tc>
          <w:tcPr>
            <w:tcW w:w="400" w:type="dxa"/>
            <w:vAlign w:val="bottom"/>
            <w:shd w:val="clear" w:color="auto" w:fill="DBDBDB"/>
          </w:tcPr>
          <w:p>
            <w:pPr>
              <w:spacing w:after="0"/>
              <w:rPr>
                <w:sz w:val="20"/>
                <w:szCs w:val="20"/>
                <w:color w:val="auto"/>
              </w:rPr>
            </w:pPr>
            <w:r>
              <w:rPr>
                <w:rFonts w:ascii="Arial" w:cs="Arial" w:eastAsia="Arial" w:hAnsi="Arial"/>
                <w:sz w:val="11"/>
                <w:szCs w:val="11"/>
                <w:color w:val="auto"/>
              </w:rPr>
              <w:t>(7)</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213,983</w:t>
            </w: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47,934</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(5)</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34.05</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11,013</w:t>
            </w:r>
          </w:p>
        </w:tc>
        <w:tc>
          <w:tcPr>
            <w:tcW w:w="400" w:type="dxa"/>
            <w:vAlign w:val="bottom"/>
            <w:shd w:val="clear" w:color="auto" w:fill="DBDBDB"/>
          </w:tcPr>
          <w:p>
            <w:pPr>
              <w:spacing w:after="0"/>
              <w:rPr>
                <w:sz w:val="20"/>
                <w:szCs w:val="20"/>
                <w:color w:val="auto"/>
              </w:rPr>
            </w:pPr>
            <w:r>
              <w:rPr>
                <w:rFonts w:ascii="Arial" w:cs="Arial" w:eastAsia="Arial" w:hAnsi="Arial"/>
                <w:sz w:val="11"/>
                <w:szCs w:val="11"/>
                <w:color w:val="auto"/>
              </w:rPr>
              <w:t>(8)</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213,983</w:t>
            </w:r>
          </w:p>
        </w:tc>
      </w:tr>
      <w:tr>
        <w:trPr>
          <w:trHeight w:val="201"/>
        </w:trPr>
        <w:tc>
          <w:tcPr>
            <w:tcW w:w="136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22,026</w:t>
            </w:r>
          </w:p>
        </w:tc>
        <w:tc>
          <w:tcPr>
            <w:tcW w:w="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(3)</w:t>
            </w:r>
          </w:p>
        </w:tc>
        <w:tc>
          <w:tcPr>
            <w:tcW w:w="7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22.70</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spacing w:after="0"/>
              <w:rPr>
                <w:sz w:val="17"/>
                <w:szCs w:val="17"/>
                <w:color w:val="auto"/>
              </w:rPr>
            </w:pPr>
          </w:p>
        </w:tc>
      </w:tr>
      <w:tr>
        <w:trPr>
          <w:trHeight w:val="155"/>
        </w:trPr>
        <w:tc>
          <w:tcPr>
            <w:tcW w:w="1360" w:type="dxa"/>
            <w:vAlign w:val="bottom"/>
          </w:tcPr>
          <w:p>
            <w:pPr>
              <w:ind w:left="20"/>
              <w:spacing w:after="0"/>
              <w:rPr>
                <w:sz w:val="20"/>
                <w:szCs w:val="20"/>
                <w:color w:val="auto"/>
              </w:rPr>
            </w:pPr>
            <w:r>
              <w:rPr>
                <w:rFonts w:ascii="Arial" w:cs="Arial" w:eastAsia="Arial" w:hAnsi="Arial"/>
                <w:sz w:val="11"/>
                <w:szCs w:val="11"/>
                <w:color w:val="auto"/>
              </w:rPr>
              <w:t>Antonio Bautista</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4/18/2022</w:t>
            </w:r>
          </w:p>
        </w:tc>
        <w:tc>
          <w:tcPr>
            <w:tcW w:w="840" w:type="dxa"/>
            <w:vAlign w:val="bottom"/>
            <w:gridSpan w:val="2"/>
          </w:tcPr>
          <w:p>
            <w:pPr>
              <w:jc w:val="right"/>
              <w:ind w:right="6"/>
              <w:spacing w:after="0"/>
              <w:rPr>
                <w:sz w:val="20"/>
                <w:szCs w:val="20"/>
                <w:color w:val="auto"/>
              </w:rPr>
            </w:pPr>
            <w:r>
              <w:rPr>
                <w:rFonts w:ascii="Arial" w:cs="Arial" w:eastAsia="Arial" w:hAnsi="Arial"/>
                <w:sz w:val="11"/>
                <w:szCs w:val="11"/>
                <w:color w:val="auto"/>
              </w:rPr>
              <w:t>3,197</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47.71</w:t>
            </w:r>
          </w:p>
        </w:tc>
        <w:tc>
          <w:tcPr>
            <w:tcW w:w="760" w:type="dxa"/>
            <w:vAlign w:val="bottom"/>
          </w:tcPr>
          <w:p>
            <w:pPr>
              <w:jc w:val="right"/>
              <w:spacing w:after="0"/>
              <w:rPr>
                <w:sz w:val="20"/>
                <w:szCs w:val="20"/>
                <w:color w:val="auto"/>
              </w:rPr>
            </w:pPr>
            <w:r>
              <w:rPr>
                <w:rFonts w:ascii="Arial" w:cs="Arial" w:eastAsia="Arial" w:hAnsi="Arial"/>
                <w:sz w:val="11"/>
                <w:szCs w:val="11"/>
                <w:color w:val="auto"/>
              </w:rPr>
              <w:t>4/18/2032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10/7/2022</w:t>
            </w:r>
          </w:p>
        </w:tc>
        <w:tc>
          <w:tcPr>
            <w:tcW w:w="840" w:type="dxa"/>
            <w:vAlign w:val="bottom"/>
            <w:gridSpan w:val="2"/>
          </w:tcPr>
          <w:p>
            <w:pPr>
              <w:jc w:val="right"/>
              <w:ind w:right="6"/>
              <w:spacing w:after="0"/>
              <w:rPr>
                <w:sz w:val="20"/>
                <w:szCs w:val="20"/>
                <w:color w:val="auto"/>
              </w:rPr>
            </w:pPr>
            <w:r>
              <w:rPr>
                <w:rFonts w:ascii="Arial" w:cs="Arial" w:eastAsia="Arial" w:hAnsi="Arial"/>
                <w:sz w:val="11"/>
                <w:szCs w:val="11"/>
                <w:color w:val="auto"/>
              </w:rPr>
              <w:t>2,160</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3,239</w:t>
            </w:r>
          </w:p>
        </w:tc>
        <w:tc>
          <w:tcPr>
            <w:tcW w:w="540" w:type="dxa"/>
            <w:vAlign w:val="bottom"/>
          </w:tcPr>
          <w:p>
            <w:pPr>
              <w:ind w:left="20"/>
              <w:spacing w:after="0"/>
              <w:rPr>
                <w:sz w:val="20"/>
                <w:szCs w:val="20"/>
                <w:color w:val="auto"/>
              </w:rPr>
            </w:pPr>
            <w:r>
              <w:rPr>
                <w:rFonts w:ascii="Arial" w:cs="Arial" w:eastAsia="Arial" w:hAnsi="Arial"/>
                <w:sz w:val="11"/>
                <w:szCs w:val="11"/>
                <w:color w:val="auto"/>
              </w:rPr>
              <w:t>(19)c</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37.04</w:t>
            </w:r>
          </w:p>
        </w:tc>
        <w:tc>
          <w:tcPr>
            <w:tcW w:w="760" w:type="dxa"/>
            <w:vAlign w:val="bottom"/>
          </w:tcPr>
          <w:p>
            <w:pPr>
              <w:jc w:val="right"/>
              <w:spacing w:after="0"/>
              <w:rPr>
                <w:sz w:val="20"/>
                <w:szCs w:val="20"/>
                <w:color w:val="auto"/>
              </w:rPr>
            </w:pPr>
            <w:r>
              <w:rPr>
                <w:rFonts w:ascii="Arial" w:cs="Arial" w:eastAsia="Arial" w:hAnsi="Arial"/>
                <w:sz w:val="11"/>
                <w:szCs w:val="11"/>
                <w:color w:val="auto"/>
              </w:rPr>
              <w:t>10/7/2032</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5,993</w:t>
            </w:r>
          </w:p>
        </w:tc>
        <w:tc>
          <w:tcPr>
            <w:tcW w:w="300" w:type="dxa"/>
            <w:vAlign w:val="bottom"/>
          </w:tcPr>
          <w:p>
            <w:pPr>
              <w:ind w:left="20"/>
              <w:spacing w:after="0"/>
              <w:rPr>
                <w:sz w:val="20"/>
                <w:szCs w:val="20"/>
                <w:color w:val="auto"/>
              </w:rPr>
            </w:pPr>
            <w:r>
              <w:rPr>
                <w:rFonts w:ascii="Arial" w:cs="Arial" w:eastAsia="Arial" w:hAnsi="Arial"/>
                <w:sz w:val="11"/>
                <w:szCs w:val="11"/>
                <w:color w:val="auto"/>
              </w:rPr>
              <w:t>(22)</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116,444</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10/7/2022</w:t>
            </w:r>
          </w:p>
        </w:tc>
        <w:tc>
          <w:tcPr>
            <w:tcW w:w="840" w:type="dxa"/>
            <w:vAlign w:val="bottom"/>
            <w:gridSpan w:val="2"/>
          </w:tcPr>
          <w:p>
            <w:pPr>
              <w:jc w:val="right"/>
              <w:ind w:right="6"/>
              <w:spacing w:after="0"/>
              <w:rPr>
                <w:sz w:val="20"/>
                <w:szCs w:val="20"/>
                <w:color w:val="auto"/>
              </w:rPr>
            </w:pPr>
            <w:r>
              <w:rPr>
                <w:rFonts w:ascii="Arial" w:cs="Arial" w:eastAsia="Arial" w:hAnsi="Arial"/>
                <w:sz w:val="11"/>
                <w:szCs w:val="11"/>
                <w:color w:val="auto"/>
              </w:rPr>
              <w:t>6,804</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4,535</w:t>
            </w:r>
          </w:p>
        </w:tc>
        <w:tc>
          <w:tcPr>
            <w:tcW w:w="540" w:type="dxa"/>
            <w:vAlign w:val="bottom"/>
          </w:tcPr>
          <w:p>
            <w:pPr>
              <w:ind w:left="20"/>
              <w:spacing w:after="0"/>
              <w:rPr>
                <w:sz w:val="20"/>
                <w:szCs w:val="20"/>
                <w:color w:val="auto"/>
              </w:rPr>
            </w:pPr>
            <w:r>
              <w:rPr>
                <w:rFonts w:ascii="Arial" w:cs="Arial" w:eastAsia="Arial" w:hAnsi="Arial"/>
                <w:sz w:val="11"/>
                <w:szCs w:val="11"/>
                <w:color w:val="auto"/>
              </w:rPr>
              <w:t>(19)a</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37.04</w:t>
            </w:r>
          </w:p>
        </w:tc>
        <w:tc>
          <w:tcPr>
            <w:tcW w:w="760" w:type="dxa"/>
            <w:vAlign w:val="bottom"/>
          </w:tcPr>
          <w:p>
            <w:pPr>
              <w:jc w:val="right"/>
              <w:spacing w:after="0"/>
              <w:rPr>
                <w:sz w:val="20"/>
                <w:szCs w:val="20"/>
                <w:color w:val="auto"/>
              </w:rPr>
            </w:pPr>
            <w:r>
              <w:rPr>
                <w:rFonts w:ascii="Arial" w:cs="Arial" w:eastAsia="Arial" w:hAnsi="Arial"/>
                <w:sz w:val="11"/>
                <w:szCs w:val="11"/>
                <w:color w:val="auto"/>
              </w:rPr>
              <w:t>10/7/2032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4/24/2023</w:t>
            </w:r>
          </w:p>
        </w:tc>
        <w:tc>
          <w:tcPr>
            <w:tcW w:w="840" w:type="dxa"/>
            <w:vAlign w:val="bottom"/>
            <w:gridSpan w:val="2"/>
          </w:tcPr>
          <w:p>
            <w:pPr>
              <w:jc w:val="right"/>
              <w:ind w:right="6"/>
              <w:spacing w:after="0"/>
              <w:rPr>
                <w:sz w:val="20"/>
                <w:szCs w:val="20"/>
                <w:color w:val="auto"/>
              </w:rPr>
            </w:pPr>
            <w:r>
              <w:rPr>
                <w:rFonts w:ascii="Arial" w:cs="Arial" w:eastAsia="Arial" w:hAnsi="Arial"/>
                <w:sz w:val="11"/>
                <w:szCs w:val="11"/>
                <w:color w:val="auto"/>
              </w:rPr>
              <w:t>1,597</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799</w:t>
            </w:r>
          </w:p>
        </w:tc>
        <w:tc>
          <w:tcPr>
            <w:tcW w:w="540" w:type="dxa"/>
            <w:vAlign w:val="bottom"/>
          </w:tcPr>
          <w:p>
            <w:pPr>
              <w:ind w:left="20"/>
              <w:spacing w:after="0"/>
              <w:rPr>
                <w:sz w:val="20"/>
                <w:szCs w:val="20"/>
                <w:color w:val="auto"/>
              </w:rPr>
            </w:pPr>
            <w:r>
              <w:rPr>
                <w:rFonts w:ascii="Arial" w:cs="Arial" w:eastAsia="Arial" w:hAnsi="Arial"/>
                <w:sz w:val="11"/>
                <w:szCs w:val="11"/>
                <w:color w:val="auto"/>
              </w:rPr>
              <w:t>(19)b</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34.25</w:t>
            </w:r>
          </w:p>
        </w:tc>
        <w:tc>
          <w:tcPr>
            <w:tcW w:w="760" w:type="dxa"/>
            <w:vAlign w:val="bottom"/>
          </w:tcPr>
          <w:p>
            <w:pPr>
              <w:jc w:val="right"/>
              <w:spacing w:after="0"/>
              <w:rPr>
                <w:sz w:val="20"/>
                <w:szCs w:val="20"/>
                <w:color w:val="auto"/>
              </w:rPr>
            </w:pPr>
            <w:r>
              <w:rPr>
                <w:rFonts w:ascii="Arial" w:cs="Arial" w:eastAsia="Arial" w:hAnsi="Arial"/>
                <w:sz w:val="11"/>
                <w:szCs w:val="11"/>
                <w:color w:val="auto"/>
              </w:rPr>
              <w:t>4/24/2033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512</w:t>
            </w:r>
          </w:p>
        </w:tc>
        <w:tc>
          <w:tcPr>
            <w:tcW w:w="300" w:type="dxa"/>
            <w:vAlign w:val="bottom"/>
          </w:tcPr>
          <w:p>
            <w:pPr>
              <w:ind w:left="20"/>
              <w:spacing w:after="0"/>
              <w:rPr>
                <w:sz w:val="20"/>
                <w:szCs w:val="20"/>
                <w:color w:val="auto"/>
              </w:rPr>
            </w:pPr>
            <w:r>
              <w:rPr>
                <w:rFonts w:ascii="Arial" w:cs="Arial" w:eastAsia="Arial" w:hAnsi="Arial"/>
                <w:sz w:val="11"/>
                <w:szCs w:val="11"/>
                <w:color w:val="auto"/>
              </w:rPr>
              <w:t>(20)</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9,948</w:t>
            </w:r>
          </w:p>
        </w:tc>
        <w:tc>
          <w:tcPr>
            <w:tcW w:w="740" w:type="dxa"/>
            <w:vAlign w:val="bottom"/>
          </w:tcPr>
          <w:p>
            <w:pPr>
              <w:jc w:val="right"/>
              <w:spacing w:after="0"/>
              <w:rPr>
                <w:sz w:val="20"/>
                <w:szCs w:val="20"/>
                <w:color w:val="auto"/>
              </w:rPr>
            </w:pPr>
            <w:r>
              <w:rPr>
                <w:rFonts w:ascii="Arial" w:cs="Arial" w:eastAsia="Arial" w:hAnsi="Arial"/>
                <w:sz w:val="11"/>
                <w:szCs w:val="11"/>
                <w:color w:val="auto"/>
              </w:rPr>
              <w:t>3,071</w:t>
            </w:r>
          </w:p>
        </w:tc>
        <w:tc>
          <w:tcPr>
            <w:tcW w:w="400" w:type="dxa"/>
            <w:vAlign w:val="bottom"/>
          </w:tcPr>
          <w:p>
            <w:pPr>
              <w:spacing w:after="0"/>
              <w:rPr>
                <w:sz w:val="20"/>
                <w:szCs w:val="20"/>
                <w:color w:val="auto"/>
              </w:rPr>
            </w:pPr>
            <w:r>
              <w:rPr>
                <w:rFonts w:ascii="Arial" w:cs="Arial" w:eastAsia="Arial" w:hAnsi="Arial"/>
                <w:sz w:val="11"/>
                <w:szCs w:val="11"/>
                <w:color w:val="auto"/>
              </w:rPr>
              <w:t>(23)</w:t>
            </w:r>
          </w:p>
        </w:tc>
        <w:tc>
          <w:tcPr>
            <w:tcW w:w="1040" w:type="dxa"/>
            <w:vAlign w:val="bottom"/>
          </w:tcPr>
          <w:p>
            <w:pPr>
              <w:jc w:val="right"/>
              <w:spacing w:after="0"/>
              <w:rPr>
                <w:sz w:val="20"/>
                <w:szCs w:val="20"/>
                <w:color w:val="auto"/>
              </w:rPr>
            </w:pPr>
            <w:r>
              <w:rPr>
                <w:rFonts w:ascii="Arial" w:cs="Arial" w:eastAsia="Arial" w:hAnsi="Arial"/>
                <w:sz w:val="11"/>
                <w:szCs w:val="11"/>
                <w:color w:val="auto"/>
              </w:rPr>
              <w:t>59,670</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4/24/2024</w:t>
            </w:r>
          </w:p>
        </w:tc>
        <w:tc>
          <w:tcPr>
            <w:tcW w:w="840" w:type="dxa"/>
            <w:vAlign w:val="bottom"/>
            <w:gridSpan w:val="2"/>
          </w:tcPr>
          <w:p>
            <w:pPr>
              <w:jc w:val="right"/>
              <w:ind w:right="6"/>
              <w:spacing w:after="0"/>
              <w:rPr>
                <w:sz w:val="20"/>
                <w:szCs w:val="20"/>
                <w:color w:val="auto"/>
              </w:rPr>
            </w:pPr>
            <w:r>
              <w:rPr>
                <w:rFonts w:ascii="Arial" w:cs="Arial" w:eastAsia="Arial" w:hAnsi="Arial"/>
                <w:sz w:val="11"/>
                <w:szCs w:val="11"/>
                <w:color w:val="auto"/>
              </w:rPr>
              <w:t>666</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1,334</w:t>
            </w:r>
          </w:p>
        </w:tc>
        <w:tc>
          <w:tcPr>
            <w:tcW w:w="540" w:type="dxa"/>
            <w:vAlign w:val="bottom"/>
          </w:tcPr>
          <w:p>
            <w:pPr>
              <w:ind w:left="20"/>
              <w:spacing w:after="0"/>
              <w:rPr>
                <w:sz w:val="20"/>
                <w:szCs w:val="20"/>
                <w:color w:val="auto"/>
              </w:rPr>
            </w:pPr>
            <w:r>
              <w:rPr>
                <w:rFonts w:ascii="Arial" w:cs="Arial" w:eastAsia="Arial" w:hAnsi="Arial"/>
                <w:sz w:val="11"/>
                <w:szCs w:val="11"/>
                <w:color w:val="auto"/>
              </w:rPr>
              <w:t>(19)b</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53.33</w:t>
            </w:r>
          </w:p>
        </w:tc>
        <w:tc>
          <w:tcPr>
            <w:tcW w:w="760" w:type="dxa"/>
            <w:vAlign w:val="bottom"/>
          </w:tcPr>
          <w:p>
            <w:pPr>
              <w:jc w:val="right"/>
              <w:spacing w:after="0"/>
              <w:rPr>
                <w:sz w:val="20"/>
                <w:szCs w:val="20"/>
                <w:color w:val="auto"/>
              </w:rPr>
            </w:pPr>
            <w:r>
              <w:rPr>
                <w:rFonts w:ascii="Arial" w:cs="Arial" w:eastAsia="Arial" w:hAnsi="Arial"/>
                <w:sz w:val="11"/>
                <w:szCs w:val="11"/>
                <w:color w:val="auto"/>
              </w:rPr>
              <w:t>4/24/2034</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1,292</w:t>
            </w:r>
          </w:p>
        </w:tc>
        <w:tc>
          <w:tcPr>
            <w:tcW w:w="300" w:type="dxa"/>
            <w:vAlign w:val="bottom"/>
          </w:tcPr>
          <w:p>
            <w:pPr>
              <w:ind w:left="20"/>
              <w:spacing w:after="0"/>
              <w:rPr>
                <w:sz w:val="20"/>
                <w:szCs w:val="20"/>
                <w:color w:val="auto"/>
              </w:rPr>
            </w:pPr>
            <w:r>
              <w:rPr>
                <w:rFonts w:ascii="Arial" w:cs="Arial" w:eastAsia="Arial" w:hAnsi="Arial"/>
                <w:sz w:val="11"/>
                <w:szCs w:val="11"/>
                <w:color w:val="auto"/>
              </w:rPr>
              <w:t>(21)</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25,104</w:t>
            </w:r>
          </w:p>
        </w:tc>
        <w:tc>
          <w:tcPr>
            <w:tcW w:w="740" w:type="dxa"/>
            <w:vAlign w:val="bottom"/>
          </w:tcPr>
          <w:p>
            <w:pPr>
              <w:jc w:val="right"/>
              <w:spacing w:after="0"/>
              <w:rPr>
                <w:sz w:val="20"/>
                <w:szCs w:val="20"/>
                <w:color w:val="auto"/>
              </w:rPr>
            </w:pPr>
            <w:r>
              <w:rPr>
                <w:rFonts w:ascii="Arial" w:cs="Arial" w:eastAsia="Arial" w:hAnsi="Arial"/>
                <w:sz w:val="11"/>
                <w:szCs w:val="11"/>
                <w:color w:val="auto"/>
              </w:rPr>
              <w:t>1,292</w:t>
            </w:r>
          </w:p>
        </w:tc>
        <w:tc>
          <w:tcPr>
            <w:tcW w:w="400" w:type="dxa"/>
            <w:vAlign w:val="bottom"/>
          </w:tcPr>
          <w:p>
            <w:pPr>
              <w:spacing w:after="0"/>
              <w:rPr>
                <w:sz w:val="20"/>
                <w:szCs w:val="20"/>
                <w:color w:val="auto"/>
              </w:rPr>
            </w:pPr>
            <w:r>
              <w:rPr>
                <w:rFonts w:ascii="Arial" w:cs="Arial" w:eastAsia="Arial" w:hAnsi="Arial"/>
                <w:sz w:val="11"/>
                <w:szCs w:val="11"/>
                <w:color w:val="auto"/>
              </w:rPr>
              <w:t>(24)</w:t>
            </w:r>
          </w:p>
        </w:tc>
        <w:tc>
          <w:tcPr>
            <w:tcW w:w="1040" w:type="dxa"/>
            <w:vAlign w:val="bottom"/>
          </w:tcPr>
          <w:p>
            <w:pPr>
              <w:jc w:val="right"/>
              <w:spacing w:after="0"/>
              <w:rPr>
                <w:sz w:val="20"/>
                <w:szCs w:val="20"/>
                <w:color w:val="auto"/>
              </w:rPr>
            </w:pPr>
            <w:r>
              <w:rPr>
                <w:rFonts w:ascii="Arial" w:cs="Arial" w:eastAsia="Arial" w:hAnsi="Arial"/>
                <w:sz w:val="11"/>
                <w:szCs w:val="11"/>
                <w:color w:val="auto"/>
              </w:rPr>
              <w:t>25,104</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6/18/2025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6,056</w:t>
            </w:r>
          </w:p>
        </w:tc>
        <w:tc>
          <w:tcPr>
            <w:tcW w:w="540" w:type="dxa"/>
            <w:vAlign w:val="bottom"/>
          </w:tcPr>
          <w:p>
            <w:pPr>
              <w:ind w:left="20"/>
              <w:spacing w:after="0"/>
              <w:rPr>
                <w:sz w:val="20"/>
                <w:szCs w:val="20"/>
                <w:color w:val="auto"/>
              </w:rPr>
            </w:pPr>
            <w:r>
              <w:rPr>
                <w:rFonts w:ascii="Arial" w:cs="Arial" w:eastAsia="Arial" w:hAnsi="Arial"/>
                <w:sz w:val="11"/>
                <w:szCs w:val="11"/>
                <w:color w:val="auto"/>
              </w:rPr>
              <w:t>(12)</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33.02</w:t>
            </w:r>
          </w:p>
        </w:tc>
        <w:tc>
          <w:tcPr>
            <w:tcW w:w="760" w:type="dxa"/>
            <w:vAlign w:val="bottom"/>
          </w:tcPr>
          <w:p>
            <w:pPr>
              <w:jc w:val="right"/>
              <w:spacing w:after="0"/>
              <w:rPr>
                <w:sz w:val="20"/>
                <w:szCs w:val="20"/>
                <w:color w:val="auto"/>
              </w:rPr>
            </w:pPr>
            <w:r>
              <w:rPr>
                <w:rFonts w:ascii="Arial" w:cs="Arial" w:eastAsia="Arial" w:hAnsi="Arial"/>
                <w:sz w:val="11"/>
                <w:szCs w:val="11"/>
                <w:color w:val="auto"/>
              </w:rPr>
              <w:t>6/18/2035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14,051</w:t>
            </w:r>
          </w:p>
        </w:tc>
        <w:tc>
          <w:tcPr>
            <w:tcW w:w="300" w:type="dxa"/>
            <w:vAlign w:val="bottom"/>
          </w:tcPr>
          <w:p>
            <w:pPr>
              <w:ind w:left="20"/>
              <w:spacing w:after="0"/>
              <w:rPr>
                <w:sz w:val="20"/>
                <w:szCs w:val="20"/>
                <w:color w:val="auto"/>
              </w:rPr>
            </w:pPr>
            <w:r>
              <w:rPr>
                <w:rFonts w:ascii="Arial" w:cs="Arial" w:eastAsia="Arial" w:hAnsi="Arial"/>
                <w:sz w:val="11"/>
                <w:szCs w:val="11"/>
                <w:color w:val="auto"/>
              </w:rPr>
              <w:t>(12)</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273,011</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6/27/2025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2,258</w:t>
            </w:r>
          </w:p>
        </w:tc>
        <w:tc>
          <w:tcPr>
            <w:tcW w:w="540" w:type="dxa"/>
            <w:vAlign w:val="bottom"/>
          </w:tcPr>
          <w:p>
            <w:pPr>
              <w:ind w:left="20"/>
              <w:spacing w:after="0"/>
              <w:rPr>
                <w:sz w:val="20"/>
                <w:szCs w:val="20"/>
                <w:color w:val="auto"/>
              </w:rPr>
            </w:pPr>
            <w:r>
              <w:rPr>
                <w:rFonts w:ascii="Arial" w:cs="Arial" w:eastAsia="Arial" w:hAnsi="Arial"/>
                <w:sz w:val="11"/>
                <w:szCs w:val="11"/>
                <w:color w:val="auto"/>
              </w:rPr>
              <w:t>(13)</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30.45</w:t>
            </w:r>
          </w:p>
        </w:tc>
        <w:tc>
          <w:tcPr>
            <w:tcW w:w="760" w:type="dxa"/>
            <w:vAlign w:val="bottom"/>
          </w:tcPr>
          <w:p>
            <w:pPr>
              <w:jc w:val="right"/>
              <w:spacing w:after="0"/>
              <w:rPr>
                <w:sz w:val="20"/>
                <w:szCs w:val="20"/>
                <w:color w:val="auto"/>
              </w:rPr>
            </w:pPr>
            <w:r>
              <w:rPr>
                <w:rFonts w:ascii="Arial" w:cs="Arial" w:eastAsia="Arial" w:hAnsi="Arial"/>
                <w:sz w:val="11"/>
                <w:szCs w:val="11"/>
                <w:color w:val="auto"/>
              </w:rPr>
              <w:t>6/27/2025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2,258</w:t>
            </w:r>
          </w:p>
        </w:tc>
        <w:tc>
          <w:tcPr>
            <w:tcW w:w="300" w:type="dxa"/>
            <w:vAlign w:val="bottom"/>
          </w:tcPr>
          <w:p>
            <w:pPr>
              <w:ind w:left="20"/>
              <w:spacing w:after="0"/>
              <w:rPr>
                <w:sz w:val="20"/>
                <w:szCs w:val="20"/>
                <w:color w:val="auto"/>
              </w:rPr>
            </w:pPr>
            <w:r>
              <w:rPr>
                <w:rFonts w:ascii="Arial" w:cs="Arial" w:eastAsia="Arial" w:hAnsi="Arial"/>
                <w:sz w:val="11"/>
                <w:szCs w:val="11"/>
                <w:color w:val="auto"/>
              </w:rPr>
              <w:t>(14)</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43,873</w:t>
            </w:r>
          </w:p>
        </w:tc>
        <w:tc>
          <w:tcPr>
            <w:tcW w:w="740" w:type="dxa"/>
            <w:vAlign w:val="bottom"/>
          </w:tcPr>
          <w:p>
            <w:pPr>
              <w:jc w:val="right"/>
              <w:spacing w:after="0"/>
              <w:rPr>
                <w:sz w:val="20"/>
                <w:szCs w:val="20"/>
                <w:color w:val="auto"/>
              </w:rPr>
            </w:pPr>
            <w:r>
              <w:rPr>
                <w:rFonts w:ascii="Arial" w:cs="Arial" w:eastAsia="Arial" w:hAnsi="Arial"/>
                <w:sz w:val="11"/>
                <w:szCs w:val="11"/>
                <w:color w:val="auto"/>
              </w:rPr>
              <w:t>2,258</w:t>
            </w:r>
          </w:p>
        </w:tc>
        <w:tc>
          <w:tcPr>
            <w:tcW w:w="400" w:type="dxa"/>
            <w:vAlign w:val="bottom"/>
          </w:tcPr>
          <w:p>
            <w:pPr>
              <w:spacing w:after="0"/>
              <w:rPr>
                <w:sz w:val="20"/>
                <w:szCs w:val="20"/>
                <w:color w:val="auto"/>
              </w:rPr>
            </w:pPr>
            <w:r>
              <w:rPr>
                <w:rFonts w:ascii="Arial" w:cs="Arial" w:eastAsia="Arial" w:hAnsi="Arial"/>
                <w:sz w:val="11"/>
                <w:szCs w:val="11"/>
                <w:color w:val="auto"/>
              </w:rPr>
              <w:t>(15)</w:t>
            </w:r>
          </w:p>
        </w:tc>
        <w:tc>
          <w:tcPr>
            <w:tcW w:w="1040" w:type="dxa"/>
            <w:vAlign w:val="bottom"/>
          </w:tcPr>
          <w:p>
            <w:pPr>
              <w:jc w:val="right"/>
              <w:spacing w:after="0"/>
              <w:rPr>
                <w:sz w:val="20"/>
                <w:szCs w:val="20"/>
                <w:color w:val="auto"/>
              </w:rPr>
            </w:pPr>
            <w:r>
              <w:rPr>
                <w:rFonts w:ascii="Arial" w:cs="Arial" w:eastAsia="Arial" w:hAnsi="Arial"/>
                <w:sz w:val="11"/>
                <w:szCs w:val="11"/>
                <w:color w:val="auto"/>
              </w:rPr>
              <w:t>43,873</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41,794</w:t>
            </w:r>
          </w:p>
        </w:tc>
        <w:tc>
          <w:tcPr>
            <w:tcW w:w="540" w:type="dxa"/>
            <w:vAlign w:val="bottom"/>
          </w:tcPr>
          <w:p>
            <w:pPr>
              <w:ind w:left="20"/>
              <w:spacing w:after="0"/>
              <w:rPr>
                <w:sz w:val="20"/>
                <w:szCs w:val="20"/>
                <w:color w:val="auto"/>
              </w:rPr>
            </w:pPr>
            <w:r>
              <w:rPr>
                <w:rFonts w:ascii="Arial" w:cs="Arial" w:eastAsia="Arial" w:hAnsi="Arial"/>
                <w:sz w:val="11"/>
                <w:szCs w:val="11"/>
                <w:color w:val="auto"/>
              </w:rPr>
              <w:t>(4)</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22.70</w:t>
            </w:r>
          </w:p>
        </w:tc>
        <w:tc>
          <w:tcPr>
            <w:tcW w:w="760" w:type="dxa"/>
            <w:vAlign w:val="bottom"/>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11,013</w:t>
            </w:r>
          </w:p>
        </w:tc>
        <w:tc>
          <w:tcPr>
            <w:tcW w:w="300" w:type="dxa"/>
            <w:vAlign w:val="bottom"/>
          </w:tcPr>
          <w:p>
            <w:pPr>
              <w:ind w:left="20"/>
              <w:spacing w:after="0"/>
              <w:rPr>
                <w:sz w:val="20"/>
                <w:szCs w:val="20"/>
                <w:color w:val="auto"/>
              </w:rPr>
            </w:pPr>
            <w:r>
              <w:rPr>
                <w:rFonts w:ascii="Arial" w:cs="Arial" w:eastAsia="Arial" w:hAnsi="Arial"/>
                <w:sz w:val="11"/>
                <w:szCs w:val="11"/>
                <w:color w:val="auto"/>
              </w:rPr>
              <w:t>(16)</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213,983</w:t>
            </w:r>
          </w:p>
        </w:tc>
        <w:tc>
          <w:tcPr>
            <w:tcW w:w="740" w:type="dxa"/>
            <w:vAlign w:val="bottom"/>
          </w:tcPr>
          <w:p>
            <w:pPr>
              <w:jc w:val="right"/>
              <w:spacing w:after="0"/>
              <w:rPr>
                <w:sz w:val="20"/>
                <w:szCs w:val="20"/>
                <w:color w:val="auto"/>
              </w:rPr>
            </w:pPr>
            <w:r>
              <w:rPr>
                <w:rFonts w:ascii="Arial" w:cs="Arial" w:eastAsia="Arial" w:hAnsi="Arial"/>
                <w:sz w:val="11"/>
                <w:szCs w:val="11"/>
                <w:color w:val="auto"/>
              </w:rPr>
              <w:t>11,013</w:t>
            </w:r>
          </w:p>
        </w:tc>
        <w:tc>
          <w:tcPr>
            <w:tcW w:w="400" w:type="dxa"/>
            <w:vAlign w:val="bottom"/>
          </w:tcPr>
          <w:p>
            <w:pPr>
              <w:spacing w:after="0"/>
              <w:rPr>
                <w:sz w:val="20"/>
                <w:szCs w:val="20"/>
                <w:color w:val="auto"/>
              </w:rPr>
            </w:pPr>
            <w:r>
              <w:rPr>
                <w:rFonts w:ascii="Arial" w:cs="Arial" w:eastAsia="Arial" w:hAnsi="Arial"/>
                <w:sz w:val="11"/>
                <w:szCs w:val="11"/>
                <w:color w:val="auto"/>
              </w:rPr>
              <w:t>(7)</w:t>
            </w:r>
          </w:p>
        </w:tc>
        <w:tc>
          <w:tcPr>
            <w:tcW w:w="1040" w:type="dxa"/>
            <w:vAlign w:val="bottom"/>
          </w:tcPr>
          <w:p>
            <w:pPr>
              <w:jc w:val="right"/>
              <w:spacing w:after="0"/>
              <w:rPr>
                <w:sz w:val="20"/>
                <w:szCs w:val="20"/>
                <w:color w:val="auto"/>
              </w:rPr>
            </w:pPr>
            <w:r>
              <w:rPr>
                <w:rFonts w:ascii="Arial" w:cs="Arial" w:eastAsia="Arial" w:hAnsi="Arial"/>
                <w:sz w:val="11"/>
                <w:szCs w:val="11"/>
                <w:color w:val="auto"/>
              </w:rPr>
              <w:t>213,983</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28,271</w:t>
            </w:r>
          </w:p>
        </w:tc>
        <w:tc>
          <w:tcPr>
            <w:tcW w:w="540" w:type="dxa"/>
            <w:vAlign w:val="bottom"/>
          </w:tcPr>
          <w:p>
            <w:pPr>
              <w:ind w:left="20"/>
              <w:spacing w:after="0"/>
              <w:rPr>
                <w:sz w:val="20"/>
                <w:szCs w:val="20"/>
                <w:color w:val="auto"/>
              </w:rPr>
            </w:pPr>
            <w:r>
              <w:rPr>
                <w:rFonts w:ascii="Arial" w:cs="Arial" w:eastAsia="Arial" w:hAnsi="Arial"/>
                <w:sz w:val="11"/>
                <w:szCs w:val="11"/>
                <w:color w:val="auto"/>
              </w:rPr>
              <w:t>(5)</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34.05</w:t>
            </w:r>
          </w:p>
        </w:tc>
        <w:tc>
          <w:tcPr>
            <w:tcW w:w="760" w:type="dxa"/>
            <w:vAlign w:val="bottom"/>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11,013</w:t>
            </w:r>
          </w:p>
        </w:tc>
        <w:tc>
          <w:tcPr>
            <w:tcW w:w="400" w:type="dxa"/>
            <w:vAlign w:val="bottom"/>
          </w:tcPr>
          <w:p>
            <w:pPr>
              <w:spacing w:after="0"/>
              <w:rPr>
                <w:sz w:val="20"/>
                <w:szCs w:val="20"/>
                <w:color w:val="auto"/>
              </w:rPr>
            </w:pPr>
            <w:r>
              <w:rPr>
                <w:rFonts w:ascii="Arial" w:cs="Arial" w:eastAsia="Arial" w:hAnsi="Arial"/>
                <w:sz w:val="11"/>
                <w:szCs w:val="11"/>
                <w:color w:val="auto"/>
              </w:rPr>
              <w:t>(8)</w:t>
            </w:r>
          </w:p>
        </w:tc>
        <w:tc>
          <w:tcPr>
            <w:tcW w:w="1040" w:type="dxa"/>
            <w:vAlign w:val="bottom"/>
          </w:tcPr>
          <w:p>
            <w:pPr>
              <w:jc w:val="right"/>
              <w:spacing w:after="0"/>
              <w:rPr>
                <w:sz w:val="20"/>
                <w:szCs w:val="20"/>
                <w:color w:val="auto"/>
              </w:rPr>
            </w:pPr>
            <w:r>
              <w:rPr>
                <w:rFonts w:ascii="Arial" w:cs="Arial" w:eastAsia="Arial" w:hAnsi="Arial"/>
                <w:sz w:val="11"/>
                <w:szCs w:val="11"/>
                <w:color w:val="auto"/>
              </w:rPr>
              <w:t>213,983</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11,013</w:t>
            </w:r>
          </w:p>
        </w:tc>
        <w:tc>
          <w:tcPr>
            <w:tcW w:w="540" w:type="dxa"/>
            <w:vAlign w:val="bottom"/>
          </w:tcPr>
          <w:p>
            <w:pPr>
              <w:ind w:left="20"/>
              <w:spacing w:after="0"/>
              <w:rPr>
                <w:sz w:val="20"/>
                <w:szCs w:val="20"/>
                <w:color w:val="auto"/>
              </w:rPr>
            </w:pPr>
            <w:r>
              <w:rPr>
                <w:rFonts w:ascii="Arial" w:cs="Arial" w:eastAsia="Arial" w:hAnsi="Arial"/>
                <w:sz w:val="11"/>
                <w:szCs w:val="11"/>
                <w:color w:val="auto"/>
              </w:rPr>
              <w:t>(3)</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22.70</w:t>
            </w:r>
          </w:p>
        </w:tc>
        <w:tc>
          <w:tcPr>
            <w:tcW w:w="760" w:type="dxa"/>
            <w:vAlign w:val="bottom"/>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3"/>
        </w:trPr>
        <w:tc>
          <w:tcPr>
            <w:tcW w:w="1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5"/>
        </w:trPr>
        <w:tc>
          <w:tcPr>
            <w:tcW w:w="13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Steve Klohn</w:t>
            </w: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6/18/2025</w:t>
            </w:r>
          </w:p>
        </w:tc>
        <w:tc>
          <w:tcPr>
            <w:tcW w:w="840" w:type="dxa"/>
            <w:vAlign w:val="bottom"/>
            <w:gridSpan w:val="2"/>
            <w:shd w:val="clear" w:color="auto" w:fill="DBDBDB"/>
          </w:tcPr>
          <w:p>
            <w:pPr>
              <w:jc w:val="right"/>
              <w:ind w:right="6"/>
              <w:spacing w:after="0"/>
              <w:rPr>
                <w:sz w:val="20"/>
                <w:szCs w:val="20"/>
                <w:color w:val="auto"/>
              </w:rPr>
            </w:pPr>
            <w:r>
              <w:rPr>
                <w:rFonts w:ascii="Arial" w:cs="Arial" w:eastAsia="Arial" w:hAnsi="Arial"/>
                <w:sz w:val="11"/>
                <w:szCs w:val="11"/>
                <w:color w:val="auto"/>
              </w:rPr>
              <w:t>2,018</w:t>
            </w:r>
          </w:p>
        </w:tc>
        <w:tc>
          <w:tcPr>
            <w:tcW w:w="460" w:type="dxa"/>
            <w:vAlign w:val="bottom"/>
            <w:shd w:val="clear" w:color="auto" w:fill="DBDBDB"/>
          </w:tcPr>
          <w:p>
            <w:pPr>
              <w:ind w:left="20"/>
              <w:spacing w:after="0"/>
              <w:rPr>
                <w:sz w:val="20"/>
                <w:szCs w:val="20"/>
                <w:color w:val="auto"/>
              </w:rPr>
            </w:pPr>
            <w:r>
              <w:rPr>
                <w:rFonts w:ascii="Arial" w:cs="Arial" w:eastAsia="Arial" w:hAnsi="Arial"/>
                <w:sz w:val="11"/>
                <w:szCs w:val="11"/>
                <w:color w:val="auto"/>
              </w:rPr>
              <w:t>(12)</w:t>
            </w: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4,038</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(12)</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33.02</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6/18/2035</w:t>
            </w: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22,128</w:t>
            </w:r>
          </w:p>
        </w:tc>
        <w:tc>
          <w:tcPr>
            <w:tcW w:w="300" w:type="dxa"/>
            <w:vAlign w:val="bottom"/>
            <w:shd w:val="clear" w:color="auto" w:fill="DBDBDB"/>
          </w:tcPr>
          <w:p>
            <w:pPr>
              <w:ind w:left="20"/>
              <w:spacing w:after="0"/>
              <w:rPr>
                <w:sz w:val="20"/>
                <w:szCs w:val="20"/>
                <w:color w:val="auto"/>
              </w:rPr>
            </w:pPr>
            <w:r>
              <w:rPr>
                <w:rFonts w:ascii="Arial" w:cs="Arial" w:eastAsia="Arial" w:hAnsi="Arial"/>
                <w:sz w:val="11"/>
                <w:szCs w:val="11"/>
                <w:color w:val="auto"/>
              </w:rPr>
              <w:t>(12)</w:t>
            </w:r>
          </w:p>
        </w:tc>
        <w:tc>
          <w:tcPr>
            <w:tcW w:w="260" w:type="dxa"/>
            <w:vAlign w:val="bottom"/>
            <w:shd w:val="clear" w:color="auto" w:fill="DBDBDB"/>
          </w:tcPr>
          <w:p>
            <w:pPr>
              <w:spacing w:after="0"/>
              <w:rPr>
                <w:sz w:val="13"/>
                <w:szCs w:val="13"/>
                <w:color w:val="auto"/>
              </w:rPr>
            </w:pPr>
          </w:p>
        </w:tc>
        <w:tc>
          <w:tcPr>
            <w:tcW w:w="9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429,947</w:t>
            </w:r>
          </w:p>
        </w:tc>
        <w:tc>
          <w:tcPr>
            <w:tcW w:w="74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6/18/2025</w:t>
            </w:r>
          </w:p>
        </w:tc>
        <w:tc>
          <w:tcPr>
            <w:tcW w:w="840" w:type="dxa"/>
            <w:vAlign w:val="bottom"/>
            <w:gridSpan w:val="2"/>
            <w:shd w:val="clear" w:color="auto" w:fill="DBDBDB"/>
          </w:tcPr>
          <w:p>
            <w:pPr>
              <w:jc w:val="right"/>
              <w:ind w:right="6"/>
              <w:spacing w:after="0"/>
              <w:rPr>
                <w:sz w:val="20"/>
                <w:szCs w:val="20"/>
                <w:color w:val="auto"/>
              </w:rPr>
            </w:pPr>
            <w:r>
              <w:rPr>
                <w:rFonts w:ascii="Arial" w:cs="Arial" w:eastAsia="Arial" w:hAnsi="Arial"/>
                <w:sz w:val="11"/>
                <w:szCs w:val="11"/>
                <w:color w:val="auto"/>
              </w:rPr>
              <w:t>1,360</w:t>
            </w:r>
          </w:p>
        </w:tc>
        <w:tc>
          <w:tcPr>
            <w:tcW w:w="460" w:type="dxa"/>
            <w:vAlign w:val="bottom"/>
            <w:shd w:val="clear" w:color="auto" w:fill="DBDBDB"/>
          </w:tcPr>
          <w:p>
            <w:pPr>
              <w:ind w:left="20"/>
              <w:spacing w:after="0"/>
              <w:rPr>
                <w:sz w:val="20"/>
                <w:szCs w:val="20"/>
                <w:color w:val="auto"/>
              </w:rPr>
            </w:pPr>
            <w:r>
              <w:rPr>
                <w:rFonts w:ascii="Arial" w:cs="Arial" w:eastAsia="Arial" w:hAnsi="Arial"/>
                <w:sz w:val="11"/>
                <w:szCs w:val="11"/>
                <w:color w:val="auto"/>
              </w:rPr>
              <w:t>(12)</w:t>
            </w: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5,443</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(12)</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37.04</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6/18/2035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6/27/2025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2,115</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(13)</w:t>
            </w:r>
          </w:p>
        </w:tc>
        <w:tc>
          <w:tcPr>
            <w:tcW w:w="78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30.45</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6/27/2025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2,115</w:t>
            </w:r>
          </w:p>
        </w:tc>
        <w:tc>
          <w:tcPr>
            <w:tcW w:w="300" w:type="dxa"/>
            <w:vAlign w:val="bottom"/>
            <w:shd w:val="clear" w:color="auto" w:fill="DBDBDB"/>
          </w:tcPr>
          <w:p>
            <w:pPr>
              <w:ind w:left="20"/>
              <w:spacing w:after="0"/>
              <w:rPr>
                <w:sz w:val="20"/>
                <w:szCs w:val="20"/>
                <w:color w:val="auto"/>
              </w:rPr>
            </w:pPr>
            <w:r>
              <w:rPr>
                <w:rFonts w:ascii="Arial" w:cs="Arial" w:eastAsia="Arial" w:hAnsi="Arial"/>
                <w:sz w:val="11"/>
                <w:szCs w:val="11"/>
                <w:color w:val="auto"/>
              </w:rPr>
              <w:t>(14)</w:t>
            </w: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41,094</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3,014</w:t>
            </w:r>
          </w:p>
        </w:tc>
        <w:tc>
          <w:tcPr>
            <w:tcW w:w="400" w:type="dxa"/>
            <w:vAlign w:val="bottom"/>
            <w:shd w:val="clear" w:color="auto" w:fill="DBDBDB"/>
          </w:tcPr>
          <w:p>
            <w:pPr>
              <w:spacing w:after="0"/>
              <w:rPr>
                <w:sz w:val="20"/>
                <w:szCs w:val="20"/>
                <w:color w:val="auto"/>
              </w:rPr>
            </w:pPr>
            <w:r>
              <w:rPr>
                <w:rFonts w:ascii="Arial" w:cs="Arial" w:eastAsia="Arial" w:hAnsi="Arial"/>
                <w:sz w:val="11"/>
                <w:szCs w:val="11"/>
                <w:color w:val="auto"/>
              </w:rPr>
              <w:t>(15)</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58,562</w:t>
            </w: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41,794</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(4)</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22.70</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11,013</w:t>
            </w:r>
          </w:p>
        </w:tc>
        <w:tc>
          <w:tcPr>
            <w:tcW w:w="300" w:type="dxa"/>
            <w:vAlign w:val="bottom"/>
            <w:shd w:val="clear" w:color="auto" w:fill="DBDBDB"/>
          </w:tcPr>
          <w:p>
            <w:pPr>
              <w:ind w:left="20"/>
              <w:spacing w:after="0"/>
              <w:rPr>
                <w:sz w:val="20"/>
                <w:szCs w:val="20"/>
                <w:color w:val="auto"/>
              </w:rPr>
            </w:pPr>
            <w:r>
              <w:rPr>
                <w:rFonts w:ascii="Arial" w:cs="Arial" w:eastAsia="Arial" w:hAnsi="Arial"/>
                <w:sz w:val="11"/>
                <w:szCs w:val="11"/>
                <w:color w:val="auto"/>
              </w:rPr>
              <w:t>(16)</w:t>
            </w:r>
          </w:p>
        </w:tc>
        <w:tc>
          <w:tcPr>
            <w:tcW w:w="260" w:type="dxa"/>
            <w:vAlign w:val="bottom"/>
            <w:shd w:val="clear" w:color="auto" w:fill="DBDBDB"/>
          </w:tcPr>
          <w:p>
            <w:pPr>
              <w:ind w:left="100"/>
              <w:spacing w:after="0"/>
              <w:rPr>
                <w:sz w:val="20"/>
                <w:szCs w:val="20"/>
                <w:color w:val="auto"/>
              </w:rPr>
            </w:pPr>
            <w:r>
              <w:rPr>
                <w:rFonts w:ascii="Arial" w:cs="Arial" w:eastAsia="Arial" w:hAnsi="Arial"/>
                <w:sz w:val="11"/>
                <w:szCs w:val="11"/>
                <w:color w:val="auto"/>
              </w:rPr>
              <w:t>q</w:t>
            </w:r>
          </w:p>
        </w:tc>
        <w:tc>
          <w:tcPr>
            <w:tcW w:w="94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213,983</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11,013</w:t>
            </w:r>
          </w:p>
        </w:tc>
        <w:tc>
          <w:tcPr>
            <w:tcW w:w="400" w:type="dxa"/>
            <w:vAlign w:val="bottom"/>
            <w:shd w:val="clear" w:color="auto" w:fill="DBDBDB"/>
          </w:tcPr>
          <w:p>
            <w:pPr>
              <w:spacing w:after="0"/>
              <w:rPr>
                <w:sz w:val="20"/>
                <w:szCs w:val="20"/>
                <w:color w:val="auto"/>
              </w:rPr>
            </w:pPr>
            <w:r>
              <w:rPr>
                <w:rFonts w:ascii="Arial" w:cs="Arial" w:eastAsia="Arial" w:hAnsi="Arial"/>
                <w:sz w:val="11"/>
                <w:szCs w:val="11"/>
                <w:color w:val="auto"/>
              </w:rPr>
              <w:t>(7)</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213,983</w:t>
            </w:r>
          </w:p>
        </w:tc>
      </w:tr>
      <w:tr>
        <w:trPr>
          <w:trHeight w:val="188"/>
        </w:trPr>
        <w:tc>
          <w:tcPr>
            <w:tcW w:w="1360" w:type="dxa"/>
            <w:vAlign w:val="bottom"/>
            <w:shd w:val="clear" w:color="auto" w:fill="DBDBDB"/>
          </w:tcPr>
          <w:p>
            <w:pPr>
              <w:spacing w:after="0"/>
              <w:rPr>
                <w:sz w:val="16"/>
                <w:szCs w:val="16"/>
                <w:color w:val="auto"/>
              </w:rPr>
            </w:pPr>
          </w:p>
        </w:tc>
        <w:tc>
          <w:tcPr>
            <w:tcW w:w="860" w:type="dxa"/>
            <w:vAlign w:val="bottom"/>
            <w:shd w:val="clear" w:color="auto" w:fill="DBDBDB"/>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28,271</w:t>
            </w:r>
          </w:p>
        </w:tc>
        <w:tc>
          <w:tcPr>
            <w:tcW w:w="540" w:type="dxa"/>
            <w:vAlign w:val="bottom"/>
            <w:shd w:val="clear" w:color="auto" w:fill="DBDBDB"/>
          </w:tcPr>
          <w:p>
            <w:pPr>
              <w:ind w:left="20"/>
              <w:spacing w:after="0"/>
              <w:rPr>
                <w:sz w:val="20"/>
                <w:szCs w:val="20"/>
                <w:color w:val="auto"/>
              </w:rPr>
            </w:pPr>
            <w:r>
              <w:rPr>
                <w:rFonts w:ascii="Arial" w:cs="Arial" w:eastAsia="Arial" w:hAnsi="Arial"/>
                <w:sz w:val="11"/>
                <w:szCs w:val="11"/>
                <w:color w:val="auto"/>
              </w:rPr>
              <w:t>(5)</w:t>
            </w:r>
          </w:p>
        </w:tc>
        <w:tc>
          <w:tcPr>
            <w:tcW w:w="78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34.05</w:t>
            </w:r>
          </w:p>
        </w:tc>
        <w:tc>
          <w:tcPr>
            <w:tcW w:w="7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11,013</w:t>
            </w:r>
          </w:p>
        </w:tc>
        <w:tc>
          <w:tcPr>
            <w:tcW w:w="400" w:type="dxa"/>
            <w:vAlign w:val="bottom"/>
            <w:shd w:val="clear" w:color="auto" w:fill="DBDBDB"/>
          </w:tcPr>
          <w:p>
            <w:pPr>
              <w:spacing w:after="0"/>
              <w:rPr>
                <w:sz w:val="20"/>
                <w:szCs w:val="20"/>
                <w:color w:val="auto"/>
              </w:rPr>
            </w:pPr>
            <w:r>
              <w:rPr>
                <w:rFonts w:ascii="Arial" w:cs="Arial" w:eastAsia="Arial" w:hAnsi="Arial"/>
                <w:sz w:val="11"/>
                <w:szCs w:val="11"/>
                <w:color w:val="auto"/>
              </w:rPr>
              <w:t>(8)</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213,983</w:t>
            </w:r>
          </w:p>
        </w:tc>
      </w:tr>
      <w:tr>
        <w:trPr>
          <w:trHeight w:val="201"/>
        </w:trPr>
        <w:tc>
          <w:tcPr>
            <w:tcW w:w="136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11,013</w:t>
            </w:r>
          </w:p>
        </w:tc>
        <w:tc>
          <w:tcPr>
            <w:tcW w:w="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1"/>
                <w:szCs w:val="11"/>
                <w:color w:val="auto"/>
              </w:rPr>
              <w:t>(3)</w:t>
            </w:r>
          </w:p>
        </w:tc>
        <w:tc>
          <w:tcPr>
            <w:tcW w:w="78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22.70</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400" w:type="dxa"/>
            <w:vAlign w:val="bottom"/>
            <w:tcBorders>
              <w:bottom w:val="single" w:sz="8" w:color="DBDBDB"/>
            </w:tcBorders>
            <w:shd w:val="clear" w:color="auto" w:fill="DBDBDB"/>
          </w:tcPr>
          <w:p>
            <w:pPr>
              <w:spacing w:after="0"/>
              <w:rPr>
                <w:sz w:val="17"/>
                <w:szCs w:val="17"/>
                <w:color w:val="auto"/>
              </w:rPr>
            </w:pPr>
          </w:p>
        </w:tc>
        <w:tc>
          <w:tcPr>
            <w:tcW w:w="1040" w:type="dxa"/>
            <w:vAlign w:val="bottom"/>
            <w:tcBorders>
              <w:bottom w:val="single" w:sz="8" w:color="DBDBDB"/>
            </w:tcBorders>
            <w:shd w:val="clear" w:color="auto" w:fill="DBDBDB"/>
          </w:tcPr>
          <w:p>
            <w:pPr>
              <w:spacing w:after="0"/>
              <w:rPr>
                <w:sz w:val="17"/>
                <w:szCs w:val="17"/>
                <w:color w:val="auto"/>
              </w:rPr>
            </w:pPr>
          </w:p>
        </w:tc>
      </w:tr>
      <w:tr>
        <w:trPr>
          <w:trHeight w:val="155"/>
        </w:trPr>
        <w:tc>
          <w:tcPr>
            <w:tcW w:w="1360" w:type="dxa"/>
            <w:vAlign w:val="bottom"/>
          </w:tcPr>
          <w:p>
            <w:pPr>
              <w:ind w:left="20"/>
              <w:spacing w:after="0"/>
              <w:rPr>
                <w:sz w:val="20"/>
                <w:szCs w:val="20"/>
                <w:color w:val="auto"/>
              </w:rPr>
            </w:pPr>
            <w:r>
              <w:rPr>
                <w:rFonts w:ascii="Arial" w:cs="Arial" w:eastAsia="Arial" w:hAnsi="Arial"/>
                <w:sz w:val="11"/>
                <w:szCs w:val="11"/>
                <w:color w:val="auto"/>
              </w:rPr>
              <w:t>Tony Wehner</w:t>
            </w: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6/29/2022</w:t>
            </w:r>
          </w:p>
        </w:tc>
        <w:tc>
          <w:tcPr>
            <w:tcW w:w="840" w:type="dxa"/>
            <w:vAlign w:val="bottom"/>
            <w:gridSpan w:val="2"/>
          </w:tcPr>
          <w:p>
            <w:pPr>
              <w:jc w:val="center"/>
              <w:ind w:left="486"/>
              <w:spacing w:after="0"/>
              <w:rPr>
                <w:sz w:val="20"/>
                <w:szCs w:val="20"/>
                <w:color w:val="auto"/>
              </w:rPr>
            </w:pPr>
            <w:r>
              <w:rPr>
                <w:rFonts w:ascii="Arial" w:cs="Arial" w:eastAsia="Arial" w:hAnsi="Arial"/>
                <w:sz w:val="11"/>
                <w:szCs w:val="11"/>
                <w:color w:val="auto"/>
                <w:w w:val="94"/>
              </w:rPr>
              <w:t>1,427</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jc w:val="right"/>
              <w:spacing w:after="0"/>
              <w:rPr>
                <w:sz w:val="20"/>
                <w:szCs w:val="20"/>
                <w:color w:val="auto"/>
              </w:rPr>
            </w:pPr>
            <w:r>
              <w:rPr>
                <w:rFonts w:ascii="Arial" w:cs="Arial" w:eastAsia="Arial" w:hAnsi="Arial"/>
                <w:sz w:val="11"/>
                <w:szCs w:val="11"/>
                <w:color w:val="auto"/>
              </w:rPr>
              <w:t>713</w:t>
            </w:r>
          </w:p>
        </w:tc>
        <w:tc>
          <w:tcPr>
            <w:tcW w:w="540" w:type="dxa"/>
            <w:vAlign w:val="bottom"/>
          </w:tcPr>
          <w:p>
            <w:pPr>
              <w:ind w:left="20"/>
              <w:spacing w:after="0"/>
              <w:rPr>
                <w:sz w:val="20"/>
                <w:szCs w:val="20"/>
                <w:color w:val="auto"/>
              </w:rPr>
            </w:pPr>
            <w:r>
              <w:rPr>
                <w:rFonts w:ascii="Arial" w:cs="Arial" w:eastAsia="Arial" w:hAnsi="Arial"/>
                <w:sz w:val="11"/>
                <w:szCs w:val="11"/>
                <w:color w:val="auto"/>
              </w:rPr>
              <w:t>(19)b</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33.77</w:t>
            </w:r>
          </w:p>
        </w:tc>
        <w:tc>
          <w:tcPr>
            <w:tcW w:w="760" w:type="dxa"/>
            <w:vAlign w:val="bottom"/>
          </w:tcPr>
          <w:p>
            <w:pPr>
              <w:jc w:val="right"/>
              <w:spacing w:after="0"/>
              <w:rPr>
                <w:sz w:val="20"/>
                <w:szCs w:val="20"/>
                <w:color w:val="auto"/>
              </w:rPr>
            </w:pPr>
            <w:r>
              <w:rPr>
                <w:rFonts w:ascii="Arial" w:cs="Arial" w:eastAsia="Arial" w:hAnsi="Arial"/>
                <w:sz w:val="11"/>
                <w:szCs w:val="11"/>
                <w:color w:val="auto"/>
              </w:rPr>
              <w:t>6/29/2032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10/7/2022</w:t>
            </w:r>
          </w:p>
        </w:tc>
        <w:tc>
          <w:tcPr>
            <w:tcW w:w="840" w:type="dxa"/>
            <w:vAlign w:val="bottom"/>
            <w:gridSpan w:val="2"/>
          </w:tcPr>
          <w:p>
            <w:pPr>
              <w:jc w:val="center"/>
              <w:ind w:left="486"/>
              <w:spacing w:after="0"/>
              <w:rPr>
                <w:sz w:val="20"/>
                <w:szCs w:val="20"/>
                <w:color w:val="auto"/>
              </w:rPr>
            </w:pPr>
            <w:r>
              <w:rPr>
                <w:rFonts w:ascii="Arial" w:cs="Arial" w:eastAsia="Arial" w:hAnsi="Arial"/>
                <w:sz w:val="11"/>
                <w:szCs w:val="11"/>
                <w:color w:val="auto"/>
                <w:w w:val="94"/>
              </w:rPr>
              <w:t>5,400</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jc w:val="right"/>
              <w:spacing w:after="0"/>
              <w:rPr>
                <w:sz w:val="20"/>
                <w:szCs w:val="20"/>
                <w:color w:val="auto"/>
              </w:rPr>
            </w:pPr>
            <w:r>
              <w:rPr>
                <w:rFonts w:ascii="Arial" w:cs="Arial" w:eastAsia="Arial" w:hAnsi="Arial"/>
                <w:sz w:val="11"/>
                <w:szCs w:val="11"/>
                <w:color w:val="auto"/>
              </w:rPr>
              <w:t>8,099</w:t>
            </w:r>
          </w:p>
        </w:tc>
        <w:tc>
          <w:tcPr>
            <w:tcW w:w="540" w:type="dxa"/>
            <w:vAlign w:val="bottom"/>
          </w:tcPr>
          <w:p>
            <w:pPr>
              <w:ind w:left="20"/>
              <w:spacing w:after="0"/>
              <w:rPr>
                <w:sz w:val="20"/>
                <w:szCs w:val="20"/>
                <w:color w:val="auto"/>
              </w:rPr>
            </w:pPr>
            <w:r>
              <w:rPr>
                <w:rFonts w:ascii="Arial" w:cs="Arial" w:eastAsia="Arial" w:hAnsi="Arial"/>
                <w:sz w:val="11"/>
                <w:szCs w:val="11"/>
                <w:color w:val="auto"/>
              </w:rPr>
              <w:t>(19)c</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37.04</w:t>
            </w:r>
          </w:p>
        </w:tc>
        <w:tc>
          <w:tcPr>
            <w:tcW w:w="760" w:type="dxa"/>
            <w:vAlign w:val="bottom"/>
          </w:tcPr>
          <w:p>
            <w:pPr>
              <w:jc w:val="right"/>
              <w:spacing w:after="0"/>
              <w:rPr>
                <w:sz w:val="20"/>
                <w:szCs w:val="20"/>
                <w:color w:val="auto"/>
              </w:rPr>
            </w:pPr>
            <w:r>
              <w:rPr>
                <w:rFonts w:ascii="Arial" w:cs="Arial" w:eastAsia="Arial" w:hAnsi="Arial"/>
                <w:sz w:val="11"/>
                <w:szCs w:val="11"/>
                <w:color w:val="auto"/>
              </w:rPr>
              <w:t>10/7/2032</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8,990</w:t>
            </w:r>
          </w:p>
        </w:tc>
        <w:tc>
          <w:tcPr>
            <w:tcW w:w="300" w:type="dxa"/>
            <w:vAlign w:val="bottom"/>
          </w:tcPr>
          <w:p>
            <w:pPr>
              <w:ind w:left="20"/>
              <w:spacing w:after="0"/>
              <w:rPr>
                <w:sz w:val="20"/>
                <w:szCs w:val="20"/>
                <w:color w:val="auto"/>
              </w:rPr>
            </w:pPr>
            <w:r>
              <w:rPr>
                <w:rFonts w:ascii="Arial" w:cs="Arial" w:eastAsia="Arial" w:hAnsi="Arial"/>
                <w:sz w:val="11"/>
                <w:szCs w:val="11"/>
                <w:color w:val="auto"/>
              </w:rPr>
              <w:t>(22)</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174,676</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10/7/2022</w:t>
            </w:r>
          </w:p>
        </w:tc>
        <w:tc>
          <w:tcPr>
            <w:tcW w:w="840" w:type="dxa"/>
            <w:vAlign w:val="bottom"/>
            <w:gridSpan w:val="2"/>
          </w:tcPr>
          <w:p>
            <w:pPr>
              <w:jc w:val="center"/>
              <w:ind w:left="486"/>
              <w:spacing w:after="0"/>
              <w:rPr>
                <w:sz w:val="20"/>
                <w:szCs w:val="20"/>
                <w:color w:val="auto"/>
              </w:rPr>
            </w:pPr>
            <w:r>
              <w:rPr>
                <w:rFonts w:ascii="Arial" w:cs="Arial" w:eastAsia="Arial" w:hAnsi="Arial"/>
                <w:sz w:val="11"/>
                <w:szCs w:val="11"/>
                <w:color w:val="auto"/>
                <w:w w:val="94"/>
              </w:rPr>
              <w:t>4,536</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jc w:val="right"/>
              <w:spacing w:after="0"/>
              <w:rPr>
                <w:sz w:val="20"/>
                <w:szCs w:val="20"/>
                <w:color w:val="auto"/>
              </w:rPr>
            </w:pPr>
            <w:r>
              <w:rPr>
                <w:rFonts w:ascii="Arial" w:cs="Arial" w:eastAsia="Arial" w:hAnsi="Arial"/>
                <w:sz w:val="11"/>
                <w:szCs w:val="11"/>
                <w:color w:val="auto"/>
              </w:rPr>
              <w:t>6,803</w:t>
            </w:r>
          </w:p>
        </w:tc>
        <w:tc>
          <w:tcPr>
            <w:tcW w:w="540" w:type="dxa"/>
            <w:vAlign w:val="bottom"/>
          </w:tcPr>
          <w:p>
            <w:pPr>
              <w:ind w:left="20"/>
              <w:spacing w:after="0"/>
              <w:rPr>
                <w:sz w:val="20"/>
                <w:szCs w:val="20"/>
                <w:color w:val="auto"/>
              </w:rPr>
            </w:pPr>
            <w:r>
              <w:rPr>
                <w:rFonts w:ascii="Arial" w:cs="Arial" w:eastAsia="Arial" w:hAnsi="Arial"/>
                <w:sz w:val="11"/>
                <w:szCs w:val="11"/>
                <w:color w:val="auto"/>
              </w:rPr>
              <w:t>(19)a</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37.04</w:t>
            </w:r>
          </w:p>
        </w:tc>
        <w:tc>
          <w:tcPr>
            <w:tcW w:w="760" w:type="dxa"/>
            <w:vAlign w:val="bottom"/>
          </w:tcPr>
          <w:p>
            <w:pPr>
              <w:jc w:val="right"/>
              <w:spacing w:after="0"/>
              <w:rPr>
                <w:sz w:val="20"/>
                <w:szCs w:val="20"/>
                <w:color w:val="auto"/>
              </w:rPr>
            </w:pPr>
            <w:r>
              <w:rPr>
                <w:rFonts w:ascii="Arial" w:cs="Arial" w:eastAsia="Arial" w:hAnsi="Arial"/>
                <w:sz w:val="11"/>
                <w:szCs w:val="11"/>
                <w:color w:val="auto"/>
              </w:rPr>
              <w:t>10/7/2032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4/24/2023</w:t>
            </w:r>
          </w:p>
        </w:tc>
        <w:tc>
          <w:tcPr>
            <w:tcW w:w="840" w:type="dxa"/>
            <w:vAlign w:val="bottom"/>
            <w:gridSpan w:val="2"/>
          </w:tcPr>
          <w:p>
            <w:pPr>
              <w:jc w:val="center"/>
              <w:ind w:left="486"/>
              <w:spacing w:after="0"/>
              <w:rPr>
                <w:sz w:val="20"/>
                <w:szCs w:val="20"/>
                <w:color w:val="auto"/>
              </w:rPr>
            </w:pPr>
            <w:r>
              <w:rPr>
                <w:rFonts w:ascii="Arial" w:cs="Arial" w:eastAsia="Arial" w:hAnsi="Arial"/>
                <w:sz w:val="11"/>
                <w:szCs w:val="11"/>
                <w:color w:val="auto"/>
                <w:w w:val="94"/>
              </w:rPr>
              <w:t>1,010</w:t>
            </w:r>
          </w:p>
        </w:tc>
        <w:tc>
          <w:tcPr>
            <w:tcW w:w="460" w:type="dxa"/>
            <w:vAlign w:val="bottom"/>
          </w:tcPr>
          <w:p>
            <w:pPr>
              <w:ind w:left="20"/>
              <w:spacing w:after="0"/>
              <w:rPr>
                <w:sz w:val="20"/>
                <w:szCs w:val="20"/>
                <w:color w:val="auto"/>
              </w:rPr>
            </w:pPr>
            <w:r>
              <w:rPr>
                <w:rFonts w:ascii="Arial" w:cs="Arial" w:eastAsia="Arial" w:hAnsi="Arial"/>
                <w:sz w:val="11"/>
                <w:szCs w:val="11"/>
                <w:color w:val="auto"/>
              </w:rPr>
              <w:t>(18)</w:t>
            </w:r>
          </w:p>
        </w:tc>
        <w:tc>
          <w:tcPr>
            <w:tcW w:w="780" w:type="dxa"/>
            <w:vAlign w:val="bottom"/>
          </w:tcPr>
          <w:p>
            <w:pPr>
              <w:jc w:val="right"/>
              <w:spacing w:after="0"/>
              <w:rPr>
                <w:sz w:val="20"/>
                <w:szCs w:val="20"/>
                <w:color w:val="auto"/>
              </w:rPr>
            </w:pPr>
            <w:r>
              <w:rPr>
                <w:rFonts w:ascii="Arial" w:cs="Arial" w:eastAsia="Arial" w:hAnsi="Arial"/>
                <w:sz w:val="11"/>
                <w:szCs w:val="11"/>
                <w:color w:val="auto"/>
              </w:rPr>
              <w:t>2,020</w:t>
            </w:r>
          </w:p>
        </w:tc>
        <w:tc>
          <w:tcPr>
            <w:tcW w:w="540" w:type="dxa"/>
            <w:vAlign w:val="bottom"/>
          </w:tcPr>
          <w:p>
            <w:pPr>
              <w:ind w:left="20"/>
              <w:spacing w:after="0"/>
              <w:rPr>
                <w:sz w:val="20"/>
                <w:szCs w:val="20"/>
                <w:color w:val="auto"/>
              </w:rPr>
            </w:pPr>
            <w:r>
              <w:rPr>
                <w:rFonts w:ascii="Arial" w:cs="Arial" w:eastAsia="Arial" w:hAnsi="Arial"/>
                <w:sz w:val="11"/>
                <w:szCs w:val="11"/>
                <w:color w:val="auto"/>
              </w:rPr>
              <w:t>(19)b</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34.25</w:t>
            </w:r>
          </w:p>
        </w:tc>
        <w:tc>
          <w:tcPr>
            <w:tcW w:w="760" w:type="dxa"/>
            <w:vAlign w:val="bottom"/>
          </w:tcPr>
          <w:p>
            <w:pPr>
              <w:jc w:val="right"/>
              <w:spacing w:after="0"/>
              <w:rPr>
                <w:sz w:val="20"/>
                <w:szCs w:val="20"/>
                <w:color w:val="auto"/>
              </w:rPr>
            </w:pPr>
            <w:r>
              <w:rPr>
                <w:rFonts w:ascii="Arial" w:cs="Arial" w:eastAsia="Arial" w:hAnsi="Arial"/>
                <w:sz w:val="11"/>
                <w:szCs w:val="11"/>
                <w:color w:val="auto"/>
              </w:rPr>
              <w:t>4/24/2033</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1,294</w:t>
            </w:r>
          </w:p>
        </w:tc>
        <w:tc>
          <w:tcPr>
            <w:tcW w:w="300" w:type="dxa"/>
            <w:vAlign w:val="bottom"/>
          </w:tcPr>
          <w:p>
            <w:pPr>
              <w:ind w:left="20"/>
              <w:spacing w:after="0"/>
              <w:rPr>
                <w:sz w:val="20"/>
                <w:szCs w:val="20"/>
                <w:color w:val="auto"/>
              </w:rPr>
            </w:pPr>
            <w:r>
              <w:rPr>
                <w:rFonts w:ascii="Arial" w:cs="Arial" w:eastAsia="Arial" w:hAnsi="Arial"/>
                <w:sz w:val="11"/>
                <w:szCs w:val="11"/>
                <w:color w:val="auto"/>
              </w:rPr>
              <w:t>(20)</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25,142</w:t>
            </w:r>
          </w:p>
        </w:tc>
        <w:tc>
          <w:tcPr>
            <w:tcW w:w="740" w:type="dxa"/>
            <w:vAlign w:val="bottom"/>
          </w:tcPr>
          <w:p>
            <w:pPr>
              <w:jc w:val="right"/>
              <w:spacing w:after="0"/>
              <w:rPr>
                <w:sz w:val="20"/>
                <w:szCs w:val="20"/>
                <w:color w:val="auto"/>
              </w:rPr>
            </w:pPr>
            <w:r>
              <w:rPr>
                <w:rFonts w:ascii="Arial" w:cs="Arial" w:eastAsia="Arial" w:hAnsi="Arial"/>
                <w:sz w:val="11"/>
                <w:szCs w:val="11"/>
                <w:color w:val="auto"/>
              </w:rPr>
              <w:t>3,883</w:t>
            </w:r>
          </w:p>
        </w:tc>
        <w:tc>
          <w:tcPr>
            <w:tcW w:w="400" w:type="dxa"/>
            <w:vAlign w:val="bottom"/>
          </w:tcPr>
          <w:p>
            <w:pPr>
              <w:spacing w:after="0"/>
              <w:rPr>
                <w:sz w:val="20"/>
                <w:szCs w:val="20"/>
                <w:color w:val="auto"/>
              </w:rPr>
            </w:pPr>
            <w:r>
              <w:rPr>
                <w:rFonts w:ascii="Arial" w:cs="Arial" w:eastAsia="Arial" w:hAnsi="Arial"/>
                <w:sz w:val="11"/>
                <w:szCs w:val="11"/>
                <w:color w:val="auto"/>
              </w:rPr>
              <w:t>(23)</w:t>
            </w:r>
          </w:p>
        </w:tc>
        <w:tc>
          <w:tcPr>
            <w:tcW w:w="1040" w:type="dxa"/>
            <w:vAlign w:val="bottom"/>
          </w:tcPr>
          <w:p>
            <w:pPr>
              <w:jc w:val="right"/>
              <w:spacing w:after="0"/>
              <w:rPr>
                <w:sz w:val="20"/>
                <w:szCs w:val="20"/>
                <w:color w:val="auto"/>
              </w:rPr>
            </w:pPr>
            <w:r>
              <w:rPr>
                <w:rFonts w:ascii="Arial" w:cs="Arial" w:eastAsia="Arial" w:hAnsi="Arial"/>
                <w:sz w:val="11"/>
                <w:szCs w:val="11"/>
                <w:color w:val="auto"/>
              </w:rPr>
              <w:t>75,447</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4/24/2024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2,529</w:t>
            </w:r>
          </w:p>
        </w:tc>
        <w:tc>
          <w:tcPr>
            <w:tcW w:w="540" w:type="dxa"/>
            <w:vAlign w:val="bottom"/>
          </w:tcPr>
          <w:p>
            <w:pPr>
              <w:ind w:left="20"/>
              <w:spacing w:after="0"/>
              <w:rPr>
                <w:sz w:val="20"/>
                <w:szCs w:val="20"/>
                <w:color w:val="auto"/>
              </w:rPr>
            </w:pPr>
            <w:r>
              <w:rPr>
                <w:rFonts w:ascii="Arial" w:cs="Arial" w:eastAsia="Arial" w:hAnsi="Arial"/>
                <w:sz w:val="11"/>
                <w:szCs w:val="11"/>
                <w:color w:val="auto"/>
              </w:rPr>
              <w:t>(19)b</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53.33</w:t>
            </w:r>
          </w:p>
        </w:tc>
        <w:tc>
          <w:tcPr>
            <w:tcW w:w="760" w:type="dxa"/>
            <w:vAlign w:val="bottom"/>
          </w:tcPr>
          <w:p>
            <w:pPr>
              <w:jc w:val="right"/>
              <w:spacing w:after="0"/>
              <w:rPr>
                <w:sz w:val="20"/>
                <w:szCs w:val="20"/>
                <w:color w:val="auto"/>
              </w:rPr>
            </w:pPr>
            <w:r>
              <w:rPr>
                <w:rFonts w:ascii="Arial" w:cs="Arial" w:eastAsia="Arial" w:hAnsi="Arial"/>
                <w:sz w:val="11"/>
                <w:szCs w:val="11"/>
                <w:color w:val="auto"/>
              </w:rPr>
              <w:t>4/24/2034</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1,633</w:t>
            </w:r>
          </w:p>
        </w:tc>
        <w:tc>
          <w:tcPr>
            <w:tcW w:w="300" w:type="dxa"/>
            <w:vAlign w:val="bottom"/>
          </w:tcPr>
          <w:p>
            <w:pPr>
              <w:ind w:left="20"/>
              <w:spacing w:after="0"/>
              <w:rPr>
                <w:sz w:val="20"/>
                <w:szCs w:val="20"/>
                <w:color w:val="auto"/>
              </w:rPr>
            </w:pPr>
            <w:r>
              <w:rPr>
                <w:rFonts w:ascii="Arial" w:cs="Arial" w:eastAsia="Arial" w:hAnsi="Arial"/>
                <w:sz w:val="11"/>
                <w:szCs w:val="11"/>
                <w:color w:val="auto"/>
              </w:rPr>
              <w:t>(21)</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31,729</w:t>
            </w:r>
          </w:p>
        </w:tc>
        <w:tc>
          <w:tcPr>
            <w:tcW w:w="740" w:type="dxa"/>
            <w:vAlign w:val="bottom"/>
          </w:tcPr>
          <w:p>
            <w:pPr>
              <w:jc w:val="right"/>
              <w:spacing w:after="0"/>
              <w:rPr>
                <w:sz w:val="20"/>
                <w:szCs w:val="20"/>
                <w:color w:val="auto"/>
              </w:rPr>
            </w:pPr>
            <w:r>
              <w:rPr>
                <w:rFonts w:ascii="Arial" w:cs="Arial" w:eastAsia="Arial" w:hAnsi="Arial"/>
                <w:sz w:val="11"/>
                <w:szCs w:val="11"/>
                <w:color w:val="auto"/>
              </w:rPr>
              <w:t>1,633</w:t>
            </w:r>
          </w:p>
        </w:tc>
        <w:tc>
          <w:tcPr>
            <w:tcW w:w="400" w:type="dxa"/>
            <w:vAlign w:val="bottom"/>
          </w:tcPr>
          <w:p>
            <w:pPr>
              <w:spacing w:after="0"/>
              <w:rPr>
                <w:sz w:val="20"/>
                <w:szCs w:val="20"/>
                <w:color w:val="auto"/>
              </w:rPr>
            </w:pPr>
            <w:r>
              <w:rPr>
                <w:rFonts w:ascii="Arial" w:cs="Arial" w:eastAsia="Arial" w:hAnsi="Arial"/>
                <w:sz w:val="11"/>
                <w:szCs w:val="11"/>
                <w:color w:val="auto"/>
              </w:rPr>
              <w:t>(24)</w:t>
            </w:r>
          </w:p>
        </w:tc>
        <w:tc>
          <w:tcPr>
            <w:tcW w:w="1040" w:type="dxa"/>
            <w:vAlign w:val="bottom"/>
          </w:tcPr>
          <w:p>
            <w:pPr>
              <w:jc w:val="right"/>
              <w:spacing w:after="0"/>
              <w:rPr>
                <w:sz w:val="20"/>
                <w:szCs w:val="20"/>
                <w:color w:val="auto"/>
              </w:rPr>
            </w:pPr>
            <w:r>
              <w:rPr>
                <w:rFonts w:ascii="Arial" w:cs="Arial" w:eastAsia="Arial" w:hAnsi="Arial"/>
                <w:sz w:val="11"/>
                <w:szCs w:val="11"/>
                <w:color w:val="auto"/>
              </w:rPr>
              <w:t>31,729</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6/18/2025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6,056</w:t>
            </w:r>
          </w:p>
        </w:tc>
        <w:tc>
          <w:tcPr>
            <w:tcW w:w="540" w:type="dxa"/>
            <w:vAlign w:val="bottom"/>
          </w:tcPr>
          <w:p>
            <w:pPr>
              <w:ind w:left="20"/>
              <w:spacing w:after="0"/>
              <w:rPr>
                <w:sz w:val="20"/>
                <w:szCs w:val="20"/>
                <w:color w:val="auto"/>
              </w:rPr>
            </w:pPr>
            <w:r>
              <w:rPr>
                <w:rFonts w:ascii="Arial" w:cs="Arial" w:eastAsia="Arial" w:hAnsi="Arial"/>
                <w:sz w:val="11"/>
                <w:szCs w:val="11"/>
                <w:color w:val="auto"/>
              </w:rPr>
              <w:t>(12)</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33.02</w:t>
            </w:r>
          </w:p>
        </w:tc>
        <w:tc>
          <w:tcPr>
            <w:tcW w:w="760" w:type="dxa"/>
            <w:vAlign w:val="bottom"/>
          </w:tcPr>
          <w:p>
            <w:pPr>
              <w:jc w:val="right"/>
              <w:spacing w:after="0"/>
              <w:rPr>
                <w:sz w:val="20"/>
                <w:szCs w:val="20"/>
                <w:color w:val="auto"/>
              </w:rPr>
            </w:pPr>
            <w:r>
              <w:rPr>
                <w:rFonts w:ascii="Arial" w:cs="Arial" w:eastAsia="Arial" w:hAnsi="Arial"/>
                <w:sz w:val="11"/>
                <w:szCs w:val="11"/>
                <w:color w:val="auto"/>
              </w:rPr>
              <w:t>6/18/2035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14,051</w:t>
            </w:r>
          </w:p>
        </w:tc>
        <w:tc>
          <w:tcPr>
            <w:tcW w:w="300" w:type="dxa"/>
            <w:vAlign w:val="bottom"/>
          </w:tcPr>
          <w:p>
            <w:pPr>
              <w:ind w:left="20"/>
              <w:spacing w:after="0"/>
              <w:rPr>
                <w:sz w:val="20"/>
                <w:szCs w:val="20"/>
                <w:color w:val="auto"/>
              </w:rPr>
            </w:pPr>
            <w:r>
              <w:rPr>
                <w:rFonts w:ascii="Arial" w:cs="Arial" w:eastAsia="Arial" w:hAnsi="Arial"/>
                <w:sz w:val="11"/>
                <w:szCs w:val="11"/>
                <w:color w:val="auto"/>
              </w:rPr>
              <w:t>(12)</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273,011</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6/27/2025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2,258</w:t>
            </w:r>
          </w:p>
        </w:tc>
        <w:tc>
          <w:tcPr>
            <w:tcW w:w="540" w:type="dxa"/>
            <w:vAlign w:val="bottom"/>
          </w:tcPr>
          <w:p>
            <w:pPr>
              <w:ind w:left="20"/>
              <w:spacing w:after="0"/>
              <w:rPr>
                <w:sz w:val="20"/>
                <w:szCs w:val="20"/>
                <w:color w:val="auto"/>
              </w:rPr>
            </w:pPr>
            <w:r>
              <w:rPr>
                <w:rFonts w:ascii="Arial" w:cs="Arial" w:eastAsia="Arial" w:hAnsi="Arial"/>
                <w:sz w:val="11"/>
                <w:szCs w:val="11"/>
                <w:color w:val="auto"/>
              </w:rPr>
              <w:t>(13)</w:t>
            </w: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30.45</w:t>
            </w:r>
          </w:p>
        </w:tc>
        <w:tc>
          <w:tcPr>
            <w:tcW w:w="760" w:type="dxa"/>
            <w:vAlign w:val="bottom"/>
          </w:tcPr>
          <w:p>
            <w:pPr>
              <w:jc w:val="right"/>
              <w:spacing w:after="0"/>
              <w:rPr>
                <w:sz w:val="20"/>
                <w:szCs w:val="20"/>
                <w:color w:val="auto"/>
              </w:rPr>
            </w:pPr>
            <w:r>
              <w:rPr>
                <w:rFonts w:ascii="Arial" w:cs="Arial" w:eastAsia="Arial" w:hAnsi="Arial"/>
                <w:sz w:val="11"/>
                <w:szCs w:val="11"/>
                <w:color w:val="auto"/>
              </w:rPr>
              <w:t>6/27/2025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2,258</w:t>
            </w:r>
          </w:p>
        </w:tc>
        <w:tc>
          <w:tcPr>
            <w:tcW w:w="300" w:type="dxa"/>
            <w:vAlign w:val="bottom"/>
          </w:tcPr>
          <w:p>
            <w:pPr>
              <w:ind w:left="20"/>
              <w:spacing w:after="0"/>
              <w:rPr>
                <w:sz w:val="20"/>
                <w:szCs w:val="20"/>
                <w:color w:val="auto"/>
              </w:rPr>
            </w:pPr>
            <w:r>
              <w:rPr>
                <w:rFonts w:ascii="Arial" w:cs="Arial" w:eastAsia="Arial" w:hAnsi="Arial"/>
                <w:sz w:val="11"/>
                <w:szCs w:val="11"/>
                <w:color w:val="auto"/>
              </w:rPr>
              <w:t>(14)</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43,873</w:t>
            </w:r>
          </w:p>
        </w:tc>
        <w:tc>
          <w:tcPr>
            <w:tcW w:w="740" w:type="dxa"/>
            <w:vAlign w:val="bottom"/>
          </w:tcPr>
          <w:p>
            <w:pPr>
              <w:jc w:val="right"/>
              <w:spacing w:after="0"/>
              <w:rPr>
                <w:sz w:val="20"/>
                <w:szCs w:val="20"/>
                <w:color w:val="auto"/>
              </w:rPr>
            </w:pPr>
            <w:r>
              <w:rPr>
                <w:rFonts w:ascii="Arial" w:cs="Arial" w:eastAsia="Arial" w:hAnsi="Arial"/>
                <w:sz w:val="11"/>
                <w:szCs w:val="11"/>
                <w:color w:val="auto"/>
              </w:rPr>
              <w:t>2,258</w:t>
            </w:r>
          </w:p>
        </w:tc>
        <w:tc>
          <w:tcPr>
            <w:tcW w:w="400" w:type="dxa"/>
            <w:vAlign w:val="bottom"/>
          </w:tcPr>
          <w:p>
            <w:pPr>
              <w:spacing w:after="0"/>
              <w:rPr>
                <w:sz w:val="20"/>
                <w:szCs w:val="20"/>
                <w:color w:val="auto"/>
              </w:rPr>
            </w:pPr>
            <w:r>
              <w:rPr>
                <w:rFonts w:ascii="Arial" w:cs="Arial" w:eastAsia="Arial" w:hAnsi="Arial"/>
                <w:sz w:val="11"/>
                <w:szCs w:val="11"/>
                <w:color w:val="auto"/>
              </w:rPr>
              <w:t>(15)</w:t>
            </w:r>
          </w:p>
        </w:tc>
        <w:tc>
          <w:tcPr>
            <w:tcW w:w="1040" w:type="dxa"/>
            <w:vAlign w:val="bottom"/>
          </w:tcPr>
          <w:p>
            <w:pPr>
              <w:jc w:val="right"/>
              <w:spacing w:after="0"/>
              <w:rPr>
                <w:sz w:val="20"/>
                <w:szCs w:val="20"/>
                <w:color w:val="auto"/>
              </w:rPr>
            </w:pPr>
            <w:r>
              <w:rPr>
                <w:rFonts w:ascii="Arial" w:cs="Arial" w:eastAsia="Arial" w:hAnsi="Arial"/>
                <w:sz w:val="11"/>
                <w:szCs w:val="11"/>
                <w:color w:val="auto"/>
              </w:rPr>
              <w:t>43,873</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41,794</w:t>
            </w:r>
          </w:p>
        </w:tc>
        <w:tc>
          <w:tcPr>
            <w:tcW w:w="540" w:type="dxa"/>
            <w:vAlign w:val="bottom"/>
          </w:tcPr>
          <w:p>
            <w:pPr>
              <w:ind w:left="20"/>
              <w:spacing w:after="0"/>
              <w:rPr>
                <w:sz w:val="20"/>
                <w:szCs w:val="20"/>
                <w:color w:val="auto"/>
              </w:rPr>
            </w:pPr>
            <w:r>
              <w:rPr>
                <w:rFonts w:ascii="Arial" w:cs="Arial" w:eastAsia="Arial" w:hAnsi="Arial"/>
                <w:sz w:val="11"/>
                <w:szCs w:val="11"/>
                <w:color w:val="auto"/>
              </w:rPr>
              <w:t>(4)</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22.70</w:t>
            </w:r>
          </w:p>
        </w:tc>
        <w:tc>
          <w:tcPr>
            <w:tcW w:w="760" w:type="dxa"/>
            <w:vAlign w:val="bottom"/>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11,013</w:t>
            </w:r>
          </w:p>
        </w:tc>
        <w:tc>
          <w:tcPr>
            <w:tcW w:w="300" w:type="dxa"/>
            <w:vAlign w:val="bottom"/>
          </w:tcPr>
          <w:p>
            <w:pPr>
              <w:ind w:left="20"/>
              <w:spacing w:after="0"/>
              <w:rPr>
                <w:sz w:val="20"/>
                <w:szCs w:val="20"/>
                <w:color w:val="auto"/>
              </w:rPr>
            </w:pPr>
            <w:r>
              <w:rPr>
                <w:rFonts w:ascii="Arial" w:cs="Arial" w:eastAsia="Arial" w:hAnsi="Arial"/>
                <w:sz w:val="11"/>
                <w:szCs w:val="11"/>
                <w:color w:val="auto"/>
              </w:rPr>
              <w:t>(16)</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213,983</w:t>
            </w:r>
          </w:p>
        </w:tc>
        <w:tc>
          <w:tcPr>
            <w:tcW w:w="740" w:type="dxa"/>
            <w:vAlign w:val="bottom"/>
          </w:tcPr>
          <w:p>
            <w:pPr>
              <w:jc w:val="right"/>
              <w:spacing w:after="0"/>
              <w:rPr>
                <w:sz w:val="20"/>
                <w:szCs w:val="20"/>
                <w:color w:val="auto"/>
              </w:rPr>
            </w:pPr>
            <w:r>
              <w:rPr>
                <w:rFonts w:ascii="Arial" w:cs="Arial" w:eastAsia="Arial" w:hAnsi="Arial"/>
                <w:sz w:val="11"/>
                <w:szCs w:val="11"/>
                <w:color w:val="auto"/>
              </w:rPr>
              <w:t>11,013</w:t>
            </w:r>
          </w:p>
        </w:tc>
        <w:tc>
          <w:tcPr>
            <w:tcW w:w="400" w:type="dxa"/>
            <w:vAlign w:val="bottom"/>
          </w:tcPr>
          <w:p>
            <w:pPr>
              <w:spacing w:after="0"/>
              <w:rPr>
                <w:sz w:val="20"/>
                <w:szCs w:val="20"/>
                <w:color w:val="auto"/>
              </w:rPr>
            </w:pPr>
            <w:r>
              <w:rPr>
                <w:rFonts w:ascii="Arial" w:cs="Arial" w:eastAsia="Arial" w:hAnsi="Arial"/>
                <w:sz w:val="11"/>
                <w:szCs w:val="11"/>
                <w:color w:val="auto"/>
              </w:rPr>
              <w:t>(7)</w:t>
            </w:r>
          </w:p>
        </w:tc>
        <w:tc>
          <w:tcPr>
            <w:tcW w:w="1040" w:type="dxa"/>
            <w:vAlign w:val="bottom"/>
          </w:tcPr>
          <w:p>
            <w:pPr>
              <w:jc w:val="right"/>
              <w:spacing w:after="0"/>
              <w:rPr>
                <w:sz w:val="20"/>
                <w:szCs w:val="20"/>
                <w:color w:val="auto"/>
              </w:rPr>
            </w:pPr>
            <w:r>
              <w:rPr>
                <w:rFonts w:ascii="Arial" w:cs="Arial" w:eastAsia="Arial" w:hAnsi="Arial"/>
                <w:sz w:val="11"/>
                <w:szCs w:val="11"/>
                <w:color w:val="auto"/>
              </w:rPr>
              <w:t>213,983</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28,271</w:t>
            </w:r>
          </w:p>
        </w:tc>
        <w:tc>
          <w:tcPr>
            <w:tcW w:w="540" w:type="dxa"/>
            <w:vAlign w:val="bottom"/>
          </w:tcPr>
          <w:p>
            <w:pPr>
              <w:ind w:left="20"/>
              <w:spacing w:after="0"/>
              <w:rPr>
                <w:sz w:val="20"/>
                <w:szCs w:val="20"/>
                <w:color w:val="auto"/>
              </w:rPr>
            </w:pPr>
            <w:r>
              <w:rPr>
                <w:rFonts w:ascii="Arial" w:cs="Arial" w:eastAsia="Arial" w:hAnsi="Arial"/>
                <w:sz w:val="11"/>
                <w:szCs w:val="11"/>
                <w:color w:val="auto"/>
              </w:rPr>
              <w:t>(5)</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34.05</w:t>
            </w:r>
          </w:p>
        </w:tc>
        <w:tc>
          <w:tcPr>
            <w:tcW w:w="760" w:type="dxa"/>
            <w:vAlign w:val="bottom"/>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11,013</w:t>
            </w:r>
          </w:p>
        </w:tc>
        <w:tc>
          <w:tcPr>
            <w:tcW w:w="400" w:type="dxa"/>
            <w:vAlign w:val="bottom"/>
          </w:tcPr>
          <w:p>
            <w:pPr>
              <w:spacing w:after="0"/>
              <w:rPr>
                <w:sz w:val="20"/>
                <w:szCs w:val="20"/>
                <w:color w:val="auto"/>
              </w:rPr>
            </w:pPr>
            <w:r>
              <w:rPr>
                <w:rFonts w:ascii="Arial" w:cs="Arial" w:eastAsia="Arial" w:hAnsi="Arial"/>
                <w:sz w:val="11"/>
                <w:szCs w:val="11"/>
                <w:color w:val="auto"/>
              </w:rPr>
              <w:t>(8)</w:t>
            </w:r>
          </w:p>
        </w:tc>
        <w:tc>
          <w:tcPr>
            <w:tcW w:w="1040" w:type="dxa"/>
            <w:vAlign w:val="bottom"/>
          </w:tcPr>
          <w:p>
            <w:pPr>
              <w:jc w:val="right"/>
              <w:spacing w:after="0"/>
              <w:rPr>
                <w:sz w:val="20"/>
                <w:szCs w:val="20"/>
                <w:color w:val="auto"/>
              </w:rPr>
            </w:pPr>
            <w:r>
              <w:rPr>
                <w:rFonts w:ascii="Arial" w:cs="Arial" w:eastAsia="Arial" w:hAnsi="Arial"/>
                <w:sz w:val="11"/>
                <w:szCs w:val="11"/>
                <w:color w:val="auto"/>
              </w:rPr>
              <w:t>213,983</w:t>
            </w: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10/7/2025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11,013</w:t>
            </w:r>
          </w:p>
        </w:tc>
        <w:tc>
          <w:tcPr>
            <w:tcW w:w="540" w:type="dxa"/>
            <w:vAlign w:val="bottom"/>
          </w:tcPr>
          <w:p>
            <w:pPr>
              <w:ind w:left="20"/>
              <w:spacing w:after="0"/>
              <w:rPr>
                <w:sz w:val="20"/>
                <w:szCs w:val="20"/>
                <w:color w:val="auto"/>
              </w:rPr>
            </w:pPr>
            <w:r>
              <w:rPr>
                <w:rFonts w:ascii="Arial" w:cs="Arial" w:eastAsia="Arial" w:hAnsi="Arial"/>
                <w:sz w:val="11"/>
                <w:szCs w:val="11"/>
                <w:color w:val="auto"/>
              </w:rPr>
              <w:t>(3)</w:t>
            </w:r>
          </w:p>
        </w:tc>
        <w:tc>
          <w:tcPr>
            <w:tcW w:w="780" w:type="dxa"/>
            <w:vAlign w:val="bottom"/>
          </w:tcPr>
          <w:p>
            <w:pPr>
              <w:jc w:val="right"/>
              <w:ind w:right="106"/>
              <w:spacing w:after="0"/>
              <w:rPr>
                <w:sz w:val="20"/>
                <w:szCs w:val="20"/>
                <w:color w:val="auto"/>
              </w:rPr>
            </w:pPr>
            <w:r>
              <w:rPr>
                <w:rFonts w:ascii="Arial" w:cs="Arial" w:eastAsia="Arial" w:hAnsi="Arial"/>
                <w:sz w:val="11"/>
                <w:szCs w:val="11"/>
                <w:color w:val="auto"/>
              </w:rPr>
              <w:t>22.70</w:t>
            </w:r>
          </w:p>
        </w:tc>
        <w:tc>
          <w:tcPr>
            <w:tcW w:w="760" w:type="dxa"/>
            <w:vAlign w:val="bottom"/>
          </w:tcPr>
          <w:p>
            <w:pPr>
              <w:jc w:val="right"/>
              <w:spacing w:after="0"/>
              <w:rPr>
                <w:sz w:val="20"/>
                <w:szCs w:val="20"/>
                <w:color w:val="auto"/>
              </w:rPr>
            </w:pPr>
            <w:r>
              <w:rPr>
                <w:rFonts w:ascii="Arial" w:cs="Arial" w:eastAsia="Arial" w:hAnsi="Arial"/>
                <w:sz w:val="11"/>
                <w:szCs w:val="11"/>
                <w:color w:val="auto"/>
              </w:rPr>
              <w:t>10/7/2035</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8"/>
        </w:trPr>
        <w:tc>
          <w:tcPr>
            <w:tcW w:w="1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auto"/>
                <w:w w:val="97"/>
              </w:rPr>
              <w:t>1/1/2026</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11,737</w:t>
            </w:r>
          </w:p>
        </w:tc>
        <w:tc>
          <w:tcPr>
            <w:tcW w:w="300" w:type="dxa"/>
            <w:vAlign w:val="bottom"/>
          </w:tcPr>
          <w:p>
            <w:pPr>
              <w:ind w:left="20"/>
              <w:spacing w:after="0"/>
              <w:rPr>
                <w:sz w:val="20"/>
                <w:szCs w:val="20"/>
                <w:color w:val="auto"/>
              </w:rPr>
            </w:pPr>
            <w:r>
              <w:rPr>
                <w:rFonts w:ascii="Arial" w:cs="Arial" w:eastAsia="Arial" w:hAnsi="Arial"/>
                <w:sz w:val="11"/>
                <w:szCs w:val="11"/>
                <w:color w:val="auto"/>
              </w:rPr>
              <w:t>(17)</w:t>
            </w:r>
          </w:p>
        </w:tc>
        <w:tc>
          <w:tcPr>
            <w:tcW w:w="260" w:type="dxa"/>
            <w:vAlign w:val="bottom"/>
          </w:tcPr>
          <w:p>
            <w:pPr>
              <w:spacing w:after="0"/>
              <w:rPr>
                <w:sz w:val="16"/>
                <w:szCs w:val="16"/>
                <w:color w:val="auto"/>
              </w:rPr>
            </w:pP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228,050</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6856095</wp:posOffset>
            </wp:positionH>
            <wp:positionV relativeFrom="paragraph">
              <wp:posOffset>-5114925</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3" w:lineRule="exact"/>
        <w:rPr>
          <w:sz w:val="20"/>
          <w:szCs w:val="20"/>
          <w:color w:val="auto"/>
        </w:rPr>
      </w:pPr>
    </w:p>
    <w:p>
      <w:pPr>
        <w:ind w:left="420" w:hanging="413"/>
        <w:spacing w:after="0" w:line="246" w:lineRule="auto"/>
        <w:tabs>
          <w:tab w:leader="none" w:pos="412"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market value is equal to number of shares underlying the units, multiplied by the closing market price of the Company’s common stock of $27.38 as of Tuesday, February 3, 2026, the last trading day of the Company’s 2025 fiscal year.</w:t>
      </w:r>
    </w:p>
    <w:p>
      <w:pPr>
        <w:spacing w:after="0" w:line="1" w:lineRule="exact"/>
        <w:rPr>
          <w:rFonts w:ascii="Arial" w:cs="Arial" w:eastAsia="Arial" w:hAnsi="Arial"/>
          <w:sz w:val="13"/>
          <w:szCs w:val="13"/>
          <w:color w:val="auto"/>
        </w:rPr>
      </w:pPr>
    </w:p>
    <w:p>
      <w:pPr>
        <w:ind w:left="420" w:hanging="413"/>
        <w:spacing w:after="0" w:line="237" w:lineRule="auto"/>
        <w:tabs>
          <w:tab w:leader="none" w:pos="412"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market value is equal to the number of shares underlying the units based on achieving certain performance goals, multiplied by the closing market price of the Company's common stock of $19.43 as of Tuesday, February 3, 2026, the last trading day of the Company's 2025 fiscal year.</w:t>
      </w:r>
    </w:p>
    <w:p>
      <w:pPr>
        <w:ind w:left="420" w:hanging="413"/>
        <w:spacing w:after="0" w:line="248" w:lineRule="auto"/>
        <w:tabs>
          <w:tab w:leader="none" w:pos="412"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shares shown represent options granted to certain executives that will vest ratably over a three-year period following the grant date. Shares for Mr. Lal were granted under the Inducement Plan. All others were granted under the 2025 Plan.</w:t>
      </w:r>
    </w:p>
    <w:p>
      <w:pPr>
        <w:ind w:left="420" w:hanging="413"/>
        <w:spacing w:after="0" w:line="237" w:lineRule="auto"/>
        <w:tabs>
          <w:tab w:leader="none" w:pos="412"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shares shown represent options granted to certain executives that will become earned on the first date before February 1, 2028 where the 60-day VWAP of the Company’s shares reaches $64.12. Shares for Mr. Lal were granted under the Inducement Plan. All others were granted under the 2025 Plan.</w:t>
      </w:r>
    </w:p>
    <w:p>
      <w:pPr>
        <w:ind w:left="420" w:right="240" w:hanging="413"/>
        <w:spacing w:after="0" w:line="243" w:lineRule="auto"/>
        <w:tabs>
          <w:tab w:leader="none" w:pos="412"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The shares shown represent options granted to certain executives that will become earned on the first date before February 1, 2028 where the 60-day VWAP of the Company’s shares reaches $96.18. Shares for Mr. Lal were granted under the Inducement Plan. All others were granted under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71329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1000" w:val="left"/>
        </w:tabs>
        <w:rPr>
          <w:sz w:val="20"/>
          <w:szCs w:val="20"/>
          <w:color w:val="auto"/>
        </w:rPr>
      </w:pPr>
      <w:r>
        <w:rPr>
          <w:rFonts w:ascii="Arial" w:cs="Arial" w:eastAsia="Arial" w:hAnsi="Arial"/>
          <w:sz w:val="18"/>
          <w:szCs w:val="18"/>
          <w:b w:val="1"/>
          <w:bCs w:val="1"/>
          <w:color w:val="003B71"/>
        </w:rPr>
        <w:t>Dave &amp; Buster’s Entertainment, Inc.</w:t>
      </w:r>
      <w:r>
        <w:rPr>
          <w:sz w:val="20"/>
          <w:szCs w:val="20"/>
          <w:color w:val="auto"/>
        </w:rPr>
        <w:tab/>
      </w:r>
      <w:r>
        <w:rPr>
          <w:rFonts w:ascii="Arial" w:cs="Arial" w:eastAsia="Arial" w:hAnsi="Arial"/>
          <w:sz w:val="17"/>
          <w:szCs w:val="17"/>
          <w:b w:val="1"/>
          <w:bCs w:val="1"/>
          <w:color w:val="4C4C4C"/>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149225</wp:posOffset>
            </wp:positionV>
            <wp:extent cx="71583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48" w:name="page49"/>
    <w:bookmarkEnd w:id="48"/>
    <w:p>
      <w:pPr>
        <w:ind w:left="420" w:right="140" w:hanging="413"/>
        <w:spacing w:after="0" w:line="236" w:lineRule="auto"/>
        <w:tabs>
          <w:tab w:leader="none" w:pos="412"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represent options granted under the Inducement Plan to Mr. Lal that will vest ratably over a three-year period following the grant date and require Mr. Lal to purchase a certain number of shares. If shares are not purchased by certain dates specified within the agreement, the awarded options will be forfeited on those dates.</w:t>
      </w:r>
    </w:p>
    <w:p>
      <w:pPr>
        <w:ind w:left="420" w:right="20" w:hanging="413"/>
        <w:spacing w:after="0" w:line="226" w:lineRule="auto"/>
        <w:tabs>
          <w:tab w:leader="none" w:pos="412"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reflect an award of PSUs that will be earned upon achievement of specific same store sales growth over a performance period ending February 1, 2028. Shares for Mr. Lal were granted under the Inducement Plan. All others were granted under the 2025 Plan.</w:t>
      </w:r>
    </w:p>
    <w:p>
      <w:pPr>
        <w:jc w:val="both"/>
        <w:ind w:left="420" w:hanging="413"/>
        <w:spacing w:after="0" w:line="283" w:lineRule="auto"/>
        <w:tabs>
          <w:tab w:leader="none" w:pos="412" w:val="left"/>
        </w:tabs>
        <w:numPr>
          <w:ilvl w:val="0"/>
          <w:numId w:val="89"/>
        </w:numPr>
        <w:rPr>
          <w:rFonts w:ascii="Arial" w:cs="Arial" w:eastAsia="Arial" w:hAnsi="Arial"/>
          <w:sz w:val="11"/>
          <w:szCs w:val="11"/>
          <w:color w:val="auto"/>
        </w:rPr>
      </w:pPr>
      <w:r>
        <w:rPr>
          <w:rFonts w:ascii="Arial" w:cs="Arial" w:eastAsia="Arial" w:hAnsi="Arial"/>
          <w:sz w:val="11"/>
          <w:szCs w:val="11"/>
          <w:color w:val="auto"/>
        </w:rPr>
        <w:t>The shares shown reflect an award of PSUs that will be earned upon achievement of specific Adjusted EBITDA and same store sales growth over a performance period ending February 1, 2028. The shares shown in the “Threshold” column reflect the minimum possible payout (representing 50% of target) under the award agreement. The minimum award level is 0% of target (“Target”) if the Threshold is not met, and the maximum award is 125% of target (“Maximum”) assuming achievement of a relative TSR ranking for the Company compared to a peer group as outlined in the agreement. Threshold is represented with the minimum possible payout. Shares for Mr. Lal were granted under the Inducement Plan. All others were granted under the 2025 Plan.</w:t>
      </w:r>
    </w:p>
    <w:p>
      <w:pPr>
        <w:ind w:left="400" w:hanging="393"/>
        <w:spacing w:after="0"/>
        <w:tabs>
          <w:tab w:leader="none" w:pos="4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represent options granted under the 2025 Plan that vested immediately on the grant date and were associated with Mr. Sheehan’s tenure as Interim Executive Officer.</w:t>
      </w:r>
    </w:p>
    <w:p>
      <w:pPr>
        <w:spacing w:after="0" w:line="6" w:lineRule="exact"/>
        <w:rPr>
          <w:rFonts w:ascii="Arial" w:cs="Arial" w:eastAsia="Arial" w:hAnsi="Arial"/>
          <w:sz w:val="13"/>
          <w:szCs w:val="13"/>
          <w:color w:val="auto"/>
        </w:rPr>
      </w:pPr>
    </w:p>
    <w:p>
      <w:pPr>
        <w:jc w:val="both"/>
        <w:ind w:left="420" w:hanging="413"/>
        <w:spacing w:after="0" w:line="237"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represent PSUs awarded under the 2025 Plan as compensation associated with Mr. Sheehan’s tenure as Interim Chief Executive Officer. The PSUs will be earned if same store sales for any fiscal quarter ending November 4, 2025, February 3, 2026 or May 5, 2026 are positive when compared to the same quarter in the prior year. If same store sales are not positive for any of the periods described, all PSUs are determined to not be earned. PSUs will vest on May 5, 2026 if earned.</w:t>
      </w:r>
    </w:p>
    <w:p>
      <w:pPr>
        <w:ind w:left="420" w:hanging="413"/>
        <w:spacing w:after="0" w:line="248" w:lineRule="auto"/>
        <w:tabs>
          <w:tab w:leader="none" w:pos="405"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reflect RSUs granted to Mr. Sheehan under the 2025 Plan for service as a board member after serving in the role of Interim Executive Officer. RSUs vest one year from grant date.</w:t>
      </w:r>
    </w:p>
    <w:p>
      <w:pPr>
        <w:ind w:left="420" w:hanging="413"/>
        <w:spacing w:after="0" w:line="237"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reflect an award of RSUs and options, as applicable, prior to shareholder approval of the 2025 Plan and were considered “contingent awards” as discussed in our 2025 proxy statement filed May 8, 2025. Options and RSUs vest ratably over a three year period.</w:t>
      </w:r>
    </w:p>
    <w:p>
      <w:pPr>
        <w:ind w:left="420" w:hanging="413"/>
        <w:spacing w:after="0" w:line="237"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reflect an award of options in accordance with the 2025 long-term incentive program (the “2025 LTIP”). These options vest ratably over three years and were granted under the 2025 Plan.</w:t>
      </w:r>
    </w:p>
    <w:p>
      <w:pPr>
        <w:ind w:left="400" w:hanging="393"/>
        <w:spacing w:after="0"/>
        <w:tabs>
          <w:tab w:leader="none" w:pos="4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reflect an award of RSUs in accordance with the 2025 LTIP. These RSUs vest ratably over three years and were granted under the 2025 Plan.</w:t>
      </w:r>
    </w:p>
    <w:p>
      <w:pPr>
        <w:spacing w:after="0" w:line="3" w:lineRule="exact"/>
        <w:rPr>
          <w:rFonts w:ascii="Arial" w:cs="Arial" w:eastAsia="Arial" w:hAnsi="Arial"/>
          <w:sz w:val="13"/>
          <w:szCs w:val="13"/>
          <w:color w:val="auto"/>
        </w:rPr>
      </w:pPr>
    </w:p>
    <w:p>
      <w:pPr>
        <w:ind w:left="420" w:right="20" w:hanging="413"/>
        <w:spacing w:after="0" w:line="243"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grant represents the target number of unvested PSUs under the 2025 LTIP program. These PSUs, if earned under the performance conditions, vest 100% three years from the grant date. These awards were granted under the 2025 Plan.</w:t>
      </w:r>
    </w:p>
    <w:p>
      <w:pPr>
        <w:ind w:left="400" w:hanging="393"/>
        <w:spacing w:after="0" w:line="237" w:lineRule="auto"/>
        <w:tabs>
          <w:tab w:leader="none" w:pos="4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represent RSUs granted under the 2025 Plan to certain executives that will vest ratably over a three-year period after the grant date.</w:t>
      </w:r>
    </w:p>
    <w:p>
      <w:pPr>
        <w:ind w:left="420" w:hanging="413"/>
        <w:spacing w:after="0" w:line="241"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shares shown represent RSUs granted to Mr. Wehner under the 2025 Plan in connection with his transition to his role as President - Main Event that will vest ratably over a three-year period after the grant date.</w:t>
      </w:r>
    </w:p>
    <w:p>
      <w:pPr>
        <w:spacing w:after="0" w:line="1" w:lineRule="exact"/>
        <w:rPr>
          <w:rFonts w:ascii="Arial" w:cs="Arial" w:eastAsia="Arial" w:hAnsi="Arial"/>
          <w:sz w:val="13"/>
          <w:szCs w:val="13"/>
          <w:color w:val="auto"/>
        </w:rPr>
      </w:pPr>
    </w:p>
    <w:p>
      <w:pPr>
        <w:ind w:left="400" w:hanging="393"/>
        <w:spacing w:after="0"/>
        <w:tabs>
          <w:tab w:leader="none" w:pos="4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These options represent vested options granted under the 2014 Plan.</w:t>
      </w:r>
    </w:p>
    <w:p>
      <w:pPr>
        <w:spacing w:after="0" w:line="6" w:lineRule="exact"/>
        <w:rPr>
          <w:rFonts w:ascii="Arial" w:cs="Arial" w:eastAsia="Arial" w:hAnsi="Arial"/>
          <w:sz w:val="13"/>
          <w:szCs w:val="13"/>
          <w:color w:val="auto"/>
        </w:rPr>
      </w:pPr>
    </w:p>
    <w:p>
      <w:pPr>
        <w:ind w:left="400" w:hanging="393"/>
        <w:spacing w:after="0" w:line="237" w:lineRule="auto"/>
        <w:tabs>
          <w:tab w:leader="none" w:pos="40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These options represent unvested options granted under the 2014 Plan. Vestings of these options are as noted below.</w:t>
      </w:r>
    </w:p>
    <w:p>
      <w:pPr>
        <w:ind w:left="1060" w:hanging="327"/>
        <w:spacing w:after="0" w:line="237" w:lineRule="auto"/>
        <w:tabs>
          <w:tab w:leader="none" w:pos="1060" w:val="left"/>
        </w:tabs>
        <w:numPr>
          <w:ilvl w:val="1"/>
          <w:numId w:val="89"/>
        </w:numPr>
        <w:rPr>
          <w:rFonts w:ascii="Arial" w:cs="Arial" w:eastAsia="Arial" w:hAnsi="Arial"/>
          <w:sz w:val="13"/>
          <w:szCs w:val="13"/>
          <w:color w:val="auto"/>
        </w:rPr>
      </w:pPr>
      <w:r>
        <w:rPr>
          <w:rFonts w:ascii="Arial" w:cs="Arial" w:eastAsia="Arial" w:hAnsi="Arial"/>
          <w:sz w:val="13"/>
          <w:szCs w:val="13"/>
          <w:color w:val="auto"/>
        </w:rPr>
        <w:t>These options vest in five equal installments on an annual basis commencing one year after grant date.</w:t>
      </w:r>
    </w:p>
    <w:p>
      <w:pPr>
        <w:ind w:left="1060" w:hanging="327"/>
        <w:spacing w:after="0" w:line="237" w:lineRule="auto"/>
        <w:tabs>
          <w:tab w:leader="none" w:pos="1060" w:val="left"/>
        </w:tabs>
        <w:numPr>
          <w:ilvl w:val="1"/>
          <w:numId w:val="89"/>
        </w:numPr>
        <w:rPr>
          <w:rFonts w:ascii="Arial" w:cs="Arial" w:eastAsia="Arial" w:hAnsi="Arial"/>
          <w:sz w:val="13"/>
          <w:szCs w:val="13"/>
          <w:color w:val="auto"/>
        </w:rPr>
      </w:pPr>
      <w:r>
        <w:rPr>
          <w:rFonts w:ascii="Arial" w:cs="Arial" w:eastAsia="Arial" w:hAnsi="Arial"/>
          <w:sz w:val="13"/>
          <w:szCs w:val="13"/>
          <w:color w:val="auto"/>
        </w:rPr>
        <w:t>These options vest in three equal installments on an annual basis commencing one year after grant date.</w:t>
      </w:r>
    </w:p>
    <w:p>
      <w:pPr>
        <w:ind w:left="1040" w:hanging="307"/>
        <w:spacing w:after="0"/>
        <w:tabs>
          <w:tab w:leader="none" w:pos="1040" w:val="left"/>
        </w:tabs>
        <w:numPr>
          <w:ilvl w:val="1"/>
          <w:numId w:val="89"/>
        </w:numPr>
        <w:rPr>
          <w:rFonts w:ascii="Arial" w:cs="Arial" w:eastAsia="Arial" w:hAnsi="Arial"/>
          <w:sz w:val="13"/>
          <w:szCs w:val="13"/>
          <w:color w:val="auto"/>
        </w:rPr>
      </w:pPr>
      <w:r>
        <w:rPr>
          <w:rFonts w:ascii="Arial" w:cs="Arial" w:eastAsia="Arial" w:hAnsi="Arial"/>
          <w:sz w:val="13"/>
          <w:szCs w:val="13"/>
          <w:color w:val="auto"/>
        </w:rPr>
        <w:t>These options vest in five equal installments on an annual basis commencing one year after grant date.</w:t>
      </w:r>
    </w:p>
    <w:p>
      <w:pPr>
        <w:spacing w:after="0" w:line="3" w:lineRule="exact"/>
        <w:rPr>
          <w:rFonts w:ascii="Arial" w:cs="Arial" w:eastAsia="Arial" w:hAnsi="Arial"/>
          <w:sz w:val="13"/>
          <w:szCs w:val="13"/>
          <w:color w:val="auto"/>
        </w:rPr>
      </w:pPr>
    </w:p>
    <w:p>
      <w:pPr>
        <w:ind w:left="420" w:hanging="413"/>
        <w:spacing w:after="0" w:line="243"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grant represents unvested RSUs under the 2023 long-term incentive program (the “2023 LTIP”). These RSUs vest in three equal installments on an annual basis commencing one year after grant date. These awards were granted under the 2014 Plan.</w:t>
      </w:r>
    </w:p>
    <w:p>
      <w:pPr>
        <w:ind w:left="420" w:hanging="413"/>
        <w:spacing w:after="0" w:line="237"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grant represents unvested RSUs under the 2024 long-term incentive program (the “2024 LTIP”). These RSUs vest in three equal installments on an annual basis commencing one year after grant date. These awards were granted under the 2014 Plan.</w:t>
      </w:r>
    </w:p>
    <w:p>
      <w:pPr>
        <w:ind w:left="420" w:right="20" w:hanging="413"/>
        <w:spacing w:after="0" w:line="241"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grant represents unvested RSUs under the Officer 5-year performance grant. These RSUs vest in five equal installments on an annual basis commencing one year after grant date. These awards were granted under the 2014 Plan.</w:t>
      </w:r>
    </w:p>
    <w:p>
      <w:pPr>
        <w:spacing w:after="0" w:line="1" w:lineRule="exact"/>
        <w:rPr>
          <w:rFonts w:ascii="Arial" w:cs="Arial" w:eastAsia="Arial" w:hAnsi="Arial"/>
          <w:sz w:val="13"/>
          <w:szCs w:val="13"/>
          <w:color w:val="auto"/>
        </w:rPr>
      </w:pPr>
    </w:p>
    <w:p>
      <w:pPr>
        <w:ind w:left="420" w:right="20" w:hanging="413"/>
        <w:spacing w:after="0" w:line="243"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grant represents the target number of unvested PSUs under the 2023 LTIP program. These PSUs, if earned under the performance conditions, vest 100% three years from the grant date. These awards were granted under the 2014 Plan.</w:t>
      </w:r>
    </w:p>
    <w:p>
      <w:pPr>
        <w:ind w:left="420" w:right="20" w:hanging="413"/>
        <w:spacing w:after="0" w:line="243" w:lineRule="auto"/>
        <w:tabs>
          <w:tab w:leader="none" w:pos="414"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grant represents the target number of unvested PSUs under the 2024 LTIP program. These PSUs, if earned under the performance conditions, vest 100% three years from the grant date. These awards were granted under the 2014 Plan.</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Fiscal 2025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80" w:type="dxa"/>
            <w:vAlign w:val="bottom"/>
            <w:tcBorders>
              <w:bottom w:val="single" w:sz="8" w:color="00497F"/>
            </w:tcBorders>
          </w:tcPr>
          <w:p>
            <w:pPr>
              <w:spacing w:after="0"/>
              <w:rPr>
                <w:sz w:val="17"/>
                <w:szCs w:val="17"/>
                <w:color w:val="auto"/>
              </w:rPr>
            </w:pPr>
          </w:p>
        </w:tc>
        <w:tc>
          <w:tcPr>
            <w:tcW w:w="4820" w:type="dxa"/>
            <w:vAlign w:val="bottom"/>
            <w:tcBorders>
              <w:bottom w:val="single" w:sz="8" w:color="00497F"/>
            </w:tcBorders>
            <w:gridSpan w:val="3"/>
          </w:tcPr>
          <w:p>
            <w:pPr>
              <w:ind w:left="2260"/>
              <w:spacing w:after="0"/>
              <w:rPr>
                <w:sz w:val="20"/>
                <w:szCs w:val="20"/>
                <w:color w:val="auto"/>
              </w:rPr>
            </w:pPr>
            <w:r>
              <w:rPr>
                <w:rFonts w:ascii="Arial" w:cs="Arial" w:eastAsia="Arial" w:hAnsi="Arial"/>
                <w:sz w:val="14"/>
                <w:szCs w:val="14"/>
                <w:b w:val="1"/>
                <w:bCs w:val="1"/>
                <w:color w:val="003B71"/>
              </w:rPr>
              <w:t>OPTION AWARDS</w:t>
            </w:r>
          </w:p>
        </w:tc>
        <w:tc>
          <w:tcPr>
            <w:tcW w:w="2600" w:type="dxa"/>
            <w:vAlign w:val="bottom"/>
            <w:tcBorders>
              <w:bottom w:val="single" w:sz="8" w:color="00497F"/>
            </w:tcBorders>
            <w:gridSpan w:val="2"/>
          </w:tcPr>
          <w:p>
            <w:pPr>
              <w:ind w:left="1320"/>
              <w:spacing w:after="0"/>
              <w:rPr>
                <w:sz w:val="20"/>
                <w:szCs w:val="20"/>
                <w:color w:val="auto"/>
              </w:rPr>
            </w:pPr>
            <w:r>
              <w:rPr>
                <w:rFonts w:ascii="Arial" w:cs="Arial" w:eastAsia="Arial" w:hAnsi="Arial"/>
                <w:sz w:val="14"/>
                <w:szCs w:val="14"/>
                <w:b w:val="1"/>
                <w:bCs w:val="1"/>
                <w:color w:val="003B71"/>
              </w:rPr>
              <w:t>STOCK VESTED</w:t>
            </w:r>
          </w:p>
        </w:tc>
        <w:tc>
          <w:tcPr>
            <w:tcW w:w="1140" w:type="dxa"/>
            <w:vAlign w:val="bottom"/>
            <w:tcBorders>
              <w:bottom w:val="single" w:sz="8" w:color="00497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860" w:type="dxa"/>
            <w:vAlign w:val="bottom"/>
          </w:tcPr>
          <w:p>
            <w:pPr>
              <w:ind w:left="1280"/>
              <w:spacing w:after="0"/>
              <w:rPr>
                <w:sz w:val="20"/>
                <w:szCs w:val="20"/>
                <w:color w:val="auto"/>
              </w:rPr>
            </w:pPr>
            <w:r>
              <w:rPr>
                <w:rFonts w:ascii="Arial" w:cs="Arial" w:eastAsia="Arial" w:hAnsi="Arial"/>
                <w:sz w:val="14"/>
                <w:szCs w:val="14"/>
                <w:b w:val="1"/>
                <w:bCs w:val="1"/>
                <w:color w:val="auto"/>
              </w:rPr>
              <w:t>Number of Shares</w:t>
            </w:r>
          </w:p>
        </w:tc>
        <w:tc>
          <w:tcPr>
            <w:tcW w:w="260" w:type="dxa"/>
            <w:vAlign w:val="bottom"/>
          </w:tcPr>
          <w:p>
            <w:pPr>
              <w:spacing w:after="0"/>
              <w:rPr>
                <w:sz w:val="19"/>
                <w:szCs w:val="19"/>
                <w:color w:val="auto"/>
              </w:rPr>
            </w:pPr>
          </w:p>
        </w:tc>
        <w:tc>
          <w:tcPr>
            <w:tcW w:w="1700" w:type="dxa"/>
            <w:vAlign w:val="bottom"/>
          </w:tcPr>
          <w:p>
            <w:pPr>
              <w:ind w:left="100"/>
              <w:spacing w:after="0"/>
              <w:rPr>
                <w:sz w:val="20"/>
                <w:szCs w:val="20"/>
                <w:color w:val="auto"/>
              </w:rPr>
            </w:pPr>
            <w:r>
              <w:rPr>
                <w:rFonts w:ascii="Arial" w:cs="Arial" w:eastAsia="Arial" w:hAnsi="Arial"/>
                <w:sz w:val="14"/>
                <w:szCs w:val="14"/>
                <w:b w:val="1"/>
                <w:bCs w:val="1"/>
                <w:color w:val="auto"/>
              </w:rPr>
              <w:t>Value Realized on</w:t>
            </w:r>
          </w:p>
        </w:tc>
        <w:tc>
          <w:tcPr>
            <w:tcW w:w="1820" w:type="dxa"/>
            <w:vAlign w:val="bottom"/>
          </w:tcPr>
          <w:p>
            <w:pPr>
              <w:jc w:val="right"/>
              <w:ind w:right="222"/>
              <w:spacing w:after="0"/>
              <w:rPr>
                <w:sz w:val="20"/>
                <w:szCs w:val="20"/>
                <w:color w:val="auto"/>
              </w:rPr>
            </w:pPr>
            <w:r>
              <w:rPr>
                <w:rFonts w:ascii="Arial" w:cs="Arial" w:eastAsia="Arial" w:hAnsi="Arial"/>
                <w:sz w:val="14"/>
                <w:szCs w:val="14"/>
                <w:b w:val="1"/>
                <w:bCs w:val="1"/>
                <w:color w:val="auto"/>
              </w:rPr>
              <w:t>Number of Shares</w:t>
            </w:r>
          </w:p>
        </w:tc>
        <w:tc>
          <w:tcPr>
            <w:tcW w:w="19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 Realized on Vesting</w:t>
            </w:r>
          </w:p>
        </w:tc>
        <w:tc>
          <w:tcPr>
            <w:tcW w:w="0" w:type="dxa"/>
            <w:vAlign w:val="bottom"/>
          </w:tcPr>
          <w:p>
            <w:pPr>
              <w:spacing w:after="0"/>
              <w:rPr>
                <w:sz w:val="1"/>
                <w:szCs w:val="1"/>
                <w:color w:val="auto"/>
              </w:rPr>
            </w:pPr>
          </w:p>
        </w:tc>
      </w:tr>
      <w:tr>
        <w:trPr>
          <w:trHeight w:val="175"/>
        </w:trPr>
        <w:tc>
          <w:tcPr>
            <w:tcW w:w="2680" w:type="dxa"/>
            <w:vAlign w:val="bottom"/>
            <w:tcBorders>
              <w:bottom w:val="single" w:sz="8" w:color="00497F"/>
            </w:tcBorders>
            <w:vMerge w:val="continue"/>
          </w:tcPr>
          <w:p>
            <w:pPr>
              <w:spacing w:after="0"/>
              <w:rPr>
                <w:sz w:val="15"/>
                <w:szCs w:val="15"/>
                <w:color w:val="auto"/>
              </w:rPr>
            </w:pPr>
          </w:p>
        </w:tc>
        <w:tc>
          <w:tcPr>
            <w:tcW w:w="2860" w:type="dxa"/>
            <w:vAlign w:val="bottom"/>
            <w:tcBorders>
              <w:bottom w:val="single" w:sz="8" w:color="00497F"/>
            </w:tcBorders>
          </w:tcPr>
          <w:p>
            <w:pPr>
              <w:ind w:left="1180"/>
              <w:spacing w:after="0"/>
              <w:rPr>
                <w:sz w:val="20"/>
                <w:szCs w:val="20"/>
                <w:color w:val="auto"/>
              </w:rPr>
            </w:pPr>
            <w:r>
              <w:rPr>
                <w:rFonts w:ascii="Arial" w:cs="Arial" w:eastAsia="Arial" w:hAnsi="Arial"/>
                <w:sz w:val="14"/>
                <w:szCs w:val="14"/>
                <w:b w:val="1"/>
                <w:bCs w:val="1"/>
                <w:color w:val="auto"/>
              </w:rPr>
              <w:t>Acquired on Exercise</w:t>
            </w:r>
          </w:p>
        </w:tc>
        <w:tc>
          <w:tcPr>
            <w:tcW w:w="260" w:type="dxa"/>
            <w:vAlign w:val="bottom"/>
            <w:tcBorders>
              <w:bottom w:val="single" w:sz="8" w:color="00497F"/>
            </w:tcBorders>
          </w:tcPr>
          <w:p>
            <w:pPr>
              <w:spacing w:after="0"/>
              <w:rPr>
                <w:sz w:val="15"/>
                <w:szCs w:val="15"/>
                <w:color w:val="auto"/>
              </w:rPr>
            </w:pPr>
          </w:p>
        </w:tc>
        <w:tc>
          <w:tcPr>
            <w:tcW w:w="1700" w:type="dxa"/>
            <w:vAlign w:val="bottom"/>
            <w:tcBorders>
              <w:bottom w:val="single" w:sz="8" w:color="00497F"/>
            </w:tcBorders>
          </w:tcPr>
          <w:p>
            <w:pPr>
              <w:ind w:left="320"/>
              <w:spacing w:after="0" w:line="175" w:lineRule="exact"/>
              <w:rPr>
                <w:sz w:val="20"/>
                <w:szCs w:val="20"/>
                <w:color w:val="auto"/>
              </w:rPr>
            </w:pPr>
            <w:r>
              <w:rPr>
                <w:rFonts w:ascii="Arial" w:cs="Arial" w:eastAsia="Arial" w:hAnsi="Arial"/>
                <w:sz w:val="14"/>
                <w:szCs w:val="14"/>
                <w:b w:val="1"/>
                <w:bCs w:val="1"/>
                <w:color w:val="auto"/>
              </w:rPr>
              <w:t xml:space="preserve">Exercise </w:t>
            </w:r>
            <w:r>
              <w:rPr>
                <w:rFonts w:ascii="Arial" w:cs="Arial" w:eastAsia="Arial" w:hAnsi="Arial"/>
                <w:sz w:val="18"/>
                <w:szCs w:val="18"/>
                <w:b w:val="1"/>
                <w:bCs w:val="1"/>
                <w:color w:val="auto"/>
                <w:vertAlign w:val="superscript"/>
              </w:rPr>
              <w:t>(1)</w:t>
            </w:r>
          </w:p>
        </w:tc>
        <w:tc>
          <w:tcPr>
            <w:tcW w:w="18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Acquired on Vesting</w:t>
            </w:r>
          </w:p>
        </w:tc>
        <w:tc>
          <w:tcPr>
            <w:tcW w:w="780" w:type="dxa"/>
            <w:vAlign w:val="bottom"/>
            <w:tcBorders>
              <w:bottom w:val="single" w:sz="8" w:color="00497F"/>
            </w:tcBorders>
          </w:tcPr>
          <w:p>
            <w:pPr>
              <w:spacing w:after="0"/>
              <w:rPr>
                <w:sz w:val="15"/>
                <w:szCs w:val="15"/>
                <w:color w:val="auto"/>
              </w:rPr>
            </w:pPr>
          </w:p>
        </w:tc>
        <w:tc>
          <w:tcPr>
            <w:tcW w:w="1140" w:type="dxa"/>
            <w:vAlign w:val="bottom"/>
            <w:tcBorders>
              <w:bottom w:val="single" w:sz="8" w:color="00497F"/>
            </w:tcBorders>
          </w:tcPr>
          <w:p>
            <w:pPr>
              <w:jc w:val="right"/>
              <w:ind w:right="784"/>
              <w:spacing w:after="0"/>
              <w:rPr>
                <w:sz w:val="20"/>
                <w:szCs w:val="20"/>
                <w:color w:val="auto"/>
              </w:rPr>
            </w:pP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35"/>
        </w:trPr>
        <w:tc>
          <w:tcPr>
            <w:tcW w:w="2680" w:type="dxa"/>
            <w:vAlign w:val="bottom"/>
            <w:shd w:val="clear" w:color="auto" w:fill="E5E5E5"/>
          </w:tcPr>
          <w:p>
            <w:pPr>
              <w:ind w:left="20"/>
              <w:spacing w:after="0"/>
              <w:rPr>
                <w:sz w:val="20"/>
                <w:szCs w:val="20"/>
                <w:color w:val="auto"/>
              </w:rPr>
            </w:pPr>
            <w:r>
              <w:rPr>
                <w:rFonts w:ascii="Arial" w:cs="Arial" w:eastAsia="Arial" w:hAnsi="Arial"/>
                <w:sz w:val="16"/>
                <w:szCs w:val="16"/>
                <w:color w:val="auto"/>
              </w:rPr>
              <w:t>Tarun Lal</w:t>
            </w:r>
          </w:p>
        </w:tc>
        <w:tc>
          <w:tcPr>
            <w:tcW w:w="2860" w:type="dxa"/>
            <w:vAlign w:val="bottom"/>
            <w:shd w:val="clear" w:color="auto" w:fill="E5E5E5"/>
          </w:tcPr>
          <w:p>
            <w:pPr>
              <w:ind w:left="2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E5E5"/>
          </w:tcPr>
          <w:p>
            <w:pPr>
              <w:ind w:left="13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2680" w:type="dxa"/>
            <w:vAlign w:val="bottom"/>
          </w:tcPr>
          <w:p>
            <w:pPr>
              <w:ind w:left="20"/>
              <w:spacing w:after="0"/>
              <w:rPr>
                <w:sz w:val="20"/>
                <w:szCs w:val="20"/>
                <w:color w:val="auto"/>
              </w:rPr>
            </w:pPr>
            <w:r>
              <w:rPr>
                <w:rFonts w:ascii="Arial" w:cs="Arial" w:eastAsia="Arial" w:hAnsi="Arial"/>
                <w:sz w:val="16"/>
                <w:szCs w:val="16"/>
                <w:color w:val="auto"/>
              </w:rPr>
              <w:t xml:space="preserve">Kevin M. Sheehan </w:t>
            </w:r>
            <w:r>
              <w:rPr>
                <w:rFonts w:ascii="Arial" w:cs="Arial" w:eastAsia="Arial" w:hAnsi="Arial"/>
                <w:sz w:val="20"/>
                <w:szCs w:val="20"/>
                <w:color w:val="auto"/>
                <w:vertAlign w:val="superscript"/>
              </w:rPr>
              <w:t>(3)</w:t>
            </w:r>
          </w:p>
        </w:tc>
        <w:tc>
          <w:tcPr>
            <w:tcW w:w="2860" w:type="dxa"/>
            <w:vAlign w:val="bottom"/>
          </w:tcPr>
          <w:p>
            <w:pPr>
              <w:ind w:left="26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ind w:left="138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99,882</w:t>
            </w:r>
          </w:p>
        </w:tc>
        <w:tc>
          <w:tcPr>
            <w:tcW w:w="7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2,723,173</w:t>
            </w:r>
          </w:p>
        </w:tc>
        <w:tc>
          <w:tcPr>
            <w:tcW w:w="0" w:type="dxa"/>
            <w:vAlign w:val="bottom"/>
          </w:tcPr>
          <w:p>
            <w:pPr>
              <w:spacing w:after="0"/>
              <w:rPr>
                <w:sz w:val="1"/>
                <w:szCs w:val="1"/>
                <w:color w:val="auto"/>
              </w:rPr>
            </w:pPr>
          </w:p>
        </w:tc>
      </w:tr>
      <w:tr>
        <w:trPr>
          <w:trHeight w:val="242"/>
        </w:trPr>
        <w:tc>
          <w:tcPr>
            <w:tcW w:w="26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Darin Harper</w:t>
            </w:r>
          </w:p>
        </w:tc>
        <w:tc>
          <w:tcPr>
            <w:tcW w:w="2860" w:type="dxa"/>
            <w:vAlign w:val="bottom"/>
            <w:shd w:val="clear" w:color="auto" w:fill="E5E5E5"/>
          </w:tcPr>
          <w:p>
            <w:pPr>
              <w:ind w:left="2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E5E5"/>
          </w:tcPr>
          <w:p>
            <w:pPr>
              <w:ind w:left="13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10,472</w:t>
            </w:r>
          </w:p>
        </w:tc>
        <w:tc>
          <w:tcPr>
            <w:tcW w:w="7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4"/>
              <w:spacing w:after="0"/>
              <w:rPr>
                <w:sz w:val="20"/>
                <w:szCs w:val="20"/>
                <w:color w:val="auto"/>
              </w:rPr>
            </w:pPr>
            <w:r>
              <w:rPr>
                <w:rFonts w:ascii="Arial" w:cs="Arial" w:eastAsia="Arial" w:hAnsi="Arial"/>
                <w:sz w:val="16"/>
                <w:szCs w:val="16"/>
                <w:color w:val="auto"/>
              </w:rPr>
              <w:t>242,230</w:t>
            </w:r>
          </w:p>
        </w:tc>
        <w:tc>
          <w:tcPr>
            <w:tcW w:w="0" w:type="dxa"/>
            <w:vAlign w:val="bottom"/>
          </w:tcPr>
          <w:p>
            <w:pPr>
              <w:spacing w:after="0"/>
              <w:rPr>
                <w:sz w:val="1"/>
                <w:szCs w:val="1"/>
                <w:color w:val="auto"/>
              </w:rPr>
            </w:pPr>
          </w:p>
        </w:tc>
      </w:tr>
      <w:tr>
        <w:trPr>
          <w:trHeight w:val="234"/>
        </w:trPr>
        <w:tc>
          <w:tcPr>
            <w:tcW w:w="2680" w:type="dxa"/>
            <w:vAlign w:val="bottom"/>
          </w:tcPr>
          <w:p>
            <w:pPr>
              <w:ind w:left="20"/>
              <w:spacing w:after="0"/>
              <w:rPr>
                <w:sz w:val="20"/>
                <w:szCs w:val="20"/>
                <w:color w:val="auto"/>
              </w:rPr>
            </w:pPr>
            <w:r>
              <w:rPr>
                <w:rFonts w:ascii="Arial" w:cs="Arial" w:eastAsia="Arial" w:hAnsi="Arial"/>
                <w:sz w:val="16"/>
                <w:szCs w:val="16"/>
                <w:color w:val="auto"/>
              </w:rPr>
              <w:t>Antonio Bautista</w:t>
            </w:r>
          </w:p>
        </w:tc>
        <w:tc>
          <w:tcPr>
            <w:tcW w:w="2860" w:type="dxa"/>
            <w:vAlign w:val="bottom"/>
          </w:tcPr>
          <w:p>
            <w:pPr>
              <w:ind w:left="264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ind w:left="1380"/>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13,271</w:t>
            </w:r>
          </w:p>
        </w:tc>
        <w:tc>
          <w:tcPr>
            <w:tcW w:w="78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236,839</w:t>
            </w:r>
          </w:p>
        </w:tc>
        <w:tc>
          <w:tcPr>
            <w:tcW w:w="0" w:type="dxa"/>
            <w:vAlign w:val="bottom"/>
          </w:tcPr>
          <w:p>
            <w:pPr>
              <w:spacing w:after="0"/>
              <w:rPr>
                <w:sz w:val="1"/>
                <w:szCs w:val="1"/>
                <w:color w:val="auto"/>
              </w:rPr>
            </w:pPr>
          </w:p>
        </w:tc>
      </w:tr>
      <w:tr>
        <w:trPr>
          <w:trHeight w:val="249"/>
        </w:trPr>
        <w:tc>
          <w:tcPr>
            <w:tcW w:w="2680" w:type="dxa"/>
            <w:vAlign w:val="bottom"/>
            <w:shd w:val="clear" w:color="auto" w:fill="E5E5E5"/>
          </w:tcPr>
          <w:p>
            <w:pPr>
              <w:ind w:left="20"/>
              <w:spacing w:after="0"/>
              <w:rPr>
                <w:sz w:val="20"/>
                <w:szCs w:val="20"/>
                <w:color w:val="auto"/>
              </w:rPr>
            </w:pPr>
            <w:r>
              <w:rPr>
                <w:rFonts w:ascii="Arial" w:cs="Arial" w:eastAsia="Arial" w:hAnsi="Arial"/>
                <w:sz w:val="16"/>
                <w:szCs w:val="16"/>
                <w:color w:val="auto"/>
              </w:rPr>
              <w:t>Steve Klohn</w:t>
            </w:r>
          </w:p>
        </w:tc>
        <w:tc>
          <w:tcPr>
            <w:tcW w:w="2860" w:type="dxa"/>
            <w:vAlign w:val="bottom"/>
            <w:shd w:val="clear" w:color="auto" w:fill="E5E5E5"/>
          </w:tcPr>
          <w:p>
            <w:pPr>
              <w:ind w:left="264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E5E5E5"/>
          </w:tcPr>
          <w:p>
            <w:pPr>
              <w:ind w:left="1380"/>
              <w:spacing w:after="0"/>
              <w:rPr>
                <w:sz w:val="20"/>
                <w:szCs w:val="20"/>
                <w:color w:val="auto"/>
              </w:rPr>
            </w:pPr>
            <w:r>
              <w:rPr>
                <w:rFonts w:ascii="Arial" w:cs="Arial" w:eastAsia="Arial" w:hAnsi="Arial"/>
                <w:sz w:val="16"/>
                <w:szCs w:val="16"/>
                <w:color w:val="auto"/>
              </w:rPr>
              <w:t>—</w:t>
            </w:r>
          </w:p>
        </w:tc>
        <w:tc>
          <w:tcPr>
            <w:tcW w:w="1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9,240</w:t>
            </w:r>
          </w:p>
        </w:tc>
        <w:tc>
          <w:tcPr>
            <w:tcW w:w="780" w:type="dxa"/>
            <w:vAlign w:val="bottom"/>
            <w:shd w:val="clear" w:color="auto" w:fill="E5E5E5"/>
          </w:tcPr>
          <w:p>
            <w:pPr>
              <w:ind w:left="1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4"/>
              <w:spacing w:after="0"/>
              <w:rPr>
                <w:sz w:val="20"/>
                <w:szCs w:val="20"/>
                <w:color w:val="auto"/>
              </w:rPr>
            </w:pPr>
            <w:r>
              <w:rPr>
                <w:rFonts w:ascii="Arial" w:cs="Arial" w:eastAsia="Arial" w:hAnsi="Arial"/>
                <w:sz w:val="16"/>
                <w:szCs w:val="16"/>
                <w:color w:val="auto"/>
              </w:rPr>
              <w:t>203,715</w:t>
            </w:r>
          </w:p>
        </w:tc>
        <w:tc>
          <w:tcPr>
            <w:tcW w:w="0" w:type="dxa"/>
            <w:vAlign w:val="bottom"/>
          </w:tcPr>
          <w:p>
            <w:pPr>
              <w:spacing w:after="0"/>
              <w:rPr>
                <w:sz w:val="1"/>
                <w:szCs w:val="1"/>
                <w:color w:val="auto"/>
              </w:rPr>
            </w:pPr>
          </w:p>
        </w:tc>
      </w:tr>
      <w:tr>
        <w:trPr>
          <w:trHeight w:val="235"/>
        </w:trPr>
        <w:tc>
          <w:tcPr>
            <w:tcW w:w="2680" w:type="dxa"/>
            <w:vAlign w:val="bottom"/>
            <w:tcBorders>
              <w:bottom w:val="single" w:sz="8" w:color="00497F"/>
            </w:tcBorders>
          </w:tcPr>
          <w:p>
            <w:pPr>
              <w:ind w:left="20"/>
              <w:spacing w:after="0"/>
              <w:rPr>
                <w:sz w:val="20"/>
                <w:szCs w:val="20"/>
                <w:color w:val="auto"/>
              </w:rPr>
            </w:pPr>
            <w:r>
              <w:rPr>
                <w:rFonts w:ascii="Arial" w:cs="Arial" w:eastAsia="Arial" w:hAnsi="Arial"/>
                <w:sz w:val="16"/>
                <w:szCs w:val="16"/>
                <w:color w:val="auto"/>
              </w:rPr>
              <w:t>Tony Wehner</w:t>
            </w:r>
          </w:p>
        </w:tc>
        <w:tc>
          <w:tcPr>
            <w:tcW w:w="2860" w:type="dxa"/>
            <w:vAlign w:val="bottom"/>
            <w:tcBorders>
              <w:bottom w:val="single" w:sz="8" w:color="00497F"/>
            </w:tcBorders>
          </w:tcPr>
          <w:p>
            <w:pPr>
              <w:ind w:left="26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00497F"/>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0497F"/>
            </w:tcBorders>
          </w:tcPr>
          <w:p>
            <w:pPr>
              <w:ind w:left="138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00497F"/>
            </w:tcBorders>
          </w:tcPr>
          <w:p>
            <w:pPr>
              <w:jc w:val="right"/>
              <w:spacing w:after="0"/>
              <w:rPr>
                <w:sz w:val="20"/>
                <w:szCs w:val="20"/>
                <w:color w:val="auto"/>
              </w:rPr>
            </w:pPr>
            <w:r>
              <w:rPr>
                <w:rFonts w:ascii="Arial" w:cs="Arial" w:eastAsia="Arial" w:hAnsi="Arial"/>
                <w:sz w:val="16"/>
                <w:szCs w:val="16"/>
                <w:color w:val="auto"/>
              </w:rPr>
              <w:t>13,715</w:t>
            </w:r>
          </w:p>
        </w:tc>
        <w:tc>
          <w:tcPr>
            <w:tcW w:w="780" w:type="dxa"/>
            <w:vAlign w:val="bottom"/>
            <w:tcBorders>
              <w:bottom w:val="single" w:sz="8" w:color="00497F"/>
            </w:tcBorders>
          </w:tcPr>
          <w:p>
            <w:pPr>
              <w:ind w:lef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497F"/>
            </w:tcBorders>
          </w:tcPr>
          <w:p>
            <w:pPr>
              <w:jc w:val="right"/>
              <w:ind w:right="4"/>
              <w:spacing w:after="0"/>
              <w:rPr>
                <w:sz w:val="20"/>
                <w:szCs w:val="20"/>
                <w:color w:val="auto"/>
              </w:rPr>
            </w:pPr>
            <w:r>
              <w:rPr>
                <w:rFonts w:ascii="Arial" w:cs="Arial" w:eastAsia="Arial" w:hAnsi="Arial"/>
                <w:sz w:val="16"/>
                <w:szCs w:val="16"/>
                <w:color w:val="auto"/>
              </w:rPr>
              <w:t>238,996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20" w:hanging="413"/>
        <w:spacing w:after="0" w:line="226" w:lineRule="auto"/>
        <w:tabs>
          <w:tab w:leader="none" w:pos="413"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The value realized on the exercise of options is equal to (i) the amount per share at which the NEO sold shares acquired on exercise (all of which occurred on the date of exercise) minus the exercise price of the option (ii) multiplied by the number of shares acquired on exercise of the option.</w:t>
      </w:r>
    </w:p>
    <w:p>
      <w:pPr>
        <w:spacing w:after="0" w:line="1" w:lineRule="exact"/>
        <w:rPr>
          <w:rFonts w:ascii="Arial" w:cs="Arial" w:eastAsia="Arial" w:hAnsi="Arial"/>
          <w:sz w:val="21"/>
          <w:szCs w:val="21"/>
          <w:color w:val="auto"/>
          <w:vertAlign w:val="superscript"/>
        </w:rPr>
      </w:pPr>
    </w:p>
    <w:p>
      <w:pPr>
        <w:jc w:val="both"/>
        <w:ind w:left="420" w:hanging="413"/>
        <w:spacing w:after="0" w:line="228" w:lineRule="auto"/>
        <w:tabs>
          <w:tab w:leader="none" w:pos="413"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The value realized on the vesting of stock awards is equal to the closing market price of the Company’s common stock on the date of vesting multiplied by the number of shares acquired upon vesting. The number of shares and value realized on vesting includes shares, if any, that were withheld at the time of vesting to satisfy tax withholding requirements.</w:t>
      </w:r>
    </w:p>
    <w:p>
      <w:pPr>
        <w:spacing w:after="0" w:line="2" w:lineRule="exact"/>
        <w:rPr>
          <w:rFonts w:ascii="Arial" w:cs="Arial" w:eastAsia="Arial" w:hAnsi="Arial"/>
          <w:sz w:val="21"/>
          <w:szCs w:val="21"/>
          <w:color w:val="auto"/>
          <w:vertAlign w:val="superscript"/>
        </w:rPr>
      </w:pPr>
    </w:p>
    <w:p>
      <w:pPr>
        <w:ind w:left="400" w:hanging="393"/>
        <w:spacing w:after="0" w:line="196" w:lineRule="auto"/>
        <w:tabs>
          <w:tab w:leader="none" w:pos="400" w:val="left"/>
        </w:tabs>
        <w:numPr>
          <w:ilvl w:val="0"/>
          <w:numId w:val="90"/>
        </w:numPr>
        <w:rPr>
          <w:rFonts w:ascii="Arial" w:cs="Arial" w:eastAsia="Arial" w:hAnsi="Arial"/>
          <w:sz w:val="21"/>
          <w:szCs w:val="21"/>
          <w:color w:val="auto"/>
          <w:vertAlign w:val="superscript"/>
        </w:rPr>
      </w:pPr>
      <w:r>
        <w:rPr>
          <w:rFonts w:ascii="Arial" w:cs="Arial" w:eastAsia="Arial" w:hAnsi="Arial"/>
          <w:sz w:val="16"/>
          <w:szCs w:val="16"/>
          <w:color w:val="auto"/>
        </w:rPr>
        <w:t>Activity for Mr. Sheehan includes vesting of awards received as compensation for serving as a director.</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Fiscal 2025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SERP is an unfunded defined contribution plan designed to permit a select group of management or highly compensated employees to set aside base salary on a pre-tax basis. The SERP has a variety of notional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71329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43</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18"/>
          <w:szCs w:val="18"/>
          <w:color w:val="auto"/>
        </w:rPr>
        <w:t>investment options similar in type to our 401(k) plan. Pursuant to the SERP, the Company matches 33% of the employee’s contributions, up to the first 6% of salary deferred. Employer contributions to a participant’s account vest in equal portions over the first three years a participant is eligible to participate in the SERP and become immediately vested upon termination of a participant’s employment on or after age 65 or by reason of the participant’s death or disability, and upon a change of control (as defined in the SERP). Pursuant to Section 409A of the Internal Revenue Code, however, such distribution cannot be made to certain employees of a publicly traded corporation before the earlier of six months following the employee’s termination date or the death of the employee. Employer contributions are fully vested after three years of eligibility. Withdrawals from the SERP may be permitted in the event of an unforeseeable emergency.</w:t>
      </w:r>
    </w:p>
    <w:p>
      <w:pPr>
        <w:spacing w:after="0" w:line="315"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The following table shows contributions to each NEO’s deferred compensation account in fiscal 2025 and the aggregate amount of such officer’s deferred compensation as of February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29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tcPr>
          <w:p>
            <w:pPr>
              <w:jc w:val="center"/>
              <w:ind w:right="43"/>
              <w:spacing w:after="0"/>
              <w:rPr>
                <w:sz w:val="20"/>
                <w:szCs w:val="20"/>
                <w:color w:val="auto"/>
              </w:rPr>
            </w:pPr>
            <w:r>
              <w:rPr>
                <w:rFonts w:ascii="Arial" w:cs="Arial" w:eastAsia="Arial" w:hAnsi="Arial"/>
                <w:sz w:val="14"/>
                <w:szCs w:val="14"/>
                <w:b w:val="1"/>
                <w:bCs w:val="1"/>
                <w:color w:val="003B71"/>
              </w:rPr>
              <w:t>Executive</w:t>
            </w:r>
          </w:p>
        </w:tc>
        <w:tc>
          <w:tcPr>
            <w:tcW w:w="180" w:type="dxa"/>
            <w:vAlign w:val="bottom"/>
          </w:tcPr>
          <w:p>
            <w:pPr>
              <w:spacing w:after="0"/>
              <w:rPr>
                <w:sz w:val="14"/>
                <w:szCs w:val="14"/>
                <w:color w:val="auto"/>
              </w:rPr>
            </w:pPr>
          </w:p>
        </w:tc>
        <w:tc>
          <w:tcPr>
            <w:tcW w:w="1720" w:type="dxa"/>
            <w:vAlign w:val="bottom"/>
          </w:tcPr>
          <w:p>
            <w:pPr>
              <w:jc w:val="center"/>
              <w:ind w:right="183"/>
              <w:spacing w:after="0"/>
              <w:rPr>
                <w:sz w:val="20"/>
                <w:szCs w:val="20"/>
                <w:color w:val="auto"/>
              </w:rPr>
            </w:pPr>
            <w:r>
              <w:rPr>
                <w:rFonts w:ascii="Arial" w:cs="Arial" w:eastAsia="Arial" w:hAnsi="Arial"/>
                <w:sz w:val="14"/>
                <w:szCs w:val="14"/>
                <w:b w:val="1"/>
                <w:bCs w:val="1"/>
                <w:color w:val="003B71"/>
              </w:rPr>
              <w:t>Registrant</w:t>
            </w:r>
          </w:p>
        </w:tc>
        <w:tc>
          <w:tcPr>
            <w:tcW w:w="380" w:type="dxa"/>
            <w:vAlign w:val="bottom"/>
          </w:tcPr>
          <w:p>
            <w:pPr>
              <w:spacing w:after="0"/>
              <w:rPr>
                <w:sz w:val="14"/>
                <w:szCs w:val="14"/>
                <w:color w:val="auto"/>
              </w:rPr>
            </w:pPr>
          </w:p>
        </w:tc>
        <w:tc>
          <w:tcPr>
            <w:tcW w:w="1520" w:type="dxa"/>
            <w:vAlign w:val="bottom"/>
          </w:tcPr>
          <w:p>
            <w:pPr>
              <w:jc w:val="center"/>
              <w:ind w:right="143"/>
              <w:spacing w:after="0"/>
              <w:rPr>
                <w:sz w:val="20"/>
                <w:szCs w:val="20"/>
                <w:color w:val="auto"/>
              </w:rPr>
            </w:pPr>
            <w:r>
              <w:rPr>
                <w:rFonts w:ascii="Arial" w:cs="Arial" w:eastAsia="Arial" w:hAnsi="Arial"/>
                <w:sz w:val="14"/>
                <w:szCs w:val="14"/>
                <w:b w:val="1"/>
                <w:bCs w:val="1"/>
                <w:color w:val="003B71"/>
              </w:rPr>
              <w:t>Aggregate</w:t>
            </w: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Arial" w:cs="Arial" w:eastAsia="Arial" w:hAnsi="Arial"/>
                <w:sz w:val="14"/>
                <w:szCs w:val="14"/>
                <w:b w:val="1"/>
                <w:bCs w:val="1"/>
                <w:color w:val="003B71"/>
              </w:rPr>
              <w:t>Aggregate Balance at</w:t>
            </w:r>
          </w:p>
        </w:tc>
      </w:tr>
      <w:tr>
        <w:trPr>
          <w:trHeight w:val="175"/>
        </w:trPr>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center"/>
              <w:ind w:right="63"/>
              <w:spacing w:after="0"/>
              <w:rPr>
                <w:sz w:val="20"/>
                <w:szCs w:val="20"/>
                <w:color w:val="auto"/>
              </w:rPr>
            </w:pPr>
            <w:r>
              <w:rPr>
                <w:rFonts w:ascii="Arial" w:cs="Arial" w:eastAsia="Arial" w:hAnsi="Arial"/>
                <w:sz w:val="14"/>
                <w:szCs w:val="14"/>
                <w:b w:val="1"/>
                <w:bCs w:val="1"/>
                <w:color w:val="003B71"/>
              </w:rPr>
              <w:t>Contributions in Last</w:t>
            </w:r>
          </w:p>
        </w:tc>
        <w:tc>
          <w:tcPr>
            <w:tcW w:w="180" w:type="dxa"/>
            <w:vAlign w:val="bottom"/>
          </w:tcPr>
          <w:p>
            <w:pPr>
              <w:spacing w:after="0"/>
              <w:rPr>
                <w:sz w:val="15"/>
                <w:szCs w:val="15"/>
                <w:color w:val="auto"/>
              </w:rPr>
            </w:pPr>
          </w:p>
        </w:tc>
        <w:tc>
          <w:tcPr>
            <w:tcW w:w="1720" w:type="dxa"/>
            <w:vAlign w:val="bottom"/>
          </w:tcPr>
          <w:p>
            <w:pPr>
              <w:jc w:val="center"/>
              <w:ind w:right="203"/>
              <w:spacing w:after="0"/>
              <w:rPr>
                <w:sz w:val="20"/>
                <w:szCs w:val="20"/>
                <w:color w:val="auto"/>
              </w:rPr>
            </w:pPr>
            <w:r>
              <w:rPr>
                <w:rFonts w:ascii="Arial" w:cs="Arial" w:eastAsia="Arial" w:hAnsi="Arial"/>
                <w:sz w:val="14"/>
                <w:szCs w:val="14"/>
                <w:b w:val="1"/>
                <w:bCs w:val="1"/>
                <w:color w:val="003B71"/>
              </w:rPr>
              <w:t>Contributions in Last</w:t>
            </w:r>
          </w:p>
        </w:tc>
        <w:tc>
          <w:tcPr>
            <w:tcW w:w="380" w:type="dxa"/>
            <w:vAlign w:val="bottom"/>
          </w:tcPr>
          <w:p>
            <w:pPr>
              <w:spacing w:after="0"/>
              <w:rPr>
                <w:sz w:val="15"/>
                <w:szCs w:val="15"/>
                <w:color w:val="auto"/>
              </w:rPr>
            </w:pPr>
          </w:p>
        </w:tc>
        <w:tc>
          <w:tcPr>
            <w:tcW w:w="1520" w:type="dxa"/>
            <w:vAlign w:val="bottom"/>
          </w:tcPr>
          <w:p>
            <w:pPr>
              <w:jc w:val="center"/>
              <w:ind w:right="143"/>
              <w:spacing w:after="0"/>
              <w:rPr>
                <w:sz w:val="20"/>
                <w:szCs w:val="20"/>
                <w:color w:val="auto"/>
              </w:rPr>
            </w:pPr>
            <w:r>
              <w:rPr>
                <w:rFonts w:ascii="Arial" w:cs="Arial" w:eastAsia="Arial" w:hAnsi="Arial"/>
                <w:sz w:val="14"/>
                <w:szCs w:val="14"/>
                <w:b w:val="1"/>
                <w:bCs w:val="1"/>
                <w:color w:val="003B71"/>
              </w:rPr>
              <w:t>Earnings in Last</w:t>
            </w:r>
          </w:p>
        </w:tc>
        <w:tc>
          <w:tcPr>
            <w:tcW w:w="280" w:type="dxa"/>
            <w:vAlign w:val="bottom"/>
          </w:tcPr>
          <w:p>
            <w:pPr>
              <w:spacing w:after="0"/>
              <w:rPr>
                <w:sz w:val="15"/>
                <w:szCs w:val="15"/>
                <w:color w:val="auto"/>
              </w:rPr>
            </w:pPr>
          </w:p>
        </w:tc>
        <w:tc>
          <w:tcPr>
            <w:tcW w:w="1480" w:type="dxa"/>
            <w:vAlign w:val="bottom"/>
          </w:tcPr>
          <w:p>
            <w:pPr>
              <w:jc w:val="center"/>
              <w:ind w:right="183"/>
              <w:spacing w:after="0"/>
              <w:rPr>
                <w:sz w:val="20"/>
                <w:szCs w:val="20"/>
                <w:color w:val="auto"/>
              </w:rPr>
            </w:pPr>
            <w:r>
              <w:rPr>
                <w:rFonts w:ascii="Arial" w:cs="Arial" w:eastAsia="Arial" w:hAnsi="Arial"/>
                <w:sz w:val="14"/>
                <w:szCs w:val="14"/>
                <w:b w:val="1"/>
                <w:bCs w:val="1"/>
                <w:color w:val="003B71"/>
              </w:rPr>
              <w:t>Fees and</w:t>
            </w:r>
          </w:p>
        </w:tc>
        <w:tc>
          <w:tcPr>
            <w:tcW w:w="240" w:type="dxa"/>
            <w:vAlign w:val="bottom"/>
          </w:tcPr>
          <w:p>
            <w:pPr>
              <w:spacing w:after="0"/>
              <w:rPr>
                <w:sz w:val="15"/>
                <w:szCs w:val="15"/>
                <w:color w:val="auto"/>
              </w:rPr>
            </w:pPr>
          </w:p>
        </w:tc>
        <w:tc>
          <w:tcPr>
            <w:tcW w:w="1460" w:type="dxa"/>
            <w:vAlign w:val="bottom"/>
          </w:tcPr>
          <w:p>
            <w:pPr>
              <w:jc w:val="center"/>
              <w:ind w:right="126"/>
              <w:spacing w:after="0"/>
              <w:rPr>
                <w:sz w:val="20"/>
                <w:szCs w:val="20"/>
                <w:color w:val="auto"/>
              </w:rPr>
            </w:pPr>
            <w:r>
              <w:rPr>
                <w:rFonts w:ascii="Arial" w:cs="Arial" w:eastAsia="Arial" w:hAnsi="Arial"/>
                <w:sz w:val="14"/>
                <w:szCs w:val="14"/>
                <w:b w:val="1"/>
                <w:bCs w:val="1"/>
                <w:color w:val="003B71"/>
              </w:rPr>
              <w:t>Last Fiscal Year-</w:t>
            </w:r>
          </w:p>
        </w:tc>
      </w:tr>
      <w:tr>
        <w:trPr>
          <w:trHeight w:val="175"/>
        </w:trPr>
        <w:tc>
          <w:tcPr>
            <w:tcW w:w="1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center"/>
              <w:ind w:right="43"/>
              <w:spacing w:after="0"/>
              <w:rPr>
                <w:sz w:val="20"/>
                <w:szCs w:val="20"/>
                <w:color w:val="auto"/>
              </w:rPr>
            </w:pPr>
            <w:r>
              <w:rPr>
                <w:rFonts w:ascii="Arial" w:cs="Arial" w:eastAsia="Arial" w:hAnsi="Arial"/>
                <w:sz w:val="14"/>
                <w:szCs w:val="14"/>
                <w:b w:val="1"/>
                <w:bCs w:val="1"/>
                <w:color w:val="003B71"/>
              </w:rPr>
              <w:t>Fiscal Year</w:t>
            </w:r>
            <w:r>
              <w:rPr>
                <w:rFonts w:ascii="Arial" w:cs="Arial" w:eastAsia="Arial" w:hAnsi="Arial"/>
                <w:sz w:val="9"/>
                <w:szCs w:val="9"/>
                <w:b w:val="1"/>
                <w:bCs w:val="1"/>
                <w:color w:val="003B71"/>
              </w:rPr>
              <w:t>(1)</w:t>
            </w:r>
          </w:p>
        </w:tc>
        <w:tc>
          <w:tcPr>
            <w:tcW w:w="180" w:type="dxa"/>
            <w:vAlign w:val="bottom"/>
          </w:tcPr>
          <w:p>
            <w:pPr>
              <w:spacing w:after="0"/>
              <w:rPr>
                <w:sz w:val="15"/>
                <w:szCs w:val="15"/>
                <w:color w:val="auto"/>
              </w:rPr>
            </w:pPr>
          </w:p>
        </w:tc>
        <w:tc>
          <w:tcPr>
            <w:tcW w:w="1720" w:type="dxa"/>
            <w:vAlign w:val="bottom"/>
          </w:tcPr>
          <w:p>
            <w:pPr>
              <w:jc w:val="center"/>
              <w:ind w:right="183"/>
              <w:spacing w:after="0"/>
              <w:rPr>
                <w:sz w:val="20"/>
                <w:szCs w:val="20"/>
                <w:color w:val="auto"/>
              </w:rPr>
            </w:pPr>
            <w:r>
              <w:rPr>
                <w:rFonts w:ascii="Arial" w:cs="Arial" w:eastAsia="Arial" w:hAnsi="Arial"/>
                <w:sz w:val="14"/>
                <w:szCs w:val="14"/>
                <w:b w:val="1"/>
                <w:bCs w:val="1"/>
                <w:color w:val="003B71"/>
              </w:rPr>
              <w:t>Fiscal Year</w:t>
            </w:r>
            <w:r>
              <w:rPr>
                <w:rFonts w:ascii="Arial" w:cs="Arial" w:eastAsia="Arial" w:hAnsi="Arial"/>
                <w:sz w:val="9"/>
                <w:szCs w:val="9"/>
                <w:b w:val="1"/>
                <w:bCs w:val="1"/>
                <w:color w:val="003B71"/>
              </w:rPr>
              <w:t>(2)</w:t>
            </w:r>
          </w:p>
        </w:tc>
        <w:tc>
          <w:tcPr>
            <w:tcW w:w="380" w:type="dxa"/>
            <w:vAlign w:val="bottom"/>
          </w:tcPr>
          <w:p>
            <w:pPr>
              <w:spacing w:after="0"/>
              <w:rPr>
                <w:sz w:val="15"/>
                <w:szCs w:val="15"/>
                <w:color w:val="auto"/>
              </w:rPr>
            </w:pPr>
          </w:p>
        </w:tc>
        <w:tc>
          <w:tcPr>
            <w:tcW w:w="1520" w:type="dxa"/>
            <w:vAlign w:val="bottom"/>
          </w:tcPr>
          <w:p>
            <w:pPr>
              <w:jc w:val="center"/>
              <w:ind w:right="143"/>
              <w:spacing w:after="0"/>
              <w:rPr>
                <w:sz w:val="20"/>
                <w:szCs w:val="20"/>
                <w:color w:val="auto"/>
              </w:rPr>
            </w:pPr>
            <w:r>
              <w:rPr>
                <w:rFonts w:ascii="Arial" w:cs="Arial" w:eastAsia="Arial" w:hAnsi="Arial"/>
                <w:sz w:val="14"/>
                <w:szCs w:val="14"/>
                <w:b w:val="1"/>
                <w:bCs w:val="1"/>
                <w:color w:val="003B71"/>
              </w:rPr>
              <w:t>Fiscal Year</w:t>
            </w:r>
            <w:r>
              <w:rPr>
                <w:rFonts w:ascii="Arial" w:cs="Arial" w:eastAsia="Arial" w:hAnsi="Arial"/>
                <w:sz w:val="9"/>
                <w:szCs w:val="9"/>
                <w:b w:val="1"/>
                <w:bCs w:val="1"/>
                <w:color w:val="003B71"/>
              </w:rPr>
              <w:t>(3)</w:t>
            </w:r>
          </w:p>
        </w:tc>
        <w:tc>
          <w:tcPr>
            <w:tcW w:w="280" w:type="dxa"/>
            <w:vAlign w:val="bottom"/>
          </w:tcPr>
          <w:p>
            <w:pPr>
              <w:spacing w:after="0"/>
              <w:rPr>
                <w:sz w:val="15"/>
                <w:szCs w:val="15"/>
                <w:color w:val="auto"/>
              </w:rPr>
            </w:pPr>
          </w:p>
        </w:tc>
        <w:tc>
          <w:tcPr>
            <w:tcW w:w="1480" w:type="dxa"/>
            <w:vAlign w:val="bottom"/>
          </w:tcPr>
          <w:p>
            <w:pPr>
              <w:jc w:val="center"/>
              <w:ind w:right="183"/>
              <w:spacing w:after="0"/>
              <w:rPr>
                <w:sz w:val="20"/>
                <w:szCs w:val="20"/>
                <w:color w:val="auto"/>
              </w:rPr>
            </w:pPr>
            <w:r>
              <w:rPr>
                <w:rFonts w:ascii="Arial" w:cs="Arial" w:eastAsia="Arial" w:hAnsi="Arial"/>
                <w:sz w:val="14"/>
                <w:szCs w:val="14"/>
                <w:b w:val="1"/>
                <w:bCs w:val="1"/>
                <w:color w:val="003B71"/>
              </w:rPr>
              <w:t>Adjustments</w:t>
            </w:r>
            <w:r>
              <w:rPr>
                <w:rFonts w:ascii="Arial" w:cs="Arial" w:eastAsia="Arial" w:hAnsi="Arial"/>
                <w:sz w:val="9"/>
                <w:szCs w:val="9"/>
                <w:b w:val="1"/>
                <w:bCs w:val="1"/>
                <w:color w:val="003B71"/>
              </w:rPr>
              <w:t>(3)</w:t>
            </w:r>
          </w:p>
        </w:tc>
        <w:tc>
          <w:tcPr>
            <w:tcW w:w="240" w:type="dxa"/>
            <w:vAlign w:val="bottom"/>
          </w:tcPr>
          <w:p>
            <w:pPr>
              <w:spacing w:after="0"/>
              <w:rPr>
                <w:sz w:val="15"/>
                <w:szCs w:val="15"/>
                <w:color w:val="auto"/>
              </w:rPr>
            </w:pPr>
          </w:p>
        </w:tc>
        <w:tc>
          <w:tcPr>
            <w:tcW w:w="1460" w:type="dxa"/>
            <w:vAlign w:val="bottom"/>
          </w:tcPr>
          <w:p>
            <w:pPr>
              <w:jc w:val="center"/>
              <w:ind w:right="126"/>
              <w:spacing w:after="0" w:line="175" w:lineRule="exact"/>
              <w:rPr>
                <w:sz w:val="20"/>
                <w:szCs w:val="20"/>
                <w:color w:val="auto"/>
              </w:rPr>
            </w:pPr>
            <w:r>
              <w:rPr>
                <w:rFonts w:ascii="Arial" w:cs="Arial" w:eastAsia="Arial" w:hAnsi="Arial"/>
                <w:sz w:val="20"/>
                <w:szCs w:val="20"/>
                <w:b w:val="1"/>
                <w:bCs w:val="1"/>
                <w:color w:val="003B71"/>
                <w:vertAlign w:val="subscript"/>
              </w:rPr>
              <w:t>End</w:t>
            </w:r>
            <w:r>
              <w:rPr>
                <w:rFonts w:ascii="Arial" w:cs="Arial" w:eastAsia="Arial" w:hAnsi="Arial"/>
                <w:sz w:val="8"/>
                <w:szCs w:val="8"/>
                <w:b w:val="1"/>
                <w:bCs w:val="1"/>
                <w:color w:val="003B71"/>
              </w:rPr>
              <w:t>(4)(5)</w:t>
            </w:r>
          </w:p>
        </w:tc>
      </w:tr>
      <w:tr>
        <w:trPr>
          <w:trHeight w:val="204"/>
        </w:trPr>
        <w:tc>
          <w:tcPr>
            <w:tcW w:w="1820" w:type="dxa"/>
            <w:vAlign w:val="bottom"/>
            <w:tcBorders>
              <w:bottom w:val="single" w:sz="8" w:color="00497F"/>
            </w:tcBorders>
          </w:tcPr>
          <w:p>
            <w:pPr>
              <w:ind w:left="20"/>
              <w:spacing w:after="0"/>
              <w:rPr>
                <w:sz w:val="20"/>
                <w:szCs w:val="20"/>
                <w:color w:val="auto"/>
              </w:rPr>
            </w:pPr>
            <w:r>
              <w:rPr>
                <w:rFonts w:ascii="Arial" w:cs="Arial" w:eastAsia="Arial" w:hAnsi="Arial"/>
                <w:sz w:val="14"/>
                <w:szCs w:val="14"/>
                <w:b w:val="1"/>
                <w:bCs w:val="1"/>
                <w:color w:val="003B71"/>
              </w:rPr>
              <w:t>Name</w:t>
            </w:r>
          </w:p>
        </w:tc>
        <w:tc>
          <w:tcPr>
            <w:tcW w:w="580" w:type="dxa"/>
            <w:vAlign w:val="bottom"/>
            <w:tcBorders>
              <w:bottom w:val="single" w:sz="8" w:color="00497F"/>
            </w:tcBorders>
          </w:tcPr>
          <w:p>
            <w:pPr>
              <w:spacing w:after="0"/>
              <w:rPr>
                <w:sz w:val="17"/>
                <w:szCs w:val="17"/>
                <w:color w:val="auto"/>
              </w:rPr>
            </w:pPr>
          </w:p>
        </w:tc>
        <w:tc>
          <w:tcPr>
            <w:tcW w:w="1580" w:type="dxa"/>
            <w:vAlign w:val="bottom"/>
            <w:tcBorders>
              <w:bottom w:val="single" w:sz="8" w:color="00497F"/>
            </w:tcBorders>
          </w:tcPr>
          <w:p>
            <w:pPr>
              <w:jc w:val="center"/>
              <w:ind w:right="43"/>
              <w:spacing w:after="0"/>
              <w:rPr>
                <w:sz w:val="20"/>
                <w:szCs w:val="20"/>
                <w:color w:val="auto"/>
              </w:rPr>
            </w:pPr>
            <w:r>
              <w:rPr>
                <w:rFonts w:ascii="Arial" w:cs="Arial" w:eastAsia="Arial" w:hAnsi="Arial"/>
                <w:sz w:val="14"/>
                <w:szCs w:val="14"/>
                <w:b w:val="1"/>
                <w:bCs w:val="1"/>
                <w:color w:val="003B71"/>
              </w:rPr>
              <w:t>($)</w:t>
            </w:r>
          </w:p>
        </w:tc>
        <w:tc>
          <w:tcPr>
            <w:tcW w:w="180" w:type="dxa"/>
            <w:vAlign w:val="bottom"/>
            <w:tcBorders>
              <w:bottom w:val="single" w:sz="8" w:color="00497F"/>
            </w:tcBorders>
          </w:tcPr>
          <w:p>
            <w:pPr>
              <w:spacing w:after="0"/>
              <w:rPr>
                <w:sz w:val="17"/>
                <w:szCs w:val="17"/>
                <w:color w:val="auto"/>
              </w:rPr>
            </w:pPr>
          </w:p>
        </w:tc>
        <w:tc>
          <w:tcPr>
            <w:tcW w:w="1720" w:type="dxa"/>
            <w:vAlign w:val="bottom"/>
            <w:tcBorders>
              <w:bottom w:val="single" w:sz="8" w:color="00497F"/>
            </w:tcBorders>
          </w:tcPr>
          <w:p>
            <w:pPr>
              <w:jc w:val="center"/>
              <w:ind w:right="183"/>
              <w:spacing w:after="0"/>
              <w:rPr>
                <w:sz w:val="20"/>
                <w:szCs w:val="20"/>
                <w:color w:val="auto"/>
              </w:rPr>
            </w:pPr>
            <w:r>
              <w:rPr>
                <w:rFonts w:ascii="Arial" w:cs="Arial" w:eastAsia="Arial" w:hAnsi="Arial"/>
                <w:sz w:val="14"/>
                <w:szCs w:val="14"/>
                <w:b w:val="1"/>
                <w:bCs w:val="1"/>
                <w:color w:val="003B71"/>
              </w:rPr>
              <w:t>($)</w:t>
            </w:r>
          </w:p>
        </w:tc>
        <w:tc>
          <w:tcPr>
            <w:tcW w:w="380" w:type="dxa"/>
            <w:vAlign w:val="bottom"/>
            <w:tcBorders>
              <w:bottom w:val="single" w:sz="8" w:color="00497F"/>
            </w:tcBorders>
          </w:tcPr>
          <w:p>
            <w:pPr>
              <w:spacing w:after="0"/>
              <w:rPr>
                <w:sz w:val="17"/>
                <w:szCs w:val="17"/>
                <w:color w:val="auto"/>
              </w:rPr>
            </w:pPr>
          </w:p>
        </w:tc>
        <w:tc>
          <w:tcPr>
            <w:tcW w:w="1520" w:type="dxa"/>
            <w:vAlign w:val="bottom"/>
            <w:tcBorders>
              <w:bottom w:val="single" w:sz="8" w:color="00497F"/>
            </w:tcBorders>
          </w:tcPr>
          <w:p>
            <w:pPr>
              <w:jc w:val="center"/>
              <w:ind w:right="143"/>
              <w:spacing w:after="0"/>
              <w:rPr>
                <w:sz w:val="20"/>
                <w:szCs w:val="20"/>
                <w:color w:val="auto"/>
              </w:rPr>
            </w:pPr>
            <w:r>
              <w:rPr>
                <w:rFonts w:ascii="Arial" w:cs="Arial" w:eastAsia="Arial" w:hAnsi="Arial"/>
                <w:sz w:val="14"/>
                <w:szCs w:val="14"/>
                <w:b w:val="1"/>
                <w:bCs w:val="1"/>
                <w:color w:val="003B71"/>
              </w:rPr>
              <w:t>($)</w:t>
            </w:r>
          </w:p>
        </w:tc>
        <w:tc>
          <w:tcPr>
            <w:tcW w:w="280" w:type="dxa"/>
            <w:vAlign w:val="bottom"/>
            <w:tcBorders>
              <w:bottom w:val="single" w:sz="8" w:color="00497F"/>
            </w:tcBorders>
          </w:tcPr>
          <w:p>
            <w:pPr>
              <w:spacing w:after="0"/>
              <w:rPr>
                <w:sz w:val="17"/>
                <w:szCs w:val="17"/>
                <w:color w:val="auto"/>
              </w:rPr>
            </w:pPr>
          </w:p>
        </w:tc>
        <w:tc>
          <w:tcPr>
            <w:tcW w:w="1480" w:type="dxa"/>
            <w:vAlign w:val="bottom"/>
            <w:tcBorders>
              <w:bottom w:val="single" w:sz="8" w:color="00497F"/>
            </w:tcBorders>
          </w:tcPr>
          <w:p>
            <w:pPr>
              <w:jc w:val="center"/>
              <w:ind w:right="203"/>
              <w:spacing w:after="0"/>
              <w:rPr>
                <w:sz w:val="20"/>
                <w:szCs w:val="20"/>
                <w:color w:val="auto"/>
              </w:rPr>
            </w:pPr>
            <w:r>
              <w:rPr>
                <w:rFonts w:ascii="Arial" w:cs="Arial" w:eastAsia="Arial" w:hAnsi="Arial"/>
                <w:sz w:val="14"/>
                <w:szCs w:val="14"/>
                <w:b w:val="1"/>
                <w:bCs w:val="1"/>
                <w:color w:val="003B71"/>
                <w:w w:val="93"/>
              </w:rPr>
              <w:t>($)</w:t>
            </w:r>
          </w:p>
        </w:tc>
        <w:tc>
          <w:tcPr>
            <w:tcW w:w="240" w:type="dxa"/>
            <w:vAlign w:val="bottom"/>
            <w:tcBorders>
              <w:bottom w:val="single" w:sz="8" w:color="00497F"/>
            </w:tcBorders>
          </w:tcPr>
          <w:p>
            <w:pPr>
              <w:spacing w:after="0"/>
              <w:rPr>
                <w:sz w:val="17"/>
                <w:szCs w:val="17"/>
                <w:color w:val="auto"/>
              </w:rPr>
            </w:pPr>
          </w:p>
        </w:tc>
        <w:tc>
          <w:tcPr>
            <w:tcW w:w="1460" w:type="dxa"/>
            <w:vAlign w:val="bottom"/>
            <w:tcBorders>
              <w:bottom w:val="single" w:sz="8" w:color="00497F"/>
            </w:tcBorders>
          </w:tcPr>
          <w:p>
            <w:pPr>
              <w:jc w:val="center"/>
              <w:ind w:right="126"/>
              <w:spacing w:after="0"/>
              <w:rPr>
                <w:sz w:val="20"/>
                <w:szCs w:val="20"/>
                <w:color w:val="auto"/>
              </w:rPr>
            </w:pPr>
            <w:r>
              <w:rPr>
                <w:rFonts w:ascii="Arial" w:cs="Arial" w:eastAsia="Arial" w:hAnsi="Arial"/>
                <w:sz w:val="14"/>
                <w:szCs w:val="14"/>
                <w:b w:val="1"/>
                <w:bCs w:val="1"/>
                <w:color w:val="003B71"/>
              </w:rPr>
              <w:t>($)</w:t>
            </w:r>
          </w:p>
        </w:tc>
      </w:tr>
      <w:tr>
        <w:trPr>
          <w:trHeight w:val="242"/>
        </w:trPr>
        <w:tc>
          <w:tcPr>
            <w:tcW w:w="1820" w:type="dxa"/>
            <w:vAlign w:val="bottom"/>
            <w:shd w:val="clear" w:color="auto" w:fill="E5E5E5"/>
          </w:tcPr>
          <w:p>
            <w:pPr>
              <w:ind w:left="20"/>
              <w:spacing w:after="0"/>
              <w:rPr>
                <w:sz w:val="20"/>
                <w:szCs w:val="20"/>
                <w:color w:val="auto"/>
              </w:rPr>
            </w:pPr>
            <w:r>
              <w:rPr>
                <w:rFonts w:ascii="Arial" w:cs="Arial" w:eastAsia="Arial" w:hAnsi="Arial"/>
                <w:sz w:val="16"/>
                <w:szCs w:val="16"/>
                <w:color w:val="auto"/>
              </w:rPr>
              <w:t>Tarun Lal</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5E5E5"/>
          </w:tcPr>
          <w:p>
            <w:pPr>
              <w:jc w:val="right"/>
              <w:ind w:right="23"/>
              <w:spacing w:after="0"/>
              <w:rPr>
                <w:sz w:val="20"/>
                <w:szCs w:val="20"/>
                <w:color w:val="auto"/>
              </w:rPr>
            </w:pPr>
            <w:r>
              <w:rPr>
                <w:rFonts w:ascii="Arial" w:cs="Arial" w:eastAsia="Arial" w:hAnsi="Arial"/>
                <w:sz w:val="16"/>
                <w:szCs w:val="16"/>
                <w:color w:val="auto"/>
              </w:rPr>
              <w:t>2,769</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1,385</w:t>
            </w:r>
          </w:p>
        </w:tc>
        <w:tc>
          <w:tcPr>
            <w:tcW w:w="3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1</w:t>
            </w:r>
          </w:p>
        </w:tc>
        <w:tc>
          <w:tcPr>
            <w:tcW w:w="2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6"/>
              <w:spacing w:after="0"/>
              <w:rPr>
                <w:sz w:val="20"/>
                <w:szCs w:val="20"/>
                <w:color w:val="auto"/>
              </w:rPr>
            </w:pPr>
            <w:r>
              <w:rPr>
                <w:rFonts w:ascii="Arial" w:cs="Arial" w:eastAsia="Arial" w:hAnsi="Arial"/>
                <w:sz w:val="16"/>
                <w:szCs w:val="16"/>
                <w:color w:val="auto"/>
              </w:rPr>
              <w:t>4,146</w:t>
            </w:r>
          </w:p>
        </w:tc>
      </w:tr>
      <w:tr>
        <w:trPr>
          <w:trHeight w:val="234"/>
        </w:trPr>
        <w:tc>
          <w:tcPr>
            <w:tcW w:w="1820" w:type="dxa"/>
            <w:vAlign w:val="bottom"/>
          </w:tcPr>
          <w:p>
            <w:pPr>
              <w:ind w:left="20"/>
              <w:spacing w:after="0"/>
              <w:rPr>
                <w:sz w:val="20"/>
                <w:szCs w:val="20"/>
                <w:color w:val="auto"/>
              </w:rPr>
            </w:pPr>
            <w:r>
              <w:rPr>
                <w:rFonts w:ascii="Arial" w:cs="Arial" w:eastAsia="Arial" w:hAnsi="Arial"/>
                <w:sz w:val="16"/>
                <w:szCs w:val="16"/>
                <w:color w:val="auto"/>
              </w:rPr>
              <w:t>Kevin M. Sheehan</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228,846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63"/>
              <w:spacing w:after="0"/>
              <w:rPr>
                <w:sz w:val="20"/>
                <w:szCs w:val="20"/>
                <w:color w:val="auto"/>
              </w:rPr>
            </w:pPr>
            <w:r>
              <w:rPr>
                <w:rFonts w:ascii="Arial" w:cs="Arial" w:eastAsia="Arial" w:hAnsi="Arial"/>
                <w:sz w:val="16"/>
                <w:szCs w:val="16"/>
                <w:color w:val="auto"/>
              </w:rPr>
              <w:t>9,519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17,481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(179)</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
              <w:spacing w:after="0"/>
              <w:rPr>
                <w:sz w:val="20"/>
                <w:szCs w:val="20"/>
                <w:color w:val="auto"/>
              </w:rPr>
            </w:pPr>
            <w:r>
              <w:rPr>
                <w:rFonts w:ascii="Arial" w:cs="Arial" w:eastAsia="Arial" w:hAnsi="Arial"/>
                <w:sz w:val="16"/>
                <w:szCs w:val="16"/>
                <w:color w:val="auto"/>
              </w:rPr>
              <w:t>261,700</w:t>
            </w:r>
          </w:p>
        </w:tc>
      </w:tr>
      <w:tr>
        <w:trPr>
          <w:trHeight w:val="249"/>
        </w:trPr>
        <w:tc>
          <w:tcPr>
            <w:tcW w:w="1820" w:type="dxa"/>
            <w:vAlign w:val="bottom"/>
            <w:shd w:val="clear" w:color="auto" w:fill="E5E5E5"/>
          </w:tcPr>
          <w:p>
            <w:pPr>
              <w:ind w:left="20"/>
              <w:spacing w:after="0"/>
              <w:rPr>
                <w:sz w:val="20"/>
                <w:szCs w:val="20"/>
                <w:color w:val="auto"/>
              </w:rPr>
            </w:pPr>
            <w:r>
              <w:rPr>
                <w:rFonts w:ascii="Arial" w:cs="Arial" w:eastAsia="Arial" w:hAnsi="Arial"/>
                <w:sz w:val="16"/>
                <w:szCs w:val="16"/>
                <w:color w:val="auto"/>
              </w:rPr>
              <w:t>Darin Harper</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5E5E5"/>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 $ — $</w:t>
            </w:r>
          </w:p>
        </w:tc>
        <w:tc>
          <w:tcPr>
            <w:tcW w:w="152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shd w:val="clear" w:color="auto" w:fill="E5E5E5"/>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5E5E5"/>
          </w:tcPr>
          <w:p>
            <w:pPr>
              <w:jc w:val="right"/>
              <w:ind w:right="43"/>
              <w:spacing w:after="0"/>
              <w:rPr>
                <w:sz w:val="20"/>
                <w:szCs w:val="20"/>
                <w:color w:val="auto"/>
              </w:rPr>
            </w:pPr>
            <w:r>
              <w:rPr>
                <w:rFonts w:ascii="Arial" w:cs="Arial" w:eastAsia="Arial" w:hAnsi="Arial"/>
                <w:sz w:val="16"/>
                <w:szCs w:val="16"/>
                <w:color w:val="auto"/>
              </w:rPr>
              <w:t>—</w:t>
            </w:r>
          </w:p>
        </w:tc>
        <w:tc>
          <w:tcPr>
            <w:tcW w:w="24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6"/>
              <w:spacing w:after="0"/>
              <w:rPr>
                <w:sz w:val="20"/>
                <w:szCs w:val="20"/>
                <w:color w:val="auto"/>
              </w:rPr>
            </w:pPr>
            <w:r>
              <w:rPr>
                <w:rFonts w:ascii="Arial" w:cs="Arial" w:eastAsia="Arial" w:hAnsi="Arial"/>
                <w:sz w:val="16"/>
                <w:szCs w:val="16"/>
                <w:color w:val="auto"/>
              </w:rPr>
              <w:t>—</w:t>
            </w:r>
          </w:p>
        </w:tc>
      </w:tr>
      <w:tr>
        <w:trPr>
          <w:trHeight w:val="234"/>
        </w:trPr>
        <w:tc>
          <w:tcPr>
            <w:tcW w:w="1820" w:type="dxa"/>
            <w:vAlign w:val="bottom"/>
          </w:tcPr>
          <w:p>
            <w:pPr>
              <w:ind w:left="20"/>
              <w:spacing w:after="0"/>
              <w:rPr>
                <w:sz w:val="20"/>
                <w:szCs w:val="20"/>
                <w:color w:val="auto"/>
              </w:rPr>
            </w:pPr>
            <w:r>
              <w:rPr>
                <w:rFonts w:ascii="Arial" w:cs="Arial" w:eastAsia="Arial" w:hAnsi="Arial"/>
                <w:sz w:val="16"/>
                <w:szCs w:val="16"/>
                <w:color w:val="auto"/>
              </w:rPr>
              <w:t>Antonio Bautista</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3,285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63"/>
              <w:spacing w:after="0"/>
              <w:rPr>
                <w:sz w:val="20"/>
                <w:szCs w:val="20"/>
                <w:color w:val="auto"/>
              </w:rPr>
            </w:pPr>
            <w:r>
              <w:rPr>
                <w:rFonts w:ascii="Arial" w:cs="Arial" w:eastAsia="Arial" w:hAnsi="Arial"/>
                <w:sz w:val="16"/>
                <w:szCs w:val="16"/>
                <w:color w:val="auto"/>
              </w:rPr>
              <w:t>985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43"/>
              <w:spacing w:after="0"/>
              <w:rPr>
                <w:sz w:val="20"/>
                <w:szCs w:val="20"/>
                <w:color w:val="auto"/>
              </w:rPr>
            </w:pPr>
            <w:r>
              <w:rPr>
                <w:rFonts w:ascii="Arial" w:cs="Arial" w:eastAsia="Arial" w:hAnsi="Arial"/>
                <w:sz w:val="16"/>
                <w:szCs w:val="16"/>
                <w:color w:val="auto"/>
              </w:rPr>
              <w:t>8,991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
              <w:spacing w:after="0"/>
              <w:rPr>
                <w:sz w:val="20"/>
                <w:szCs w:val="20"/>
                <w:color w:val="auto"/>
              </w:rPr>
            </w:pPr>
            <w:r>
              <w:rPr>
                <w:rFonts w:ascii="Arial" w:cs="Arial" w:eastAsia="Arial" w:hAnsi="Arial"/>
                <w:sz w:val="16"/>
                <w:szCs w:val="16"/>
                <w:color w:val="auto"/>
              </w:rPr>
              <w:t>(252)</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
              <w:spacing w:after="0"/>
              <w:rPr>
                <w:sz w:val="20"/>
                <w:szCs w:val="20"/>
                <w:color w:val="auto"/>
              </w:rPr>
            </w:pPr>
            <w:r>
              <w:rPr>
                <w:rFonts w:ascii="Arial" w:cs="Arial" w:eastAsia="Arial" w:hAnsi="Arial"/>
                <w:sz w:val="16"/>
                <w:szCs w:val="16"/>
                <w:color w:val="auto"/>
              </w:rPr>
              <w:t>68,870</w:t>
            </w:r>
          </w:p>
        </w:tc>
      </w:tr>
      <w:tr>
        <w:trPr>
          <w:trHeight w:val="249"/>
        </w:trPr>
        <w:tc>
          <w:tcPr>
            <w:tcW w:w="1820" w:type="dxa"/>
            <w:vAlign w:val="bottom"/>
            <w:shd w:val="clear" w:color="auto" w:fill="E5E5E5"/>
          </w:tcPr>
          <w:p>
            <w:pPr>
              <w:ind w:left="20"/>
              <w:spacing w:after="0"/>
              <w:rPr>
                <w:sz w:val="20"/>
                <w:szCs w:val="20"/>
                <w:color w:val="auto"/>
              </w:rPr>
            </w:pPr>
            <w:r>
              <w:rPr>
                <w:rFonts w:ascii="Arial" w:cs="Arial" w:eastAsia="Arial" w:hAnsi="Arial"/>
                <w:sz w:val="16"/>
                <w:szCs w:val="16"/>
                <w:color w:val="auto"/>
              </w:rPr>
              <w:t>Steve Klohn</w:t>
            </w:r>
          </w:p>
        </w:tc>
        <w:tc>
          <w:tcPr>
            <w:tcW w:w="5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E5E5E5"/>
          </w:tcPr>
          <w:p>
            <w:pPr>
              <w:jc w:val="right"/>
              <w:ind w:right="23"/>
              <w:spacing w:after="0"/>
              <w:rPr>
                <w:sz w:val="20"/>
                <w:szCs w:val="20"/>
                <w:color w:val="auto"/>
              </w:rPr>
            </w:pPr>
            <w:r>
              <w:rPr>
                <w:rFonts w:ascii="Arial" w:cs="Arial" w:eastAsia="Arial" w:hAnsi="Arial"/>
                <w:sz w:val="16"/>
                <w:szCs w:val="16"/>
                <w:color w:val="auto"/>
              </w:rPr>
              <w:t>18,462</w:t>
            </w:r>
          </w:p>
        </w:tc>
        <w:tc>
          <w:tcPr>
            <w:tcW w:w="1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E5E5E5"/>
          </w:tcPr>
          <w:p>
            <w:pPr>
              <w:jc w:val="right"/>
              <w:ind w:right="163"/>
              <w:spacing w:after="0"/>
              <w:rPr>
                <w:sz w:val="20"/>
                <w:szCs w:val="20"/>
                <w:color w:val="auto"/>
              </w:rPr>
            </w:pPr>
            <w:r>
              <w:rPr>
                <w:rFonts w:ascii="Arial" w:cs="Arial" w:eastAsia="Arial" w:hAnsi="Arial"/>
                <w:sz w:val="16"/>
                <w:szCs w:val="16"/>
                <w:color w:val="auto"/>
              </w:rPr>
              <w:t>9,231</w:t>
            </w:r>
          </w:p>
        </w:tc>
        <w:tc>
          <w:tcPr>
            <w:tcW w:w="3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E5E5E5"/>
          </w:tcPr>
          <w:p>
            <w:pPr>
              <w:jc w:val="right"/>
              <w:ind w:right="3"/>
              <w:spacing w:after="0"/>
              <w:rPr>
                <w:sz w:val="20"/>
                <w:szCs w:val="20"/>
                <w:color w:val="auto"/>
              </w:rPr>
            </w:pPr>
            <w:r>
              <w:rPr>
                <w:rFonts w:ascii="Arial" w:cs="Arial" w:eastAsia="Arial" w:hAnsi="Arial"/>
                <w:sz w:val="16"/>
                <w:szCs w:val="16"/>
                <w:color w:val="auto"/>
              </w:rPr>
              <w:t>(6,231)</w:t>
            </w:r>
          </w:p>
        </w:tc>
        <w:tc>
          <w:tcPr>
            <w:tcW w:w="280" w:type="dxa"/>
            <w:vAlign w:val="bottom"/>
            <w:shd w:val="clear" w:color="auto" w:fill="E5E5E5"/>
          </w:tcPr>
          <w:p>
            <w:pPr>
              <w:spacing w:after="0"/>
              <w:rPr>
                <w:sz w:val="21"/>
                <w:szCs w:val="21"/>
                <w:color w:val="auto"/>
              </w:rPr>
            </w:pPr>
          </w:p>
        </w:tc>
        <w:tc>
          <w:tcPr>
            <w:tcW w:w="1480" w:type="dxa"/>
            <w:vAlign w:val="bottom"/>
            <w:shd w:val="clear" w:color="auto" w:fill="E5E5E5"/>
          </w:tcPr>
          <w:p>
            <w:pPr>
              <w:spacing w:after="0"/>
              <w:rPr>
                <w:sz w:val="21"/>
                <w:szCs w:val="21"/>
                <w:color w:val="auto"/>
              </w:rPr>
            </w:pPr>
          </w:p>
        </w:tc>
        <w:tc>
          <w:tcPr>
            <w:tcW w:w="240" w:type="dxa"/>
            <w:vAlign w:val="bottom"/>
            <w:shd w:val="clear" w:color="auto" w:fill="E5E5E5"/>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shd w:val="clear" w:color="auto" w:fill="E5E5E5"/>
          </w:tcPr>
          <w:p>
            <w:pPr>
              <w:jc w:val="right"/>
              <w:ind w:right="6"/>
              <w:spacing w:after="0"/>
              <w:rPr>
                <w:sz w:val="20"/>
                <w:szCs w:val="20"/>
                <w:color w:val="auto"/>
              </w:rPr>
            </w:pPr>
            <w:r>
              <w:rPr>
                <w:rFonts w:ascii="Arial" w:cs="Arial" w:eastAsia="Arial" w:hAnsi="Arial"/>
                <w:sz w:val="16"/>
                <w:szCs w:val="16"/>
                <w:color w:val="auto"/>
              </w:rPr>
              <w:t>40,721</w:t>
            </w:r>
          </w:p>
        </w:tc>
      </w:tr>
      <w:tr>
        <w:trPr>
          <w:trHeight w:val="227"/>
        </w:trPr>
        <w:tc>
          <w:tcPr>
            <w:tcW w:w="1820" w:type="dxa"/>
            <w:vAlign w:val="bottom"/>
          </w:tcPr>
          <w:p>
            <w:pPr>
              <w:ind w:left="20"/>
              <w:spacing w:after="0"/>
              <w:rPr>
                <w:sz w:val="20"/>
                <w:szCs w:val="20"/>
                <w:color w:val="auto"/>
              </w:rPr>
            </w:pPr>
            <w:r>
              <w:rPr>
                <w:rFonts w:ascii="Arial" w:cs="Arial" w:eastAsia="Arial" w:hAnsi="Arial"/>
                <w:sz w:val="16"/>
                <w:szCs w:val="16"/>
                <w:color w:val="auto"/>
              </w:rPr>
              <w:t>Tony Wehner</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3"/>
              <w:spacing w:after="0"/>
              <w:rPr>
                <w:sz w:val="20"/>
                <w:szCs w:val="20"/>
                <w:color w:val="auto"/>
              </w:rPr>
            </w:pPr>
            <w:r>
              <w:rPr>
                <w:rFonts w:ascii="Arial" w:cs="Arial" w:eastAsia="Arial" w:hAnsi="Arial"/>
                <w:sz w:val="16"/>
                <w:szCs w:val="16"/>
                <w:color w:val="auto"/>
              </w:rPr>
              <w:t>22,500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63"/>
              <w:spacing w:after="0"/>
              <w:rPr>
                <w:sz w:val="20"/>
                <w:szCs w:val="20"/>
                <w:color w:val="auto"/>
              </w:rPr>
            </w:pPr>
            <w:r>
              <w:rPr>
                <w:rFonts w:ascii="Arial" w:cs="Arial" w:eastAsia="Arial" w:hAnsi="Arial"/>
                <w:sz w:val="16"/>
                <w:szCs w:val="16"/>
                <w:color w:val="auto"/>
              </w:rPr>
              <w:t>8,750</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
              <w:spacing w:after="0"/>
              <w:rPr>
                <w:sz w:val="20"/>
                <w:szCs w:val="20"/>
                <w:color w:val="auto"/>
              </w:rPr>
            </w:pPr>
            <w:r>
              <w:rPr>
                <w:rFonts w:ascii="Arial" w:cs="Arial" w:eastAsia="Arial" w:hAnsi="Arial"/>
                <w:sz w:val="16"/>
                <w:szCs w:val="16"/>
                <w:color w:val="auto"/>
              </w:rPr>
              <w:t>(167)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12,754</w:t>
            </w:r>
          </w:p>
        </w:tc>
        <w:tc>
          <w:tcPr>
            <w:tcW w:w="2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6"/>
              <w:spacing w:after="0"/>
              <w:rPr>
                <w:sz w:val="20"/>
                <w:szCs w:val="20"/>
                <w:color w:val="auto"/>
              </w:rPr>
            </w:pPr>
            <w:r>
              <w:rPr>
                <w:rFonts w:ascii="Arial" w:cs="Arial" w:eastAsia="Arial" w:hAnsi="Arial"/>
                <w:sz w:val="16"/>
                <w:szCs w:val="16"/>
                <w:color w:val="auto"/>
              </w:rPr>
              <w:t>120,654</w:t>
            </w:r>
          </w:p>
        </w:tc>
      </w:tr>
    </w:tbl>
    <w:p>
      <w:pPr>
        <w:spacing w:after="0" w:line="108" w:lineRule="exact"/>
        <w:rPr>
          <w:sz w:val="20"/>
          <w:szCs w:val="20"/>
          <w:color w:val="auto"/>
        </w:rPr>
      </w:pPr>
    </w:p>
    <w:p>
      <w:pPr>
        <w:ind w:left="400" w:hanging="393"/>
        <w:spacing w:after="0"/>
        <w:tabs>
          <w:tab w:leader="none" w:pos="400"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 xml:space="preserve">Amounts are included in the “Salary” column of the </w:t>
      </w:r>
      <w:r>
        <w:rPr>
          <w:rFonts w:ascii="Arial" w:cs="Arial" w:eastAsia="Arial" w:hAnsi="Arial"/>
          <w:sz w:val="16"/>
          <w:szCs w:val="16"/>
          <w:i w:val="1"/>
          <w:iCs w:val="1"/>
          <w:color w:val="0000FF"/>
        </w:rPr>
        <w:t>2025 Summary Compensation Table</w:t>
      </w:r>
      <w:r>
        <w:rPr>
          <w:rFonts w:ascii="Arial" w:cs="Arial" w:eastAsia="Arial" w:hAnsi="Arial"/>
          <w:sz w:val="16"/>
          <w:szCs w:val="16"/>
          <w:color w:val="auto"/>
        </w:rPr>
        <w:t>.</w:t>
      </w:r>
    </w:p>
    <w:p>
      <w:pPr>
        <w:spacing w:after="0" w:line="3" w:lineRule="exact"/>
        <w:rPr>
          <w:rFonts w:ascii="Arial" w:cs="Arial" w:eastAsia="Arial" w:hAnsi="Arial"/>
          <w:sz w:val="21"/>
          <w:szCs w:val="21"/>
          <w:color w:val="auto"/>
          <w:vertAlign w:val="superscript"/>
        </w:rPr>
      </w:pPr>
    </w:p>
    <w:p>
      <w:pPr>
        <w:ind w:left="420" w:right="20" w:hanging="413"/>
        <w:spacing w:after="0" w:line="212" w:lineRule="auto"/>
        <w:tabs>
          <w:tab w:leader="none" w:pos="413"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 xml:space="preserve">Amounts shown are matching contributions made pursuant to the SERP. These amounts are included in the “All Other Compensation” column of the </w:t>
      </w:r>
      <w:r>
        <w:rPr>
          <w:rFonts w:ascii="Arial" w:cs="Arial" w:eastAsia="Arial" w:hAnsi="Arial"/>
          <w:sz w:val="16"/>
          <w:szCs w:val="16"/>
          <w:i w:val="1"/>
          <w:iCs w:val="1"/>
          <w:color w:val="0000FF"/>
        </w:rPr>
        <w:t>2025 Summary Compensation Table</w:t>
      </w:r>
      <w:r>
        <w:rPr>
          <w:rFonts w:ascii="Arial" w:cs="Arial" w:eastAsia="Arial" w:hAnsi="Arial"/>
          <w:sz w:val="16"/>
          <w:szCs w:val="16"/>
          <w:color w:val="000000"/>
        </w:rPr>
        <w:t>.</w:t>
      </w:r>
    </w:p>
    <w:p>
      <w:pPr>
        <w:ind w:left="400" w:hanging="393"/>
        <w:spacing w:after="0" w:line="196" w:lineRule="auto"/>
        <w:tabs>
          <w:tab w:leader="none" w:pos="400"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 xml:space="preserve">No amount reported in this column was reported as compensation to the officer in the </w:t>
      </w:r>
      <w:r>
        <w:rPr>
          <w:rFonts w:ascii="Arial" w:cs="Arial" w:eastAsia="Arial" w:hAnsi="Arial"/>
          <w:sz w:val="16"/>
          <w:szCs w:val="16"/>
          <w:i w:val="1"/>
          <w:iCs w:val="1"/>
          <w:color w:val="0000FF"/>
        </w:rPr>
        <w:t>2025 Summary Compensation Table</w:t>
      </w:r>
      <w:r>
        <w:rPr>
          <w:rFonts w:ascii="Arial" w:cs="Arial" w:eastAsia="Arial" w:hAnsi="Arial"/>
          <w:sz w:val="16"/>
          <w:szCs w:val="16"/>
          <w:color w:val="auto"/>
        </w:rPr>
        <w:t>.</w:t>
      </w:r>
    </w:p>
    <w:p>
      <w:pPr>
        <w:spacing w:after="0" w:line="4" w:lineRule="exact"/>
        <w:rPr>
          <w:rFonts w:ascii="Arial" w:cs="Arial" w:eastAsia="Arial" w:hAnsi="Arial"/>
          <w:sz w:val="21"/>
          <w:szCs w:val="21"/>
          <w:color w:val="auto"/>
          <w:vertAlign w:val="superscript"/>
        </w:rPr>
      </w:pPr>
    </w:p>
    <w:p>
      <w:pPr>
        <w:jc w:val="both"/>
        <w:ind w:left="420" w:hanging="413"/>
        <w:spacing w:after="0" w:line="231" w:lineRule="auto"/>
        <w:tabs>
          <w:tab w:leader="none" w:pos="413"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 xml:space="preserve">The portion of these amounts derived from executive contributions made in previous years was included in the “Salary” column of the </w:t>
      </w:r>
      <w:r>
        <w:rPr>
          <w:rFonts w:ascii="Arial" w:cs="Arial" w:eastAsia="Arial" w:hAnsi="Arial"/>
          <w:sz w:val="16"/>
          <w:szCs w:val="16"/>
          <w:i w:val="1"/>
          <w:iCs w:val="1"/>
          <w:color w:val="0000FF"/>
        </w:rPr>
        <w:t>2025 Summary</w:t>
      </w:r>
      <w:r>
        <w:rPr>
          <w:rFonts w:ascii="Arial" w:cs="Arial" w:eastAsia="Arial" w:hAnsi="Arial"/>
          <w:sz w:val="16"/>
          <w:szCs w:val="16"/>
          <w:color w:val="auto"/>
        </w:rPr>
        <w:t xml:space="preserve"> </w:t>
      </w:r>
      <w:r>
        <w:rPr>
          <w:rFonts w:ascii="Arial" w:cs="Arial" w:eastAsia="Arial" w:hAnsi="Arial"/>
          <w:sz w:val="16"/>
          <w:szCs w:val="16"/>
          <w:i w:val="1"/>
          <w:iCs w:val="1"/>
          <w:color w:val="0000FF"/>
        </w:rPr>
        <w:t xml:space="preserve">Compensation Table </w:t>
      </w:r>
      <w:r>
        <w:rPr>
          <w:rFonts w:ascii="Arial" w:cs="Arial" w:eastAsia="Arial" w:hAnsi="Arial"/>
          <w:sz w:val="16"/>
          <w:szCs w:val="16"/>
          <w:color w:val="000000"/>
        </w:rPr>
        <w:t>in the years when the contributions were made. The portions of these amounts derived from matching contributions made in</w:t>
      </w:r>
      <w:r>
        <w:rPr>
          <w:rFonts w:ascii="Arial" w:cs="Arial" w:eastAsia="Arial" w:hAnsi="Arial"/>
          <w:sz w:val="16"/>
          <w:szCs w:val="16"/>
          <w:i w:val="1"/>
          <w:iCs w:val="1"/>
          <w:color w:val="0000FF"/>
        </w:rPr>
        <w:t xml:space="preserve"> </w:t>
      </w:r>
      <w:r>
        <w:rPr>
          <w:rFonts w:ascii="Arial" w:cs="Arial" w:eastAsia="Arial" w:hAnsi="Arial"/>
          <w:sz w:val="16"/>
          <w:szCs w:val="16"/>
          <w:color w:val="000000"/>
        </w:rPr>
        <w:t xml:space="preserve">previous years were included in the “All Other Compensation” column of the </w:t>
      </w:r>
      <w:r>
        <w:rPr>
          <w:rFonts w:ascii="Arial" w:cs="Arial" w:eastAsia="Arial" w:hAnsi="Arial"/>
          <w:sz w:val="16"/>
          <w:szCs w:val="16"/>
          <w:i w:val="1"/>
          <w:iCs w:val="1"/>
          <w:color w:val="0000FF"/>
        </w:rPr>
        <w:t>2025 Summary Compensation Table</w:t>
      </w:r>
      <w:r>
        <w:rPr>
          <w:rFonts w:ascii="Arial" w:cs="Arial" w:eastAsia="Arial" w:hAnsi="Arial"/>
          <w:sz w:val="16"/>
          <w:szCs w:val="16"/>
          <w:color w:val="000000"/>
        </w:rPr>
        <w:t xml:space="preserve"> in the years when the executive contributions were made.</w:t>
      </w:r>
    </w:p>
    <w:p>
      <w:pPr>
        <w:spacing w:after="0" w:line="2" w:lineRule="exact"/>
        <w:rPr>
          <w:rFonts w:ascii="Arial" w:cs="Arial" w:eastAsia="Arial" w:hAnsi="Arial"/>
          <w:sz w:val="21"/>
          <w:szCs w:val="21"/>
          <w:color w:val="auto"/>
          <w:vertAlign w:val="superscript"/>
        </w:rPr>
      </w:pPr>
    </w:p>
    <w:p>
      <w:pPr>
        <w:ind w:left="400" w:hanging="393"/>
        <w:spacing w:after="0" w:line="196" w:lineRule="auto"/>
        <w:tabs>
          <w:tab w:leader="none" w:pos="400" w:val="left"/>
        </w:tabs>
        <w:numPr>
          <w:ilvl w:val="0"/>
          <w:numId w:val="91"/>
        </w:numPr>
        <w:rPr>
          <w:rFonts w:ascii="Arial" w:cs="Arial" w:eastAsia="Arial" w:hAnsi="Arial"/>
          <w:sz w:val="21"/>
          <w:szCs w:val="21"/>
          <w:color w:val="auto"/>
          <w:vertAlign w:val="superscript"/>
        </w:rPr>
      </w:pPr>
      <w:r>
        <w:rPr>
          <w:rFonts w:ascii="Arial" w:cs="Arial" w:eastAsia="Arial" w:hAnsi="Arial"/>
          <w:sz w:val="16"/>
          <w:szCs w:val="16"/>
          <w:color w:val="auto"/>
        </w:rPr>
        <w:t>There were no distributions or withdrawals from the plan for the NEOs listed during fiscal 2025.</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Pay vs.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4C4C4C"/>
        </w:rPr>
        <w:t>As required by Item 402(v) of Regulation S-K, we are providing the following information about the relationship between executive compensation actually paid and our financial performance for each of the last five completed fiscal years. In determining the “compensation actually paid” to our NEOs for each fiscal year, we are required to make various adjustments to amounts that have been previously reported in the Summary Compensation Table in each year included in this disclosure, as the valuation methods for this disclosure under Item 402(v) differ from those required in reporting the compensation information in the Summary Compensation Table. For our NEOs other than our principal executive officer(s) (“PEO”), compensation is reported as an average.</w:t>
      </w:r>
    </w:p>
    <w:p>
      <w:pPr>
        <w:sectPr>
          <w:pgSz w:w="11900" w:h="16838" w:orient="portrait"/>
          <w:cols w:equalWidth="0" w:num="1">
            <w:col w:w="11240"/>
          </w:cols>
          <w:pgMar w:left="320" w:top="1034" w:right="339" w:bottom="1440" w:gutter="0" w:footer="0" w:header="0"/>
        </w:sectPr>
      </w:pPr>
    </w:p>
    <w:p>
      <w:pPr>
        <w:spacing w:after="0" w:line="38" w:lineRule="exact"/>
        <w:rPr>
          <w:sz w:val="20"/>
          <w:szCs w:val="20"/>
          <w:color w:val="auto"/>
        </w:rPr>
      </w:pPr>
    </w:p>
    <w:p>
      <w:pPr>
        <w:jc w:val="center"/>
        <w:ind w:right="240"/>
        <w:spacing w:after="0"/>
        <w:rPr>
          <w:sz w:val="20"/>
          <w:szCs w:val="20"/>
          <w:color w:val="auto"/>
        </w:rPr>
      </w:pPr>
      <w:r>
        <w:rPr>
          <w:rFonts w:ascii="Arial" w:cs="Arial" w:eastAsia="Arial" w:hAnsi="Arial"/>
          <w:sz w:val="11"/>
          <w:szCs w:val="11"/>
          <w:b w:val="1"/>
          <w:bCs w:val="1"/>
          <w:color w:val="auto"/>
        </w:rPr>
        <w:t>SCT Total</w:t>
      </w:r>
    </w:p>
    <w:p>
      <w:pPr>
        <w:spacing w:after="0" w:line="12" w:lineRule="exact"/>
        <w:rPr>
          <w:sz w:val="20"/>
          <w:szCs w:val="20"/>
          <w:color w:val="auto"/>
        </w:rPr>
      </w:pPr>
    </w:p>
    <w:p>
      <w:pPr>
        <w:jc w:val="center"/>
        <w:ind w:right="240"/>
        <w:spacing w:after="0"/>
        <w:rPr>
          <w:sz w:val="20"/>
          <w:szCs w:val="20"/>
          <w:color w:val="auto"/>
        </w:rPr>
      </w:pPr>
      <w:r>
        <w:rPr>
          <w:rFonts w:ascii="Arial" w:cs="Arial" w:eastAsia="Arial" w:hAnsi="Arial"/>
          <w:sz w:val="10"/>
          <w:szCs w:val="10"/>
          <w:b w:val="1"/>
          <w:bCs w:val="1"/>
          <w:color w:val="auto"/>
        </w:rPr>
        <w:t xml:space="preserve">for PEO ($) </w:t>
      </w:r>
      <w:r>
        <w:rPr>
          <w:rFonts w:ascii="Arial" w:cs="Arial" w:eastAsia="Arial" w:hAnsi="Arial"/>
          <w:sz w:val="12"/>
          <w:szCs w:val="1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12065</wp:posOffset>
            </wp:positionV>
            <wp:extent cx="63226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226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2240"/>
        <w:spacing w:after="0"/>
        <w:rPr>
          <w:sz w:val="20"/>
          <w:szCs w:val="20"/>
          <w:color w:val="auto"/>
        </w:rPr>
      </w:pPr>
      <w:r>
        <w:rPr>
          <w:rFonts w:ascii="Arial" w:cs="Arial" w:eastAsia="Arial" w:hAnsi="Arial"/>
          <w:sz w:val="11"/>
          <w:szCs w:val="11"/>
          <w:b w:val="1"/>
          <w:bCs w:val="1"/>
          <w:color w:val="auto"/>
        </w:rPr>
        <w:t>CAP</w:t>
      </w:r>
    </w:p>
    <w:p>
      <w:pPr>
        <w:spacing w:after="0" w:line="12" w:lineRule="exact"/>
        <w:rPr>
          <w:sz w:val="20"/>
          <w:szCs w:val="20"/>
          <w:color w:val="auto"/>
        </w:rPr>
      </w:pPr>
    </w:p>
    <w:p>
      <w:pPr>
        <w:jc w:val="center"/>
        <w:ind w:right="2240"/>
        <w:spacing w:after="0"/>
        <w:rPr>
          <w:sz w:val="20"/>
          <w:szCs w:val="20"/>
          <w:color w:val="auto"/>
        </w:rPr>
      </w:pPr>
      <w:r>
        <w:rPr>
          <w:rFonts w:ascii="Arial" w:cs="Arial" w:eastAsia="Arial" w:hAnsi="Arial"/>
          <w:sz w:val="10"/>
          <w:szCs w:val="10"/>
          <w:b w:val="1"/>
          <w:bCs w:val="1"/>
          <w:color w:val="auto"/>
        </w:rPr>
        <w:t xml:space="preserve">to PEO ($) </w:t>
      </w:r>
      <w:r>
        <w:rPr>
          <w:rFonts w:ascii="Arial" w:cs="Arial" w:eastAsia="Arial" w:hAnsi="Arial"/>
          <w:sz w:val="12"/>
          <w:szCs w:val="12"/>
          <w:b w:val="1"/>
          <w:bCs w:val="1"/>
          <w:color w:val="auto"/>
          <w:vertAlign w:val="superscript"/>
        </w:rPr>
        <w:t>(2)</w:t>
      </w:r>
    </w:p>
    <w:p>
      <w:pPr>
        <w:spacing w:after="0" w:line="46" w:lineRule="exact"/>
        <w:rPr>
          <w:sz w:val="20"/>
          <w:szCs w:val="20"/>
          <w:color w:val="auto"/>
        </w:rPr>
      </w:pPr>
    </w:p>
    <w:p>
      <w:pPr>
        <w:sectPr>
          <w:pgSz w:w="11900" w:h="16838" w:orient="portrait"/>
          <w:cols w:equalWidth="0" w:num="2">
            <w:col w:w="7660" w:space="720"/>
            <w:col w:w="2860"/>
          </w:cols>
          <w:pgMar w:left="320" w:top="1034" w:right="339" w:bottom="144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1000" w:type="dxa"/>
            <w:vAlign w:val="bottom"/>
          </w:tcPr>
          <w:p>
            <w:pPr>
              <w:ind w:left="500"/>
              <w:spacing w:after="0"/>
              <w:rPr>
                <w:sz w:val="20"/>
                <w:szCs w:val="20"/>
                <w:color w:val="auto"/>
              </w:rPr>
            </w:pPr>
            <w:r>
              <w:rPr>
                <w:rFonts w:ascii="Arial" w:cs="Arial" w:eastAsia="Arial" w:hAnsi="Arial"/>
                <w:sz w:val="11"/>
                <w:szCs w:val="11"/>
                <w:b w:val="1"/>
                <w:bCs w:val="1"/>
                <w:color w:val="auto"/>
              </w:rPr>
              <w:t>Year</w:t>
            </w:r>
          </w:p>
        </w:tc>
        <w:tc>
          <w:tcPr>
            <w:tcW w:w="460" w:type="dxa"/>
            <w:vAlign w:val="bottom"/>
          </w:tcPr>
          <w:p>
            <w:pPr>
              <w:spacing w:after="0"/>
              <w:rPr>
                <w:sz w:val="12"/>
                <w:szCs w:val="12"/>
                <w:color w:val="auto"/>
              </w:rPr>
            </w:pPr>
          </w:p>
        </w:tc>
        <w:tc>
          <w:tcPr>
            <w:tcW w:w="980" w:type="dxa"/>
            <w:vAlign w:val="bottom"/>
          </w:tcPr>
          <w:p>
            <w:pPr>
              <w:jc w:val="right"/>
              <w:ind w:right="306"/>
              <w:spacing w:after="0"/>
              <w:rPr>
                <w:sz w:val="20"/>
                <w:szCs w:val="20"/>
                <w:color w:val="auto"/>
              </w:rPr>
            </w:pPr>
            <w:r>
              <w:rPr>
                <w:rFonts w:ascii="Arial" w:cs="Arial" w:eastAsia="Arial" w:hAnsi="Arial"/>
                <w:sz w:val="11"/>
                <w:szCs w:val="11"/>
                <w:b w:val="1"/>
                <w:bCs w:val="1"/>
                <w:color w:val="auto"/>
              </w:rPr>
              <w:t>Tarun Lal</w:t>
            </w:r>
          </w:p>
        </w:tc>
        <w:tc>
          <w:tcPr>
            <w:tcW w:w="220" w:type="dxa"/>
            <w:vAlign w:val="bottom"/>
          </w:tcPr>
          <w:p>
            <w:pPr>
              <w:spacing w:after="0"/>
              <w:rPr>
                <w:sz w:val="12"/>
                <w:szCs w:val="12"/>
                <w:color w:val="auto"/>
              </w:rPr>
            </w:pPr>
          </w:p>
        </w:tc>
        <w:tc>
          <w:tcPr>
            <w:tcW w:w="1020" w:type="dxa"/>
            <w:vAlign w:val="bottom"/>
          </w:tcPr>
          <w:p>
            <w:pPr>
              <w:jc w:val="right"/>
              <w:ind w:right="226"/>
              <w:spacing w:after="0"/>
              <w:rPr>
                <w:sz w:val="20"/>
                <w:szCs w:val="20"/>
                <w:color w:val="auto"/>
              </w:rPr>
            </w:pPr>
            <w:r>
              <w:rPr>
                <w:rFonts w:ascii="Arial" w:cs="Arial" w:eastAsia="Arial" w:hAnsi="Arial"/>
                <w:sz w:val="11"/>
                <w:szCs w:val="11"/>
                <w:b w:val="1"/>
                <w:bCs w:val="1"/>
                <w:color w:val="auto"/>
              </w:rPr>
              <w:t>Chris Morris</w:t>
            </w:r>
          </w:p>
        </w:tc>
        <w:tc>
          <w:tcPr>
            <w:tcW w:w="140" w:type="dxa"/>
            <w:vAlign w:val="bottom"/>
          </w:tcPr>
          <w:p>
            <w:pPr>
              <w:spacing w:after="0"/>
              <w:rPr>
                <w:sz w:val="12"/>
                <w:szCs w:val="12"/>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b w:val="1"/>
                <w:bCs w:val="1"/>
                <w:color w:val="auto"/>
                <w:w w:val="99"/>
              </w:rPr>
              <w:t>Kevin M. Sheehan</w:t>
            </w:r>
          </w:p>
        </w:tc>
        <w:tc>
          <w:tcPr>
            <w:tcW w:w="200" w:type="dxa"/>
            <w:vAlign w:val="bottom"/>
          </w:tcPr>
          <w:p>
            <w:pPr>
              <w:spacing w:after="0"/>
              <w:rPr>
                <w:sz w:val="12"/>
                <w:szCs w:val="12"/>
                <w:color w:val="auto"/>
              </w:rPr>
            </w:pPr>
          </w:p>
        </w:tc>
        <w:tc>
          <w:tcPr>
            <w:tcW w:w="1040" w:type="dxa"/>
            <w:vAlign w:val="bottom"/>
          </w:tcPr>
          <w:p>
            <w:pPr>
              <w:jc w:val="right"/>
              <w:ind w:right="186"/>
              <w:spacing w:after="0"/>
              <w:rPr>
                <w:sz w:val="20"/>
                <w:szCs w:val="20"/>
                <w:color w:val="auto"/>
              </w:rPr>
            </w:pPr>
            <w:r>
              <w:rPr>
                <w:rFonts w:ascii="Arial" w:cs="Arial" w:eastAsia="Arial" w:hAnsi="Arial"/>
                <w:sz w:val="11"/>
                <w:szCs w:val="11"/>
                <w:b w:val="1"/>
                <w:bCs w:val="1"/>
                <w:color w:val="auto"/>
              </w:rPr>
              <w:t>Brian Jenkins</w:t>
            </w:r>
          </w:p>
        </w:tc>
        <w:tc>
          <w:tcPr>
            <w:tcW w:w="260" w:type="dxa"/>
            <w:vAlign w:val="bottom"/>
          </w:tcPr>
          <w:p>
            <w:pPr>
              <w:spacing w:after="0"/>
              <w:rPr>
                <w:sz w:val="12"/>
                <w:szCs w:val="12"/>
                <w:color w:val="auto"/>
              </w:rPr>
            </w:pPr>
          </w:p>
        </w:tc>
        <w:tc>
          <w:tcPr>
            <w:tcW w:w="1000" w:type="dxa"/>
            <w:vAlign w:val="bottom"/>
          </w:tcPr>
          <w:p>
            <w:pPr>
              <w:jc w:val="right"/>
              <w:ind w:right="306"/>
              <w:spacing w:after="0"/>
              <w:rPr>
                <w:sz w:val="20"/>
                <w:szCs w:val="20"/>
                <w:color w:val="auto"/>
              </w:rPr>
            </w:pPr>
            <w:r>
              <w:rPr>
                <w:rFonts w:ascii="Arial" w:cs="Arial" w:eastAsia="Arial" w:hAnsi="Arial"/>
                <w:sz w:val="11"/>
                <w:szCs w:val="11"/>
                <w:b w:val="1"/>
                <w:bCs w:val="1"/>
                <w:color w:val="auto"/>
              </w:rPr>
              <w:t>Tarun Lal</w:t>
            </w:r>
          </w:p>
        </w:tc>
        <w:tc>
          <w:tcPr>
            <w:tcW w:w="220" w:type="dxa"/>
            <w:vAlign w:val="bottom"/>
          </w:tcPr>
          <w:p>
            <w:pPr>
              <w:spacing w:after="0"/>
              <w:rPr>
                <w:sz w:val="12"/>
                <w:szCs w:val="12"/>
                <w:color w:val="auto"/>
              </w:rPr>
            </w:pPr>
          </w:p>
        </w:tc>
        <w:tc>
          <w:tcPr>
            <w:tcW w:w="1040" w:type="dxa"/>
            <w:vAlign w:val="bottom"/>
          </w:tcPr>
          <w:p>
            <w:pPr>
              <w:jc w:val="right"/>
              <w:ind w:right="246"/>
              <w:spacing w:after="0"/>
              <w:rPr>
                <w:sz w:val="20"/>
                <w:szCs w:val="20"/>
                <w:color w:val="auto"/>
              </w:rPr>
            </w:pPr>
            <w:r>
              <w:rPr>
                <w:rFonts w:ascii="Arial" w:cs="Arial" w:eastAsia="Arial" w:hAnsi="Arial"/>
                <w:sz w:val="11"/>
                <w:szCs w:val="11"/>
                <w:b w:val="1"/>
                <w:bCs w:val="1"/>
                <w:color w:val="auto"/>
              </w:rPr>
              <w:t>Chris Morris</w:t>
            </w:r>
          </w:p>
        </w:tc>
        <w:tc>
          <w:tcPr>
            <w:tcW w:w="120" w:type="dxa"/>
            <w:vAlign w:val="bottom"/>
          </w:tcPr>
          <w:p>
            <w:pPr>
              <w:spacing w:after="0"/>
              <w:rPr>
                <w:sz w:val="12"/>
                <w:szCs w:val="12"/>
                <w:color w:val="auto"/>
              </w:rPr>
            </w:pPr>
          </w:p>
        </w:tc>
        <w:tc>
          <w:tcPr>
            <w:tcW w:w="1120" w:type="dxa"/>
            <w:vAlign w:val="bottom"/>
          </w:tcPr>
          <w:p>
            <w:pPr>
              <w:jc w:val="right"/>
              <w:ind w:right="86"/>
              <w:spacing w:after="0"/>
              <w:rPr>
                <w:sz w:val="20"/>
                <w:szCs w:val="20"/>
                <w:color w:val="auto"/>
              </w:rPr>
            </w:pPr>
            <w:r>
              <w:rPr>
                <w:rFonts w:ascii="Arial" w:cs="Arial" w:eastAsia="Arial" w:hAnsi="Arial"/>
                <w:sz w:val="11"/>
                <w:szCs w:val="11"/>
                <w:b w:val="1"/>
                <w:bCs w:val="1"/>
                <w:color w:val="auto"/>
              </w:rPr>
              <w:t>Kevin M. Sheehan</w:t>
            </w:r>
          </w:p>
        </w:tc>
        <w:tc>
          <w:tcPr>
            <w:tcW w:w="200" w:type="dxa"/>
            <w:vAlign w:val="bottom"/>
          </w:tcPr>
          <w:p>
            <w:pPr>
              <w:spacing w:after="0"/>
              <w:rPr>
                <w:sz w:val="12"/>
                <w:szCs w:val="12"/>
                <w:color w:val="auto"/>
              </w:rPr>
            </w:pPr>
          </w:p>
        </w:tc>
        <w:tc>
          <w:tcPr>
            <w:tcW w:w="1060" w:type="dxa"/>
            <w:vAlign w:val="bottom"/>
          </w:tcPr>
          <w:p>
            <w:pPr>
              <w:jc w:val="right"/>
              <w:ind w:right="206"/>
              <w:spacing w:after="0"/>
              <w:rPr>
                <w:sz w:val="20"/>
                <w:szCs w:val="20"/>
                <w:color w:val="auto"/>
              </w:rPr>
            </w:pPr>
            <w:r>
              <w:rPr>
                <w:rFonts w:ascii="Arial" w:cs="Arial" w:eastAsia="Arial" w:hAnsi="Arial"/>
                <w:sz w:val="11"/>
                <w:szCs w:val="11"/>
                <w:b w:val="1"/>
                <w:bCs w:val="1"/>
                <w:color w:val="auto"/>
              </w:rPr>
              <w:t>Brian Jenkins</w:t>
            </w:r>
          </w:p>
        </w:tc>
      </w:tr>
      <w:tr>
        <w:trPr>
          <w:trHeight w:val="27"/>
        </w:trPr>
        <w:tc>
          <w:tcPr>
            <w:tcW w:w="1000" w:type="dxa"/>
            <w:vAlign w:val="bottom"/>
            <w:tcBorders>
              <w:bottom w:val="single" w:sz="8" w:color="003B71"/>
            </w:tcBorders>
          </w:tcPr>
          <w:p>
            <w:pPr>
              <w:spacing w:after="0"/>
              <w:rPr>
                <w:sz w:val="2"/>
                <w:szCs w:val="2"/>
                <w:color w:val="auto"/>
              </w:rPr>
            </w:pPr>
          </w:p>
        </w:tc>
        <w:tc>
          <w:tcPr>
            <w:tcW w:w="460" w:type="dxa"/>
            <w:vAlign w:val="bottom"/>
            <w:tcBorders>
              <w:bottom w:val="single" w:sz="8" w:color="003B71"/>
            </w:tcBorders>
          </w:tcPr>
          <w:p>
            <w:pPr>
              <w:spacing w:after="0"/>
              <w:rPr>
                <w:sz w:val="2"/>
                <w:szCs w:val="2"/>
                <w:color w:val="auto"/>
              </w:rPr>
            </w:pPr>
          </w:p>
        </w:tc>
        <w:tc>
          <w:tcPr>
            <w:tcW w:w="980" w:type="dxa"/>
            <w:vAlign w:val="bottom"/>
            <w:tcBorders>
              <w:bottom w:val="single" w:sz="8" w:color="003B71"/>
            </w:tcBorders>
          </w:tcPr>
          <w:p>
            <w:pPr>
              <w:spacing w:after="0"/>
              <w:rPr>
                <w:sz w:val="2"/>
                <w:szCs w:val="2"/>
                <w:color w:val="auto"/>
              </w:rPr>
            </w:pPr>
          </w:p>
        </w:tc>
        <w:tc>
          <w:tcPr>
            <w:tcW w:w="220" w:type="dxa"/>
            <w:vAlign w:val="bottom"/>
            <w:tcBorders>
              <w:bottom w:val="single" w:sz="8" w:color="003B71"/>
            </w:tcBorders>
          </w:tcPr>
          <w:p>
            <w:pPr>
              <w:spacing w:after="0"/>
              <w:rPr>
                <w:sz w:val="2"/>
                <w:szCs w:val="2"/>
                <w:color w:val="auto"/>
              </w:rPr>
            </w:pPr>
          </w:p>
        </w:tc>
        <w:tc>
          <w:tcPr>
            <w:tcW w:w="1020" w:type="dxa"/>
            <w:vAlign w:val="bottom"/>
            <w:tcBorders>
              <w:bottom w:val="single" w:sz="8" w:color="003B71"/>
            </w:tcBorders>
          </w:tcPr>
          <w:p>
            <w:pPr>
              <w:spacing w:after="0"/>
              <w:rPr>
                <w:sz w:val="2"/>
                <w:szCs w:val="2"/>
                <w:color w:val="auto"/>
              </w:rPr>
            </w:pPr>
          </w:p>
        </w:tc>
        <w:tc>
          <w:tcPr>
            <w:tcW w:w="140" w:type="dxa"/>
            <w:vAlign w:val="bottom"/>
            <w:tcBorders>
              <w:bottom w:val="single" w:sz="8" w:color="003B71"/>
            </w:tcBorders>
          </w:tcPr>
          <w:p>
            <w:pPr>
              <w:spacing w:after="0"/>
              <w:rPr>
                <w:sz w:val="2"/>
                <w:szCs w:val="2"/>
                <w:color w:val="auto"/>
              </w:rPr>
            </w:pPr>
          </w:p>
        </w:tc>
        <w:tc>
          <w:tcPr>
            <w:tcW w:w="1100" w:type="dxa"/>
            <w:vAlign w:val="bottom"/>
            <w:tcBorders>
              <w:bottom w:val="single" w:sz="8" w:color="003B71"/>
            </w:tcBorders>
          </w:tcPr>
          <w:p>
            <w:pPr>
              <w:spacing w:after="0"/>
              <w:rPr>
                <w:sz w:val="2"/>
                <w:szCs w:val="2"/>
                <w:color w:val="auto"/>
              </w:rPr>
            </w:pPr>
          </w:p>
        </w:tc>
        <w:tc>
          <w:tcPr>
            <w:tcW w:w="200" w:type="dxa"/>
            <w:vAlign w:val="bottom"/>
            <w:tcBorders>
              <w:bottom w:val="single" w:sz="8" w:color="003B71"/>
            </w:tcBorders>
          </w:tcPr>
          <w:p>
            <w:pPr>
              <w:spacing w:after="0"/>
              <w:rPr>
                <w:sz w:val="2"/>
                <w:szCs w:val="2"/>
                <w:color w:val="auto"/>
              </w:rPr>
            </w:pPr>
          </w:p>
        </w:tc>
        <w:tc>
          <w:tcPr>
            <w:tcW w:w="1040" w:type="dxa"/>
            <w:vAlign w:val="bottom"/>
            <w:tcBorders>
              <w:bottom w:val="single" w:sz="8" w:color="003B71"/>
            </w:tcBorders>
          </w:tcPr>
          <w:p>
            <w:pPr>
              <w:spacing w:after="0"/>
              <w:rPr>
                <w:sz w:val="2"/>
                <w:szCs w:val="2"/>
                <w:color w:val="auto"/>
              </w:rPr>
            </w:pPr>
          </w:p>
        </w:tc>
        <w:tc>
          <w:tcPr>
            <w:tcW w:w="260" w:type="dxa"/>
            <w:vAlign w:val="bottom"/>
            <w:tcBorders>
              <w:bottom w:val="single" w:sz="8" w:color="003B71"/>
            </w:tcBorders>
          </w:tcPr>
          <w:p>
            <w:pPr>
              <w:spacing w:after="0"/>
              <w:rPr>
                <w:sz w:val="2"/>
                <w:szCs w:val="2"/>
                <w:color w:val="auto"/>
              </w:rPr>
            </w:pPr>
          </w:p>
        </w:tc>
        <w:tc>
          <w:tcPr>
            <w:tcW w:w="1000" w:type="dxa"/>
            <w:vAlign w:val="bottom"/>
            <w:tcBorders>
              <w:bottom w:val="single" w:sz="8" w:color="003B71"/>
            </w:tcBorders>
          </w:tcPr>
          <w:p>
            <w:pPr>
              <w:spacing w:after="0"/>
              <w:rPr>
                <w:sz w:val="2"/>
                <w:szCs w:val="2"/>
                <w:color w:val="auto"/>
              </w:rPr>
            </w:pPr>
          </w:p>
        </w:tc>
        <w:tc>
          <w:tcPr>
            <w:tcW w:w="220" w:type="dxa"/>
            <w:vAlign w:val="bottom"/>
            <w:tcBorders>
              <w:bottom w:val="single" w:sz="8" w:color="003B71"/>
            </w:tcBorders>
          </w:tcPr>
          <w:p>
            <w:pPr>
              <w:spacing w:after="0"/>
              <w:rPr>
                <w:sz w:val="2"/>
                <w:szCs w:val="2"/>
                <w:color w:val="auto"/>
              </w:rPr>
            </w:pPr>
          </w:p>
        </w:tc>
        <w:tc>
          <w:tcPr>
            <w:tcW w:w="1040" w:type="dxa"/>
            <w:vAlign w:val="bottom"/>
            <w:tcBorders>
              <w:bottom w:val="single" w:sz="8" w:color="003B71"/>
            </w:tcBorders>
          </w:tcPr>
          <w:p>
            <w:pPr>
              <w:spacing w:after="0"/>
              <w:rPr>
                <w:sz w:val="2"/>
                <w:szCs w:val="2"/>
                <w:color w:val="auto"/>
              </w:rPr>
            </w:pPr>
          </w:p>
        </w:tc>
        <w:tc>
          <w:tcPr>
            <w:tcW w:w="120" w:type="dxa"/>
            <w:vAlign w:val="bottom"/>
            <w:tcBorders>
              <w:bottom w:val="single" w:sz="8" w:color="003B71"/>
            </w:tcBorders>
          </w:tcPr>
          <w:p>
            <w:pPr>
              <w:spacing w:after="0"/>
              <w:rPr>
                <w:sz w:val="2"/>
                <w:szCs w:val="2"/>
                <w:color w:val="auto"/>
              </w:rPr>
            </w:pPr>
          </w:p>
        </w:tc>
        <w:tc>
          <w:tcPr>
            <w:tcW w:w="1120" w:type="dxa"/>
            <w:vAlign w:val="bottom"/>
            <w:tcBorders>
              <w:bottom w:val="single" w:sz="8" w:color="003B71"/>
            </w:tcBorders>
          </w:tcPr>
          <w:p>
            <w:pPr>
              <w:spacing w:after="0"/>
              <w:rPr>
                <w:sz w:val="2"/>
                <w:szCs w:val="2"/>
                <w:color w:val="auto"/>
              </w:rPr>
            </w:pPr>
          </w:p>
        </w:tc>
        <w:tc>
          <w:tcPr>
            <w:tcW w:w="200" w:type="dxa"/>
            <w:vAlign w:val="bottom"/>
            <w:tcBorders>
              <w:bottom w:val="single" w:sz="8" w:color="003B71"/>
            </w:tcBorders>
          </w:tcPr>
          <w:p>
            <w:pPr>
              <w:spacing w:after="0"/>
              <w:rPr>
                <w:sz w:val="2"/>
                <w:szCs w:val="2"/>
                <w:color w:val="auto"/>
              </w:rPr>
            </w:pPr>
          </w:p>
        </w:tc>
        <w:tc>
          <w:tcPr>
            <w:tcW w:w="1060" w:type="dxa"/>
            <w:vAlign w:val="bottom"/>
            <w:tcBorders>
              <w:bottom w:val="single" w:sz="8" w:color="003B71"/>
            </w:tcBorders>
          </w:tcPr>
          <w:p>
            <w:pPr>
              <w:spacing w:after="0"/>
              <w:rPr>
                <w:sz w:val="2"/>
                <w:szCs w:val="2"/>
                <w:color w:val="auto"/>
              </w:rPr>
            </w:pPr>
          </w:p>
        </w:tc>
      </w:tr>
      <w:tr>
        <w:trPr>
          <w:trHeight w:val="162"/>
        </w:trPr>
        <w:tc>
          <w:tcPr>
            <w:tcW w:w="100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1"/>
                <w:szCs w:val="11"/>
                <w:color w:val="auto"/>
              </w:rPr>
              <w:t>2025</w:t>
            </w:r>
          </w:p>
        </w:tc>
        <w:tc>
          <w:tcPr>
            <w:tcW w:w="46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14,502,745</w:t>
            </w:r>
          </w:p>
        </w:tc>
        <w:tc>
          <w:tcPr>
            <w:tcW w:w="2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7,773,967</w:t>
            </w:r>
          </w:p>
        </w:tc>
        <w:tc>
          <w:tcPr>
            <w:tcW w:w="20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8,004,097</w:t>
            </w:r>
          </w:p>
        </w:tc>
        <w:tc>
          <w:tcPr>
            <w:tcW w:w="2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4,892,184</w:t>
            </w:r>
          </w:p>
        </w:tc>
        <w:tc>
          <w:tcPr>
            <w:tcW w:w="20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55"/>
        </w:trPr>
        <w:tc>
          <w:tcPr>
            <w:tcW w:w="1000" w:type="dxa"/>
            <w:vAlign w:val="bottom"/>
          </w:tcPr>
          <w:p>
            <w:pPr>
              <w:ind w:left="500"/>
              <w:spacing w:after="0"/>
              <w:rPr>
                <w:sz w:val="20"/>
                <w:szCs w:val="20"/>
                <w:color w:val="auto"/>
              </w:rPr>
            </w:pPr>
            <w:r>
              <w:rPr>
                <w:rFonts w:ascii="Arial" w:cs="Arial" w:eastAsia="Arial" w:hAnsi="Arial"/>
                <w:sz w:val="11"/>
                <w:szCs w:val="11"/>
                <w:color w:val="auto"/>
              </w:rPr>
              <w:t>2024</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2,223,451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490,237</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(14,643,209)</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48,248</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3"/>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68"/>
        </w:trPr>
        <w:tc>
          <w:tcPr>
            <w:tcW w:w="100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1"/>
                <w:szCs w:val="11"/>
                <w:color w:val="auto"/>
              </w:rPr>
              <w:t>2023</w:t>
            </w:r>
          </w:p>
        </w:tc>
        <w:tc>
          <w:tcPr>
            <w:tcW w:w="46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2,298,273</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7,279,388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DBDBDB"/>
            </w:tcBorders>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55"/>
        </w:trPr>
        <w:tc>
          <w:tcPr>
            <w:tcW w:w="1000" w:type="dxa"/>
            <w:vAlign w:val="bottom"/>
          </w:tcPr>
          <w:p>
            <w:pPr>
              <w:ind w:left="500"/>
              <w:spacing w:after="0"/>
              <w:rPr>
                <w:sz w:val="20"/>
                <w:szCs w:val="20"/>
                <w:color w:val="auto"/>
              </w:rPr>
            </w:pPr>
            <w:r>
              <w:rPr>
                <w:rFonts w:ascii="Arial" w:cs="Arial" w:eastAsia="Arial" w:hAnsi="Arial"/>
                <w:sz w:val="11"/>
                <w:szCs w:val="11"/>
                <w:color w:val="auto"/>
              </w:rPr>
              <w:t>2022</w:t>
            </w:r>
          </w:p>
        </w:tc>
        <w:tc>
          <w:tcPr>
            <w:tcW w:w="4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12,783,555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3,137,215</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12,853,604</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2,605,610</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3"/>
        </w:trPr>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55"/>
        </w:trPr>
        <w:tc>
          <w:tcPr>
            <w:tcW w:w="1000" w:type="dxa"/>
            <w:vAlign w:val="bottom"/>
            <w:shd w:val="clear" w:color="auto" w:fill="DBDBDB"/>
          </w:tcPr>
          <w:p>
            <w:pPr>
              <w:ind w:left="500"/>
              <w:spacing w:after="0"/>
              <w:rPr>
                <w:sz w:val="20"/>
                <w:szCs w:val="20"/>
                <w:color w:val="auto"/>
              </w:rPr>
            </w:pPr>
            <w:r>
              <w:rPr>
                <w:rFonts w:ascii="Arial" w:cs="Arial" w:eastAsia="Arial" w:hAnsi="Arial"/>
                <w:sz w:val="11"/>
                <w:szCs w:val="11"/>
                <w:color w:val="auto"/>
              </w:rPr>
              <w:t>2021</w:t>
            </w:r>
          </w:p>
        </w:tc>
        <w:tc>
          <w:tcPr>
            <w:tcW w:w="4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3,481,565</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7,419,865</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3,164,293</w:t>
            </w:r>
          </w:p>
        </w:tc>
        <w:tc>
          <w:tcPr>
            <w:tcW w:w="200" w:type="dxa"/>
            <w:vAlign w:val="bottom"/>
            <w:shd w:val="clear" w:color="auto" w:fill="DBDBDB"/>
          </w:tcPr>
          <w:p>
            <w:pPr>
              <w:jc w:val="right"/>
              <w:ind w:right="46"/>
              <w:spacing w:after="0"/>
              <w:rPr>
                <w:sz w:val="20"/>
                <w:szCs w:val="20"/>
                <w:color w:val="auto"/>
              </w:rPr>
            </w:pPr>
            <w:r>
              <w:rPr>
                <w:rFonts w:ascii="Arial" w:cs="Arial" w:eastAsia="Arial" w:hAnsi="Arial"/>
                <w:sz w:val="11"/>
                <w:szCs w:val="1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1,039,387</w:t>
            </w:r>
          </w:p>
        </w:tc>
      </w:tr>
      <w:tr>
        <w:trPr>
          <w:trHeight w:val="33"/>
        </w:trPr>
        <w:tc>
          <w:tcPr>
            <w:tcW w:w="100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04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71329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44</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type w:val="continuous"/>
        </w:sectPr>
      </w:pPr>
    </w:p>
    <w:bookmarkStart w:id="50" w:name="page51"/>
    <w:bookmarkEnd w:id="50"/>
    <w:tbl>
      <w:tblPr>
        <w:tblLayout w:type="fixed"/>
        <w:tblInd w:w="80" w:type="dxa"/>
        <w:tblCellMar>
          <w:top w:w="0" w:type="dxa"/>
          <w:left w:w="0" w:type="dxa"/>
          <w:bottom w:w="0" w:type="dxa"/>
          <w:right w:w="0" w:type="dxa"/>
        </w:tblCellMar>
      </w:tblPr>
      <w:tr>
        <w:trPr>
          <w:trHeight w:val="147"/>
        </w:trPr>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80" w:type="dxa"/>
            <w:vAlign w:val="bottom"/>
            <w:gridSpan w:val="3"/>
          </w:tcPr>
          <w:p>
            <w:pPr>
              <w:jc w:val="right"/>
              <w:ind w:right="666"/>
              <w:spacing w:after="0"/>
              <w:rPr>
                <w:sz w:val="20"/>
                <w:szCs w:val="20"/>
                <w:color w:val="auto"/>
              </w:rPr>
            </w:pPr>
            <w:r>
              <w:rPr>
                <w:rFonts w:ascii="Arial" w:cs="Arial" w:eastAsia="Arial" w:hAnsi="Arial"/>
                <w:sz w:val="11"/>
                <w:szCs w:val="11"/>
                <w:b w:val="1"/>
                <w:bCs w:val="1"/>
                <w:color w:val="auto"/>
              </w:rPr>
              <w:t xml:space="preserve">Value of Initial $100 Investment: </w:t>
            </w:r>
            <w:r>
              <w:rPr>
                <w:rFonts w:ascii="Arial" w:cs="Arial" w:eastAsia="Arial" w:hAnsi="Arial"/>
                <w:sz w:val="6"/>
                <w:szCs w:val="6"/>
                <w:b w:val="1"/>
                <w:bCs w:val="1"/>
                <w:color w:val="auto"/>
              </w:rPr>
              <w:t>(3)</w:t>
            </w: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96"/>
              </w:rPr>
              <w:t>Average SCT Total for Non-</w:t>
            </w:r>
          </w:p>
        </w:tc>
        <w:tc>
          <w:tcPr>
            <w:tcW w:w="260" w:type="dxa"/>
            <w:vAlign w:val="bottom"/>
          </w:tcPr>
          <w:p>
            <w:pPr>
              <w:spacing w:after="0"/>
              <w:rPr>
                <w:sz w:val="2"/>
                <w:szCs w:val="2"/>
                <w:color w:val="auto"/>
              </w:rPr>
            </w:pPr>
          </w:p>
        </w:tc>
        <w:tc>
          <w:tcPr>
            <w:tcW w:w="1360" w:type="dxa"/>
            <w:vAlign w:val="bottom"/>
            <w:vMerge w:val="restart"/>
          </w:tcPr>
          <w:p>
            <w:pPr>
              <w:jc w:val="center"/>
              <w:ind w:right="186"/>
              <w:spacing w:after="0"/>
              <w:rPr>
                <w:sz w:val="20"/>
                <w:szCs w:val="20"/>
                <w:color w:val="auto"/>
              </w:rPr>
            </w:pPr>
            <w:r>
              <w:rPr>
                <w:rFonts w:ascii="Arial" w:cs="Arial" w:eastAsia="Arial" w:hAnsi="Arial"/>
                <w:sz w:val="11"/>
                <w:szCs w:val="11"/>
                <w:b w:val="1"/>
                <w:bCs w:val="1"/>
                <w:color w:val="auto"/>
                <w:w w:val="96"/>
              </w:rPr>
              <w:t>Average CAP to</w:t>
            </w:r>
          </w:p>
        </w:tc>
        <w:tc>
          <w:tcPr>
            <w:tcW w:w="220" w:type="dxa"/>
            <w:vAlign w:val="bottom"/>
            <w:tcBorders>
              <w:bottom w:val="single" w:sz="8" w:color="00497F"/>
            </w:tcBorders>
          </w:tcPr>
          <w:p>
            <w:pPr>
              <w:spacing w:after="0"/>
              <w:rPr>
                <w:sz w:val="2"/>
                <w:szCs w:val="2"/>
                <w:color w:val="auto"/>
              </w:rPr>
            </w:pPr>
          </w:p>
        </w:tc>
        <w:tc>
          <w:tcPr>
            <w:tcW w:w="1360" w:type="dxa"/>
            <w:vAlign w:val="bottom"/>
            <w:tcBorders>
              <w:bottom w:val="single" w:sz="8" w:color="00497F"/>
            </w:tcBorders>
          </w:tcPr>
          <w:p>
            <w:pPr>
              <w:spacing w:after="0"/>
              <w:rPr>
                <w:sz w:val="2"/>
                <w:szCs w:val="2"/>
                <w:color w:val="auto"/>
              </w:rPr>
            </w:pPr>
          </w:p>
        </w:tc>
        <w:tc>
          <w:tcPr>
            <w:tcW w:w="220" w:type="dxa"/>
            <w:vAlign w:val="bottom"/>
            <w:tcBorders>
              <w:bottom w:val="single" w:sz="8" w:color="00497F"/>
            </w:tcBorders>
          </w:tcPr>
          <w:p>
            <w:pPr>
              <w:spacing w:after="0"/>
              <w:rPr>
                <w:sz w:val="2"/>
                <w:szCs w:val="2"/>
                <w:color w:val="auto"/>
              </w:rPr>
            </w:pPr>
          </w:p>
        </w:tc>
        <w:tc>
          <w:tcPr>
            <w:tcW w:w="1400" w:type="dxa"/>
            <w:vAlign w:val="bottom"/>
            <w:tcBorders>
              <w:bottom w:val="single" w:sz="8" w:color="00497F"/>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280" w:type="dxa"/>
            <w:vAlign w:val="bottom"/>
            <w:vMerge w:val="restart"/>
          </w:tcPr>
          <w:p>
            <w:pPr>
              <w:ind w:left="700"/>
              <w:spacing w:after="0"/>
              <w:rPr>
                <w:sz w:val="20"/>
                <w:szCs w:val="20"/>
                <w:color w:val="auto"/>
              </w:rPr>
            </w:pPr>
            <w:r>
              <w:rPr>
                <w:rFonts w:ascii="Arial" w:cs="Arial" w:eastAsia="Arial" w:hAnsi="Arial"/>
                <w:sz w:val="11"/>
                <w:szCs w:val="11"/>
                <w:b w:val="1"/>
                <w:bCs w:val="1"/>
                <w:color w:val="auto"/>
              </w:rPr>
              <w:t>Year</w:t>
            </w:r>
          </w:p>
        </w:tc>
        <w:tc>
          <w:tcPr>
            <w:tcW w:w="420" w:type="dxa"/>
            <w:vAlign w:val="bottom"/>
          </w:tcPr>
          <w:p>
            <w:pPr>
              <w:spacing w:after="0"/>
              <w:rPr>
                <w:sz w:val="11"/>
                <w:szCs w:val="11"/>
                <w:color w:val="auto"/>
              </w:rPr>
            </w:pPr>
          </w:p>
        </w:tc>
        <w:tc>
          <w:tcPr>
            <w:tcW w:w="1480" w:type="dxa"/>
            <w:vAlign w:val="bottom"/>
          </w:tcPr>
          <w:p>
            <w:pPr>
              <w:jc w:val="center"/>
              <w:ind w:right="6"/>
              <w:spacing w:after="0"/>
              <w:rPr>
                <w:sz w:val="20"/>
                <w:szCs w:val="20"/>
                <w:color w:val="auto"/>
              </w:rPr>
            </w:pPr>
            <w:r>
              <w:rPr>
                <w:rFonts w:ascii="Arial" w:cs="Arial" w:eastAsia="Arial" w:hAnsi="Arial"/>
                <w:sz w:val="11"/>
                <w:szCs w:val="11"/>
                <w:b w:val="1"/>
                <w:bCs w:val="1"/>
                <w:color w:val="auto"/>
                <w:w w:val="94"/>
              </w:rPr>
              <w:t>PEO</w:t>
            </w:r>
          </w:p>
        </w:tc>
        <w:tc>
          <w:tcPr>
            <w:tcW w:w="260" w:type="dxa"/>
            <w:vAlign w:val="bottom"/>
          </w:tcPr>
          <w:p>
            <w:pPr>
              <w:spacing w:after="0"/>
              <w:rPr>
                <w:sz w:val="11"/>
                <w:szCs w:val="11"/>
                <w:color w:val="auto"/>
              </w:rPr>
            </w:pPr>
          </w:p>
        </w:tc>
        <w:tc>
          <w:tcPr>
            <w:tcW w:w="1360" w:type="dxa"/>
            <w:vAlign w:val="bottom"/>
          </w:tcPr>
          <w:p>
            <w:pPr>
              <w:jc w:val="center"/>
              <w:ind w:right="186"/>
              <w:spacing w:after="0"/>
              <w:rPr>
                <w:sz w:val="20"/>
                <w:szCs w:val="20"/>
                <w:color w:val="auto"/>
              </w:rPr>
            </w:pPr>
            <w:r>
              <w:rPr>
                <w:rFonts w:ascii="Arial" w:cs="Arial" w:eastAsia="Arial" w:hAnsi="Arial"/>
                <w:sz w:val="11"/>
                <w:szCs w:val="11"/>
                <w:b w:val="1"/>
                <w:bCs w:val="1"/>
                <w:color w:val="auto"/>
                <w:w w:val="99"/>
              </w:rPr>
              <w:t>Non-PEO</w:t>
            </w:r>
          </w:p>
        </w:tc>
        <w:tc>
          <w:tcPr>
            <w:tcW w:w="220" w:type="dxa"/>
            <w:vAlign w:val="bottom"/>
          </w:tcPr>
          <w:p>
            <w:pPr>
              <w:spacing w:after="0"/>
              <w:rPr>
                <w:sz w:val="11"/>
                <w:szCs w:val="11"/>
                <w:color w:val="auto"/>
              </w:rPr>
            </w:pPr>
          </w:p>
        </w:tc>
        <w:tc>
          <w:tcPr>
            <w:tcW w:w="1360" w:type="dxa"/>
            <w:vAlign w:val="bottom"/>
            <w:vMerge w:val="restart"/>
          </w:tcPr>
          <w:p>
            <w:pPr>
              <w:jc w:val="right"/>
              <w:ind w:right="266"/>
              <w:spacing w:after="0"/>
              <w:rPr>
                <w:sz w:val="20"/>
                <w:szCs w:val="20"/>
                <w:color w:val="auto"/>
              </w:rPr>
            </w:pPr>
            <w:r>
              <w:rPr>
                <w:rFonts w:ascii="Arial" w:cs="Arial" w:eastAsia="Arial" w:hAnsi="Arial"/>
                <w:sz w:val="11"/>
                <w:szCs w:val="11"/>
                <w:b w:val="1"/>
                <w:bCs w:val="1"/>
                <w:color w:val="auto"/>
              </w:rPr>
              <w:t>Company TSR ($)</w:t>
            </w:r>
          </w:p>
        </w:tc>
        <w:tc>
          <w:tcPr>
            <w:tcW w:w="220" w:type="dxa"/>
            <w:vAlign w:val="bottom"/>
          </w:tcPr>
          <w:p>
            <w:pPr>
              <w:spacing w:after="0"/>
              <w:rPr>
                <w:sz w:val="11"/>
                <w:szCs w:val="11"/>
                <w:color w:val="auto"/>
              </w:rPr>
            </w:pPr>
          </w:p>
        </w:tc>
        <w:tc>
          <w:tcPr>
            <w:tcW w:w="140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Peer Group TSR ($)</w:t>
            </w:r>
          </w:p>
        </w:tc>
        <w:tc>
          <w:tcPr>
            <w:tcW w:w="200" w:type="dxa"/>
            <w:vAlign w:val="bottom"/>
          </w:tcPr>
          <w:p>
            <w:pPr>
              <w:spacing w:after="0"/>
              <w:rPr>
                <w:sz w:val="11"/>
                <w:szCs w:val="11"/>
                <w:color w:val="auto"/>
              </w:rPr>
            </w:pPr>
          </w:p>
        </w:tc>
        <w:tc>
          <w:tcPr>
            <w:tcW w:w="1400" w:type="dxa"/>
            <w:vAlign w:val="bottom"/>
          </w:tcPr>
          <w:p>
            <w:pPr>
              <w:jc w:val="right"/>
              <w:ind w:right="286"/>
              <w:spacing w:after="0"/>
              <w:rPr>
                <w:sz w:val="20"/>
                <w:szCs w:val="20"/>
                <w:color w:val="auto"/>
              </w:rPr>
            </w:pPr>
            <w:r>
              <w:rPr>
                <w:rFonts w:ascii="Arial" w:cs="Arial" w:eastAsia="Arial" w:hAnsi="Arial"/>
                <w:sz w:val="11"/>
                <w:szCs w:val="11"/>
                <w:b w:val="1"/>
                <w:bCs w:val="1"/>
                <w:color w:val="auto"/>
              </w:rPr>
              <w:t>Net Income (Loss)</w:t>
            </w:r>
          </w:p>
        </w:tc>
        <w:tc>
          <w:tcPr>
            <w:tcW w:w="220" w:type="dxa"/>
            <w:vAlign w:val="bottom"/>
          </w:tcPr>
          <w:p>
            <w:pPr>
              <w:spacing w:after="0"/>
              <w:rPr>
                <w:sz w:val="11"/>
                <w:szCs w:val="11"/>
                <w:color w:val="auto"/>
              </w:rPr>
            </w:pPr>
          </w:p>
        </w:tc>
        <w:tc>
          <w:tcPr>
            <w:tcW w:w="1380" w:type="dxa"/>
            <w:vAlign w:val="bottom"/>
          </w:tcPr>
          <w:p>
            <w:pPr>
              <w:jc w:val="right"/>
              <w:ind w:right="306"/>
              <w:spacing w:after="0"/>
              <w:rPr>
                <w:sz w:val="20"/>
                <w:szCs w:val="20"/>
                <w:color w:val="auto"/>
              </w:rPr>
            </w:pPr>
            <w:r>
              <w:rPr>
                <w:rFonts w:ascii="Arial" w:cs="Arial" w:eastAsia="Arial" w:hAnsi="Arial"/>
                <w:sz w:val="11"/>
                <w:szCs w:val="11"/>
                <w:b w:val="1"/>
                <w:bCs w:val="1"/>
                <w:color w:val="auto"/>
              </w:rPr>
              <w:t>Adjusted EBITDA</w:t>
            </w:r>
          </w:p>
        </w:tc>
        <w:tc>
          <w:tcPr>
            <w:tcW w:w="0" w:type="dxa"/>
            <w:vAlign w:val="bottom"/>
          </w:tcPr>
          <w:p>
            <w:pPr>
              <w:spacing w:after="0"/>
              <w:rPr>
                <w:sz w:val="1"/>
                <w:szCs w:val="1"/>
                <w:color w:val="auto"/>
              </w:rPr>
            </w:pPr>
          </w:p>
        </w:tc>
      </w:tr>
      <w:tr>
        <w:trPr>
          <w:trHeight w:val="163"/>
        </w:trPr>
        <w:tc>
          <w:tcPr>
            <w:tcW w:w="1280" w:type="dxa"/>
            <w:vAlign w:val="bottom"/>
            <w:tcBorders>
              <w:bottom w:val="single" w:sz="8" w:color="00497F"/>
            </w:tcBorders>
            <w:vMerge w:val="continue"/>
          </w:tcPr>
          <w:p>
            <w:pPr>
              <w:spacing w:after="0"/>
              <w:rPr>
                <w:sz w:val="14"/>
                <w:szCs w:val="14"/>
                <w:color w:val="auto"/>
              </w:rPr>
            </w:pPr>
          </w:p>
        </w:tc>
        <w:tc>
          <w:tcPr>
            <w:tcW w:w="420" w:type="dxa"/>
            <w:vAlign w:val="bottom"/>
            <w:tcBorders>
              <w:bottom w:val="single" w:sz="8" w:color="00497F"/>
            </w:tcBorders>
          </w:tcPr>
          <w:p>
            <w:pPr>
              <w:spacing w:after="0"/>
              <w:rPr>
                <w:sz w:val="14"/>
                <w:szCs w:val="14"/>
                <w:color w:val="auto"/>
              </w:rPr>
            </w:pPr>
          </w:p>
        </w:tc>
        <w:tc>
          <w:tcPr>
            <w:tcW w:w="1480" w:type="dxa"/>
            <w:vAlign w:val="bottom"/>
            <w:tcBorders>
              <w:bottom w:val="single" w:sz="8" w:color="00497F"/>
            </w:tcBorders>
          </w:tcPr>
          <w:p>
            <w:pPr>
              <w:jc w:val="center"/>
              <w:ind w:right="6"/>
              <w:spacing w:after="0"/>
              <w:rPr>
                <w:sz w:val="20"/>
                <w:szCs w:val="20"/>
                <w:color w:val="auto"/>
              </w:rPr>
            </w:pPr>
            <w:r>
              <w:rPr>
                <w:rFonts w:ascii="Arial" w:cs="Arial" w:eastAsia="Arial" w:hAnsi="Arial"/>
                <w:sz w:val="11"/>
                <w:szCs w:val="11"/>
                <w:b w:val="1"/>
                <w:bCs w:val="1"/>
                <w:color w:val="auto"/>
                <w:w w:val="96"/>
              </w:rPr>
              <w:t xml:space="preserve">NEOs ($) </w:t>
            </w:r>
            <w:r>
              <w:rPr>
                <w:rFonts w:ascii="Arial" w:cs="Arial" w:eastAsia="Arial" w:hAnsi="Arial"/>
                <w:sz w:val="13"/>
                <w:szCs w:val="13"/>
                <w:b w:val="1"/>
                <w:bCs w:val="1"/>
                <w:color w:val="auto"/>
                <w:w w:val="96"/>
                <w:vertAlign w:val="superscript"/>
              </w:rPr>
              <w:t>(1)</w:t>
            </w:r>
          </w:p>
        </w:tc>
        <w:tc>
          <w:tcPr>
            <w:tcW w:w="260" w:type="dxa"/>
            <w:vAlign w:val="bottom"/>
            <w:tcBorders>
              <w:bottom w:val="single" w:sz="8" w:color="00497F"/>
            </w:tcBorders>
          </w:tcPr>
          <w:p>
            <w:pPr>
              <w:spacing w:after="0"/>
              <w:rPr>
                <w:sz w:val="14"/>
                <w:szCs w:val="14"/>
                <w:color w:val="auto"/>
              </w:rPr>
            </w:pPr>
          </w:p>
        </w:tc>
        <w:tc>
          <w:tcPr>
            <w:tcW w:w="1360" w:type="dxa"/>
            <w:vAlign w:val="bottom"/>
            <w:tcBorders>
              <w:bottom w:val="single" w:sz="8" w:color="00497F"/>
            </w:tcBorders>
          </w:tcPr>
          <w:p>
            <w:pPr>
              <w:jc w:val="center"/>
              <w:ind w:right="186"/>
              <w:spacing w:after="0"/>
              <w:rPr>
                <w:sz w:val="20"/>
                <w:szCs w:val="20"/>
                <w:color w:val="auto"/>
              </w:rPr>
            </w:pPr>
            <w:r>
              <w:rPr>
                <w:rFonts w:ascii="Arial" w:cs="Arial" w:eastAsia="Arial" w:hAnsi="Arial"/>
                <w:sz w:val="11"/>
                <w:szCs w:val="11"/>
                <w:b w:val="1"/>
                <w:bCs w:val="1"/>
                <w:color w:val="auto"/>
                <w:w w:val="93"/>
              </w:rPr>
              <w:t xml:space="preserve">NEOs ($) </w:t>
            </w:r>
            <w:r>
              <w:rPr>
                <w:rFonts w:ascii="Arial" w:cs="Arial" w:eastAsia="Arial" w:hAnsi="Arial"/>
                <w:sz w:val="13"/>
                <w:szCs w:val="13"/>
                <w:b w:val="1"/>
                <w:bCs w:val="1"/>
                <w:color w:val="auto"/>
                <w:w w:val="93"/>
                <w:vertAlign w:val="superscript"/>
              </w:rPr>
              <w:t>(2)</w:t>
            </w:r>
          </w:p>
        </w:tc>
        <w:tc>
          <w:tcPr>
            <w:tcW w:w="220" w:type="dxa"/>
            <w:vAlign w:val="bottom"/>
            <w:tcBorders>
              <w:bottom w:val="single" w:sz="8" w:color="00497F"/>
            </w:tcBorders>
          </w:tcPr>
          <w:p>
            <w:pPr>
              <w:spacing w:after="0"/>
              <w:rPr>
                <w:sz w:val="14"/>
                <w:szCs w:val="14"/>
                <w:color w:val="auto"/>
              </w:rPr>
            </w:pPr>
          </w:p>
        </w:tc>
        <w:tc>
          <w:tcPr>
            <w:tcW w:w="1360" w:type="dxa"/>
            <w:vAlign w:val="bottom"/>
            <w:tcBorders>
              <w:bottom w:val="single" w:sz="8" w:color="00497F"/>
            </w:tcBorders>
            <w:vMerge w:val="continue"/>
          </w:tcPr>
          <w:p>
            <w:pPr>
              <w:spacing w:after="0"/>
              <w:rPr>
                <w:sz w:val="14"/>
                <w:szCs w:val="14"/>
                <w:color w:val="auto"/>
              </w:rPr>
            </w:pPr>
          </w:p>
        </w:tc>
        <w:tc>
          <w:tcPr>
            <w:tcW w:w="220" w:type="dxa"/>
            <w:vAlign w:val="bottom"/>
            <w:tcBorders>
              <w:bottom w:val="single" w:sz="8" w:color="00497F"/>
            </w:tcBorders>
          </w:tcPr>
          <w:p>
            <w:pPr>
              <w:spacing w:after="0"/>
              <w:rPr>
                <w:sz w:val="14"/>
                <w:szCs w:val="14"/>
                <w:color w:val="auto"/>
              </w:rPr>
            </w:pPr>
          </w:p>
        </w:tc>
        <w:tc>
          <w:tcPr>
            <w:tcW w:w="1400" w:type="dxa"/>
            <w:vAlign w:val="bottom"/>
            <w:tcBorders>
              <w:bottom w:val="single" w:sz="8" w:color="00497F"/>
            </w:tcBorders>
            <w:vMerge w:val="continue"/>
          </w:tcPr>
          <w:p>
            <w:pPr>
              <w:spacing w:after="0"/>
              <w:rPr>
                <w:sz w:val="14"/>
                <w:szCs w:val="14"/>
                <w:color w:val="auto"/>
              </w:rPr>
            </w:pPr>
          </w:p>
        </w:tc>
        <w:tc>
          <w:tcPr>
            <w:tcW w:w="200" w:type="dxa"/>
            <w:vAlign w:val="bottom"/>
            <w:tcBorders>
              <w:bottom w:val="single" w:sz="8" w:color="00497F"/>
            </w:tcBorders>
          </w:tcPr>
          <w:p>
            <w:pPr>
              <w:spacing w:after="0"/>
              <w:rPr>
                <w:sz w:val="14"/>
                <w:szCs w:val="14"/>
                <w:color w:val="auto"/>
              </w:rPr>
            </w:pPr>
          </w:p>
        </w:tc>
        <w:tc>
          <w:tcPr>
            <w:tcW w:w="1400" w:type="dxa"/>
            <w:vAlign w:val="bottom"/>
            <w:tcBorders>
              <w:bottom w:val="single" w:sz="8" w:color="00497F"/>
            </w:tcBorders>
          </w:tcPr>
          <w:p>
            <w:pPr>
              <w:jc w:val="right"/>
              <w:ind w:right="466"/>
              <w:spacing w:after="0"/>
              <w:rPr>
                <w:sz w:val="20"/>
                <w:szCs w:val="20"/>
                <w:color w:val="auto"/>
              </w:rPr>
            </w:pPr>
            <w:r>
              <w:rPr>
                <w:rFonts w:ascii="Arial" w:cs="Arial" w:eastAsia="Arial" w:hAnsi="Arial"/>
                <w:sz w:val="11"/>
                <w:szCs w:val="11"/>
                <w:b w:val="1"/>
                <w:bCs w:val="1"/>
                <w:color w:val="auto"/>
              </w:rPr>
              <w:t>($ millions)</w:t>
            </w:r>
          </w:p>
        </w:tc>
        <w:tc>
          <w:tcPr>
            <w:tcW w:w="220" w:type="dxa"/>
            <w:vAlign w:val="bottom"/>
            <w:tcBorders>
              <w:bottom w:val="single" w:sz="8" w:color="00497F"/>
            </w:tcBorders>
          </w:tcPr>
          <w:p>
            <w:pPr>
              <w:spacing w:after="0"/>
              <w:rPr>
                <w:sz w:val="14"/>
                <w:szCs w:val="14"/>
                <w:color w:val="auto"/>
              </w:rPr>
            </w:pPr>
          </w:p>
        </w:tc>
        <w:tc>
          <w:tcPr>
            <w:tcW w:w="1380" w:type="dxa"/>
            <w:vAlign w:val="bottom"/>
            <w:tcBorders>
              <w:bottom w:val="single" w:sz="8" w:color="00497F"/>
            </w:tcBorders>
          </w:tcPr>
          <w:p>
            <w:pPr>
              <w:jc w:val="right"/>
              <w:ind w:right="406"/>
              <w:spacing w:after="0"/>
              <w:rPr>
                <w:sz w:val="20"/>
                <w:szCs w:val="20"/>
                <w:color w:val="auto"/>
              </w:rPr>
            </w:pPr>
            <w:r>
              <w:rPr>
                <w:rFonts w:ascii="Arial" w:cs="Arial" w:eastAsia="Arial" w:hAnsi="Arial"/>
                <w:sz w:val="11"/>
                <w:szCs w:val="11"/>
                <w:b w:val="1"/>
                <w:bCs w:val="1"/>
                <w:color w:val="auto"/>
              </w:rPr>
              <w:t xml:space="preserve">($ millions) </w:t>
            </w:r>
            <w:r>
              <w:rPr>
                <w:rFonts w:ascii="Arial" w:cs="Arial" w:eastAsia="Arial" w:hAnsi="Arial"/>
                <w:sz w:val="13"/>
                <w:szCs w:val="13"/>
                <w:b w:val="1"/>
                <w:bCs w:val="1"/>
                <w:color w:val="auto"/>
                <w:vertAlign w:val="superscript"/>
              </w:rPr>
              <w:t>(4)</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1"/>
                <w:szCs w:val="11"/>
                <w:color w:val="auto"/>
              </w:rPr>
              <w:t>2025</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3,038,181</w:t>
            </w:r>
          </w:p>
        </w:tc>
        <w:tc>
          <w:tcPr>
            <w:tcW w:w="26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1,649,508</w:t>
            </w:r>
          </w:p>
        </w:tc>
        <w:tc>
          <w:tcPr>
            <w:tcW w:w="2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57.11</w:t>
            </w:r>
          </w:p>
        </w:tc>
        <w:tc>
          <w:tcPr>
            <w:tcW w:w="2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58.14</w:t>
            </w:r>
          </w:p>
        </w:tc>
        <w:tc>
          <w:tcPr>
            <w:tcW w:w="20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(48.7)</w:t>
            </w:r>
          </w:p>
        </w:tc>
        <w:tc>
          <w:tcPr>
            <w:tcW w:w="2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138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436.6</w:t>
            </w:r>
          </w:p>
        </w:tc>
        <w:tc>
          <w:tcPr>
            <w:tcW w:w="0" w:type="dxa"/>
            <w:vAlign w:val="bottom"/>
          </w:tcPr>
          <w:p>
            <w:pPr>
              <w:spacing w:after="0"/>
              <w:rPr>
                <w:sz w:val="1"/>
                <w:szCs w:val="1"/>
                <w:color w:val="auto"/>
              </w:rPr>
            </w:pPr>
          </w:p>
        </w:tc>
      </w:tr>
      <w:tr>
        <w:trPr>
          <w:trHeight w:val="155"/>
        </w:trPr>
        <w:tc>
          <w:tcPr>
            <w:tcW w:w="1280" w:type="dxa"/>
            <w:vAlign w:val="bottom"/>
          </w:tcPr>
          <w:p>
            <w:pPr>
              <w:ind w:left="680"/>
              <w:spacing w:after="0"/>
              <w:rPr>
                <w:sz w:val="20"/>
                <w:szCs w:val="20"/>
                <w:color w:val="auto"/>
              </w:rPr>
            </w:pPr>
            <w:r>
              <w:rPr>
                <w:rFonts w:ascii="Arial" w:cs="Arial" w:eastAsia="Arial" w:hAnsi="Arial"/>
                <w:sz w:val="11"/>
                <w:szCs w:val="11"/>
                <w:color w:val="auto"/>
              </w:rPr>
              <w:t>2024</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1,294,992</w:t>
            </w:r>
          </w:p>
        </w:tc>
        <w:tc>
          <w:tcPr>
            <w:tcW w:w="2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(1,699,238)</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80.48</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81.52</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58.3</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380" w:type="dxa"/>
            <w:vAlign w:val="bottom"/>
          </w:tcPr>
          <w:p>
            <w:pPr>
              <w:jc w:val="right"/>
              <w:ind w:right="6"/>
              <w:spacing w:after="0"/>
              <w:rPr>
                <w:sz w:val="20"/>
                <w:szCs w:val="20"/>
                <w:color w:val="auto"/>
              </w:rPr>
            </w:pPr>
            <w:r>
              <w:rPr>
                <w:rFonts w:ascii="Arial" w:cs="Arial" w:eastAsia="Arial" w:hAnsi="Arial"/>
                <w:sz w:val="11"/>
                <w:szCs w:val="11"/>
                <w:color w:val="auto"/>
              </w:rPr>
              <w:t>506.2</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280" w:type="dxa"/>
            <w:vAlign w:val="bottom"/>
            <w:tcBorders>
              <w:bottom w:val="single" w:sz="8" w:color="DBDBDB"/>
            </w:tcBorders>
            <w:shd w:val="clear" w:color="auto" w:fill="DBDBDB"/>
          </w:tcPr>
          <w:p>
            <w:pPr>
              <w:ind w:left="680"/>
              <w:spacing w:after="0"/>
              <w:rPr>
                <w:sz w:val="20"/>
                <w:szCs w:val="20"/>
                <w:color w:val="auto"/>
              </w:rPr>
            </w:pPr>
            <w:r>
              <w:rPr>
                <w:rFonts w:ascii="Arial" w:cs="Arial" w:eastAsia="Arial" w:hAnsi="Arial"/>
                <w:sz w:val="11"/>
                <w:szCs w:val="11"/>
                <w:color w:val="auto"/>
              </w:rPr>
              <w:t>2023</w:t>
            </w:r>
          </w:p>
        </w:tc>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1,076,444</w:t>
            </w:r>
          </w:p>
        </w:tc>
        <w:tc>
          <w:tcPr>
            <w:tcW w:w="260" w:type="dxa"/>
            <w:vAlign w:val="bottom"/>
            <w:tcBorders>
              <w:bottom w:val="single" w:sz="8" w:color="DBDBDB"/>
            </w:tcBorders>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2,113,379</w:t>
            </w:r>
          </w:p>
        </w:tc>
        <w:tc>
          <w:tcPr>
            <w:tcW w:w="2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1"/>
                <w:szCs w:val="11"/>
                <w:color w:val="auto"/>
              </w:rPr>
              <w:t>162.23</w:t>
            </w:r>
          </w:p>
        </w:tc>
        <w:tc>
          <w:tcPr>
            <w:tcW w:w="22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72.82</w:t>
            </w:r>
          </w:p>
        </w:tc>
        <w:tc>
          <w:tcPr>
            <w:tcW w:w="200" w:type="dxa"/>
            <w:vAlign w:val="bottom"/>
            <w:tcBorders>
              <w:bottom w:val="single" w:sz="8" w:color="DBDBDB"/>
            </w:tcBorders>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40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126.9</w:t>
            </w:r>
          </w:p>
        </w:tc>
        <w:tc>
          <w:tcPr>
            <w:tcW w:w="220" w:type="dxa"/>
            <w:vAlign w:val="bottom"/>
            <w:tcBorders>
              <w:bottom w:val="single" w:sz="8" w:color="DBDBDB"/>
            </w:tcBorders>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1380" w:type="dxa"/>
            <w:vAlign w:val="bottom"/>
            <w:tcBorders>
              <w:bottom w:val="single" w:sz="8" w:color="DBDBDB"/>
            </w:tcBorders>
            <w:shd w:val="clear" w:color="auto" w:fill="DBDBDB"/>
          </w:tcPr>
          <w:p>
            <w:pPr>
              <w:jc w:val="right"/>
              <w:ind w:right="6"/>
              <w:spacing w:after="0"/>
              <w:rPr>
                <w:sz w:val="20"/>
                <w:szCs w:val="20"/>
                <w:color w:val="auto"/>
              </w:rPr>
            </w:pPr>
            <w:r>
              <w:rPr>
                <w:rFonts w:ascii="Arial" w:cs="Arial" w:eastAsia="Arial" w:hAnsi="Arial"/>
                <w:sz w:val="11"/>
                <w:szCs w:val="11"/>
                <w:color w:val="auto"/>
              </w:rPr>
              <w:t>555.6</w:t>
            </w:r>
          </w:p>
        </w:tc>
        <w:tc>
          <w:tcPr>
            <w:tcW w:w="0" w:type="dxa"/>
            <w:vAlign w:val="bottom"/>
          </w:tcPr>
          <w:p>
            <w:pPr>
              <w:spacing w:after="0"/>
              <w:rPr>
                <w:sz w:val="1"/>
                <w:szCs w:val="1"/>
                <w:color w:val="auto"/>
              </w:rPr>
            </w:pPr>
          </w:p>
        </w:tc>
      </w:tr>
      <w:tr>
        <w:trPr>
          <w:trHeight w:val="155"/>
        </w:trPr>
        <w:tc>
          <w:tcPr>
            <w:tcW w:w="1280" w:type="dxa"/>
            <w:vAlign w:val="bottom"/>
          </w:tcPr>
          <w:p>
            <w:pPr>
              <w:ind w:left="680"/>
              <w:spacing w:after="0"/>
              <w:rPr>
                <w:sz w:val="20"/>
                <w:szCs w:val="20"/>
                <w:color w:val="auto"/>
              </w:rPr>
            </w:pPr>
            <w:r>
              <w:rPr>
                <w:rFonts w:ascii="Arial" w:cs="Arial" w:eastAsia="Arial" w:hAnsi="Arial"/>
                <w:sz w:val="11"/>
                <w:szCs w:val="11"/>
                <w:color w:val="auto"/>
              </w:rPr>
              <w:t>2022</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3,848,246</w:t>
            </w:r>
          </w:p>
        </w:tc>
        <w:tc>
          <w:tcPr>
            <w:tcW w:w="2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6"/>
              <w:spacing w:after="0"/>
              <w:rPr>
                <w:sz w:val="20"/>
                <w:szCs w:val="20"/>
                <w:color w:val="auto"/>
              </w:rPr>
            </w:pPr>
            <w:r>
              <w:rPr>
                <w:rFonts w:ascii="Arial" w:cs="Arial" w:eastAsia="Arial" w:hAnsi="Arial"/>
                <w:sz w:val="11"/>
                <w:szCs w:val="11"/>
                <w:color w:val="auto"/>
              </w:rPr>
              <w:t>4,727,886</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122.28</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72.18</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4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380" w:type="dxa"/>
            <w:vAlign w:val="bottom"/>
          </w:tcPr>
          <w:p>
            <w:pPr>
              <w:jc w:val="right"/>
              <w:ind w:right="6"/>
              <w:spacing w:after="0"/>
              <w:rPr>
                <w:sz w:val="20"/>
                <w:szCs w:val="20"/>
                <w:color w:val="auto"/>
              </w:rPr>
            </w:pPr>
            <w:r>
              <w:rPr>
                <w:rFonts w:ascii="Arial" w:cs="Arial" w:eastAsia="Arial" w:hAnsi="Arial"/>
                <w:sz w:val="11"/>
                <w:szCs w:val="11"/>
                <w:color w:val="auto"/>
              </w:rPr>
              <w:t>480.4</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280" w:type="dxa"/>
            <w:vAlign w:val="bottom"/>
            <w:shd w:val="clear" w:color="auto" w:fill="DBDBDB"/>
          </w:tcPr>
          <w:p>
            <w:pPr>
              <w:ind w:left="680"/>
              <w:spacing w:after="0"/>
              <w:rPr>
                <w:sz w:val="20"/>
                <w:szCs w:val="20"/>
                <w:color w:val="auto"/>
              </w:rPr>
            </w:pPr>
            <w:r>
              <w:rPr>
                <w:rFonts w:ascii="Arial" w:cs="Arial" w:eastAsia="Arial" w:hAnsi="Arial"/>
                <w:sz w:val="11"/>
                <w:szCs w:val="11"/>
                <w:color w:val="auto"/>
              </w:rPr>
              <w:t>2021</w:t>
            </w:r>
          </w:p>
        </w:tc>
        <w:tc>
          <w:tcPr>
            <w:tcW w:w="4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1,371,338</w:t>
            </w:r>
          </w:p>
        </w:tc>
        <w:tc>
          <w:tcPr>
            <w:tcW w:w="260" w:type="dxa"/>
            <w:vAlign w:val="bottom"/>
            <w:shd w:val="clear" w:color="auto" w:fill="DBDBDB"/>
          </w:tcPr>
          <w:p>
            <w:pPr>
              <w:jc w:val="right"/>
              <w:ind w:right="106"/>
              <w:spacing w:after="0"/>
              <w:rPr>
                <w:sz w:val="20"/>
                <w:szCs w:val="20"/>
                <w:color w:val="auto"/>
              </w:rPr>
            </w:pPr>
            <w:r>
              <w:rPr>
                <w:rFonts w:ascii="Arial" w:cs="Arial" w:eastAsia="Arial" w:hAnsi="Arial"/>
                <w:sz w:val="11"/>
                <w:szCs w:val="11"/>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(383,173)</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103.79</w:t>
            </w:r>
          </w:p>
        </w:tc>
        <w:tc>
          <w:tcPr>
            <w:tcW w:w="22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w:t>
            </w:r>
          </w:p>
        </w:tc>
        <w:tc>
          <w:tcPr>
            <w:tcW w:w="14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72.23</w:t>
            </w:r>
          </w:p>
        </w:tc>
        <w:tc>
          <w:tcPr>
            <w:tcW w:w="2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108.6</w:t>
            </w:r>
          </w:p>
        </w:tc>
        <w:tc>
          <w:tcPr>
            <w:tcW w:w="22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343.6</w:t>
            </w:r>
          </w:p>
        </w:tc>
        <w:tc>
          <w:tcPr>
            <w:tcW w:w="0" w:type="dxa"/>
            <w:vAlign w:val="bottom"/>
          </w:tcPr>
          <w:p>
            <w:pPr>
              <w:spacing w:after="0"/>
              <w:rPr>
                <w:sz w:val="1"/>
                <w:szCs w:val="1"/>
                <w:color w:val="auto"/>
              </w:rPr>
            </w:pPr>
          </w:p>
        </w:tc>
      </w:tr>
      <w:tr>
        <w:trPr>
          <w:trHeight w:val="33"/>
        </w:trPr>
        <w:tc>
          <w:tcPr>
            <w:tcW w:w="128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48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20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3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jc w:val="right"/>
        <w:ind w:left="80" w:right="160"/>
        <w:spacing w:after="0" w:line="276" w:lineRule="auto"/>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  For each fiscal year, the dollar amount stated represents the amount reported for our CEO(s), who served as our PEO(s), and average amount reported for our non-CEO</w:t>
      </w:r>
      <w:r>
        <w:rPr>
          <w:rFonts w:ascii="Arial" w:cs="Arial" w:eastAsia="Arial" w:hAnsi="Arial"/>
          <w:sz w:val="16"/>
          <w:szCs w:val="16"/>
          <w:color w:val="auto"/>
        </w:rPr>
        <w:t xml:space="preserve"> </w:t>
      </w:r>
      <w:r>
        <w:rPr>
          <w:rFonts w:ascii="Arial" w:cs="Arial" w:eastAsia="Arial" w:hAnsi="Arial"/>
          <w:sz w:val="14"/>
          <w:szCs w:val="14"/>
          <w:color w:val="auto"/>
        </w:rPr>
        <w:t>NEOs from the Total column of the applicable year’s Summary Compensation Table (“SCT”). Our PEO(s) and NEOs for each fiscal year presented above were as follows:</w:t>
      </w:r>
    </w:p>
    <w:p>
      <w:pPr>
        <w:spacing w:after="0" w:line="65"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800" w:type="dxa"/>
            <w:vAlign w:val="bottom"/>
            <w:tcBorders>
              <w:bottom w:val="single" w:sz="8" w:color="00497F"/>
            </w:tcBorders>
          </w:tcPr>
          <w:p>
            <w:pPr>
              <w:jc w:val="center"/>
              <w:spacing w:after="0"/>
              <w:rPr>
                <w:sz w:val="20"/>
                <w:szCs w:val="20"/>
                <w:color w:val="auto"/>
              </w:rPr>
            </w:pPr>
            <w:r>
              <w:rPr>
                <w:rFonts w:ascii="Arial" w:cs="Arial" w:eastAsia="Arial" w:hAnsi="Arial"/>
                <w:sz w:val="14"/>
                <w:szCs w:val="14"/>
                <w:b w:val="1"/>
                <w:bCs w:val="1"/>
                <w:color w:val="auto"/>
              </w:rPr>
              <w:t>Fiscal Year</w:t>
            </w:r>
          </w:p>
        </w:tc>
        <w:tc>
          <w:tcPr>
            <w:tcW w:w="3200" w:type="dxa"/>
            <w:vAlign w:val="bottom"/>
            <w:tcBorders>
              <w:bottom w:val="single" w:sz="8" w:color="00497F"/>
            </w:tcBorders>
          </w:tcPr>
          <w:p>
            <w:pPr>
              <w:jc w:val="center"/>
              <w:spacing w:after="0"/>
              <w:rPr>
                <w:sz w:val="20"/>
                <w:szCs w:val="20"/>
                <w:color w:val="auto"/>
              </w:rPr>
            </w:pPr>
            <w:r>
              <w:rPr>
                <w:rFonts w:ascii="Arial" w:cs="Arial" w:eastAsia="Arial" w:hAnsi="Arial"/>
                <w:sz w:val="14"/>
                <w:szCs w:val="14"/>
                <w:b w:val="1"/>
                <w:bCs w:val="1"/>
                <w:color w:val="auto"/>
              </w:rPr>
              <w:t>PEO(s)</w:t>
            </w:r>
          </w:p>
        </w:tc>
        <w:tc>
          <w:tcPr>
            <w:tcW w:w="6880" w:type="dxa"/>
            <w:vAlign w:val="bottom"/>
            <w:tcBorders>
              <w:bottom w:val="single" w:sz="8" w:color="00497F"/>
            </w:tcBorders>
          </w:tcPr>
          <w:p>
            <w:pPr>
              <w:jc w:val="right"/>
              <w:ind w:right="2828"/>
              <w:spacing w:after="0"/>
              <w:rPr>
                <w:sz w:val="20"/>
                <w:szCs w:val="20"/>
                <w:color w:val="auto"/>
              </w:rPr>
            </w:pPr>
            <w:r>
              <w:rPr>
                <w:rFonts w:ascii="Arial" w:cs="Arial" w:eastAsia="Arial" w:hAnsi="Arial"/>
                <w:sz w:val="14"/>
                <w:szCs w:val="14"/>
                <w:b w:val="1"/>
                <w:bCs w:val="1"/>
                <w:color w:val="auto"/>
              </w:rPr>
              <w:t>Non-PEO NEOs</w:t>
            </w:r>
          </w:p>
        </w:tc>
      </w:tr>
      <w:tr>
        <w:trPr>
          <w:trHeight w:val="207"/>
        </w:trPr>
        <w:tc>
          <w:tcPr>
            <w:tcW w:w="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2025</w:t>
            </w:r>
          </w:p>
        </w:tc>
        <w:tc>
          <w:tcPr>
            <w:tcW w:w="32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Kevin M. Sheehan</w:t>
            </w:r>
          </w:p>
        </w:tc>
        <w:tc>
          <w:tcPr>
            <w:tcW w:w="6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Darin Harper, Antonio Bautista, Steven Klohn and Tony Wehner</w:t>
            </w:r>
          </w:p>
        </w:tc>
      </w:tr>
      <w:tr>
        <w:trPr>
          <w:trHeight w:val="230"/>
        </w:trPr>
        <w:tc>
          <w:tcPr>
            <w:tcW w:w="800" w:type="dxa"/>
            <w:vAlign w:val="bottom"/>
            <w:tcBorders>
              <w:bottom w:val="single" w:sz="8" w:color="DBDBDB"/>
            </w:tcBorders>
            <w:shd w:val="clear" w:color="auto" w:fill="DBDBDB"/>
          </w:tcPr>
          <w:p>
            <w:pPr>
              <w:spacing w:after="0"/>
              <w:rPr>
                <w:sz w:val="19"/>
                <w:szCs w:val="19"/>
                <w:color w:val="auto"/>
              </w:rPr>
            </w:pPr>
          </w:p>
        </w:tc>
        <w:tc>
          <w:tcPr>
            <w:tcW w:w="32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Tarun Lal</w:t>
            </w:r>
          </w:p>
        </w:tc>
        <w:tc>
          <w:tcPr>
            <w:tcW w:w="6880" w:type="dxa"/>
            <w:vAlign w:val="bottom"/>
            <w:tcBorders>
              <w:bottom w:val="single" w:sz="8" w:color="DBDBDB"/>
            </w:tcBorders>
            <w:shd w:val="clear" w:color="auto" w:fill="DBDBDB"/>
          </w:tcPr>
          <w:p>
            <w:pPr>
              <w:spacing w:after="0"/>
              <w:rPr>
                <w:sz w:val="19"/>
                <w:szCs w:val="19"/>
                <w:color w:val="auto"/>
              </w:rPr>
            </w:pPr>
          </w:p>
        </w:tc>
      </w:tr>
      <w:tr>
        <w:trPr>
          <w:trHeight w:val="207"/>
        </w:trPr>
        <w:tc>
          <w:tcPr>
            <w:tcW w:w="800" w:type="dxa"/>
            <w:vAlign w:val="bottom"/>
          </w:tcPr>
          <w:p>
            <w:pPr>
              <w:jc w:val="center"/>
              <w:spacing w:after="0"/>
              <w:rPr>
                <w:sz w:val="20"/>
                <w:szCs w:val="20"/>
                <w:color w:val="auto"/>
              </w:rPr>
            </w:pPr>
            <w:r>
              <w:rPr>
                <w:rFonts w:ascii="Arial" w:cs="Arial" w:eastAsia="Arial" w:hAnsi="Arial"/>
                <w:sz w:val="14"/>
                <w:szCs w:val="14"/>
                <w:color w:val="auto"/>
              </w:rPr>
              <w:t>2024</w:t>
            </w:r>
          </w:p>
        </w:tc>
        <w:tc>
          <w:tcPr>
            <w:tcW w:w="3200" w:type="dxa"/>
            <w:vAlign w:val="bottom"/>
          </w:tcPr>
          <w:p>
            <w:pPr>
              <w:jc w:val="center"/>
              <w:spacing w:after="0"/>
              <w:rPr>
                <w:sz w:val="20"/>
                <w:szCs w:val="20"/>
                <w:color w:val="auto"/>
              </w:rPr>
            </w:pPr>
            <w:r>
              <w:rPr>
                <w:rFonts w:ascii="Arial" w:cs="Arial" w:eastAsia="Arial" w:hAnsi="Arial"/>
                <w:sz w:val="14"/>
                <w:szCs w:val="14"/>
                <w:color w:val="auto"/>
              </w:rPr>
              <w:t>Chris Morris</w:t>
            </w:r>
          </w:p>
        </w:tc>
        <w:tc>
          <w:tcPr>
            <w:tcW w:w="6880" w:type="dxa"/>
            <w:vAlign w:val="bottom"/>
          </w:tcPr>
          <w:p>
            <w:pPr>
              <w:jc w:val="right"/>
              <w:spacing w:after="0"/>
              <w:rPr>
                <w:sz w:val="20"/>
                <w:szCs w:val="20"/>
                <w:color w:val="auto"/>
              </w:rPr>
            </w:pPr>
            <w:r>
              <w:rPr>
                <w:rFonts w:ascii="Arial" w:cs="Arial" w:eastAsia="Arial" w:hAnsi="Arial"/>
                <w:sz w:val="14"/>
                <w:szCs w:val="14"/>
                <w:color w:val="auto"/>
              </w:rPr>
              <w:t>Michael Quartieri, Darin Harper, Antonio Bautista, John Mulleady and Tony Wehner</w:t>
            </w:r>
          </w:p>
        </w:tc>
      </w:tr>
      <w:tr>
        <w:trPr>
          <w:trHeight w:val="390"/>
        </w:trPr>
        <w:tc>
          <w:tcPr>
            <w:tcW w:w="8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4"/>
                <w:szCs w:val="14"/>
                <w:color w:val="auto"/>
              </w:rPr>
              <w:t>Kevin Sheehan</w:t>
            </w:r>
          </w:p>
        </w:tc>
        <w:tc>
          <w:tcPr>
            <w:tcW w:w="6880" w:type="dxa"/>
            <w:vAlign w:val="bottom"/>
          </w:tcPr>
          <w:p>
            <w:pPr>
              <w:spacing w:after="0"/>
              <w:rPr>
                <w:sz w:val="24"/>
                <w:szCs w:val="24"/>
                <w:color w:val="auto"/>
              </w:rPr>
            </w:pPr>
          </w:p>
        </w:tc>
      </w:tr>
      <w:tr>
        <w:trPr>
          <w:trHeight w:val="21"/>
        </w:trPr>
        <w:tc>
          <w:tcPr>
            <w:tcW w:w="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08"/>
        </w:trPr>
        <w:tc>
          <w:tcPr>
            <w:tcW w:w="8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2023</w:t>
            </w:r>
          </w:p>
        </w:tc>
        <w:tc>
          <w:tcPr>
            <w:tcW w:w="32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Chris Morris</w:t>
            </w:r>
          </w:p>
        </w:tc>
        <w:tc>
          <w:tcPr>
            <w:tcW w:w="6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Michael Quartieri, John Mulleady, Megan Tobin and Tony Wehner</w:t>
            </w:r>
          </w:p>
        </w:tc>
      </w:tr>
      <w:tr>
        <w:trPr>
          <w:trHeight w:val="207"/>
        </w:trPr>
        <w:tc>
          <w:tcPr>
            <w:tcW w:w="800" w:type="dxa"/>
            <w:vAlign w:val="bottom"/>
          </w:tcPr>
          <w:p>
            <w:pPr>
              <w:jc w:val="center"/>
              <w:spacing w:after="0"/>
              <w:rPr>
                <w:sz w:val="20"/>
                <w:szCs w:val="20"/>
                <w:color w:val="auto"/>
              </w:rPr>
            </w:pPr>
            <w:r>
              <w:rPr>
                <w:rFonts w:ascii="Arial" w:cs="Arial" w:eastAsia="Arial" w:hAnsi="Arial"/>
                <w:sz w:val="14"/>
                <w:szCs w:val="14"/>
                <w:color w:val="auto"/>
              </w:rPr>
              <w:t>2022</w:t>
            </w:r>
          </w:p>
        </w:tc>
        <w:tc>
          <w:tcPr>
            <w:tcW w:w="3200" w:type="dxa"/>
            <w:vAlign w:val="bottom"/>
          </w:tcPr>
          <w:p>
            <w:pPr>
              <w:jc w:val="center"/>
              <w:spacing w:after="0"/>
              <w:rPr>
                <w:sz w:val="20"/>
                <w:szCs w:val="20"/>
                <w:color w:val="auto"/>
              </w:rPr>
            </w:pPr>
            <w:r>
              <w:rPr>
                <w:rFonts w:ascii="Arial" w:cs="Arial" w:eastAsia="Arial" w:hAnsi="Arial"/>
                <w:sz w:val="14"/>
                <w:szCs w:val="14"/>
                <w:color w:val="auto"/>
              </w:rPr>
              <w:t>Kevin M. Sheehan</w:t>
            </w:r>
          </w:p>
        </w:tc>
        <w:tc>
          <w:tcPr>
            <w:tcW w:w="6880" w:type="dxa"/>
            <w:vAlign w:val="bottom"/>
          </w:tcPr>
          <w:p>
            <w:pPr>
              <w:jc w:val="right"/>
              <w:spacing w:after="0"/>
              <w:rPr>
                <w:sz w:val="20"/>
                <w:szCs w:val="20"/>
                <w:color w:val="auto"/>
              </w:rPr>
            </w:pPr>
            <w:r>
              <w:rPr>
                <w:rFonts w:ascii="Arial" w:cs="Arial" w:eastAsia="Arial" w:hAnsi="Arial"/>
                <w:sz w:val="14"/>
                <w:szCs w:val="14"/>
                <w:color w:val="auto"/>
              </w:rPr>
              <w:t>Michael Quartieri, John Mulleady, Antonio Bautista and Tony Wehner</w:t>
            </w:r>
          </w:p>
        </w:tc>
      </w:tr>
      <w:tr>
        <w:trPr>
          <w:trHeight w:val="228"/>
        </w:trPr>
        <w:tc>
          <w:tcPr>
            <w:tcW w:w="800" w:type="dxa"/>
            <w:vAlign w:val="bottom"/>
          </w:tcPr>
          <w:p>
            <w:pPr>
              <w:spacing w:after="0"/>
              <w:rPr>
                <w:sz w:val="19"/>
                <w:szCs w:val="19"/>
                <w:color w:val="auto"/>
              </w:rPr>
            </w:pPr>
          </w:p>
        </w:tc>
        <w:tc>
          <w:tcPr>
            <w:tcW w:w="3200" w:type="dxa"/>
            <w:vAlign w:val="bottom"/>
          </w:tcPr>
          <w:p>
            <w:pPr>
              <w:jc w:val="center"/>
              <w:spacing w:after="0"/>
              <w:rPr>
                <w:sz w:val="20"/>
                <w:szCs w:val="20"/>
                <w:color w:val="auto"/>
              </w:rPr>
            </w:pPr>
            <w:r>
              <w:rPr>
                <w:rFonts w:ascii="Arial" w:cs="Arial" w:eastAsia="Arial" w:hAnsi="Arial"/>
                <w:sz w:val="14"/>
                <w:szCs w:val="14"/>
                <w:color w:val="auto"/>
              </w:rPr>
              <w:t>Chris Morris</w:t>
            </w:r>
          </w:p>
        </w:tc>
        <w:tc>
          <w:tcPr>
            <w:tcW w:w="6880" w:type="dxa"/>
            <w:vAlign w:val="bottom"/>
          </w:tcPr>
          <w:p>
            <w:pPr>
              <w:spacing w:after="0"/>
              <w:rPr>
                <w:sz w:val="19"/>
                <w:szCs w:val="19"/>
                <w:color w:val="auto"/>
              </w:rPr>
            </w:pPr>
          </w:p>
        </w:tc>
      </w:tr>
      <w:tr>
        <w:trPr>
          <w:trHeight w:val="21"/>
        </w:trPr>
        <w:tc>
          <w:tcPr>
            <w:tcW w:w="8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207"/>
        </w:trPr>
        <w:tc>
          <w:tcPr>
            <w:tcW w:w="8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2021</w:t>
            </w:r>
          </w:p>
        </w:tc>
        <w:tc>
          <w:tcPr>
            <w:tcW w:w="32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Brian Jenkins</w:t>
            </w:r>
          </w:p>
        </w:tc>
        <w:tc>
          <w:tcPr>
            <w:tcW w:w="68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Michael Quartieri, Margo Manning, John Mulleady, Robert Edmund and Scott Bowman</w:t>
            </w:r>
          </w:p>
        </w:tc>
      </w:tr>
      <w:tr>
        <w:trPr>
          <w:trHeight w:val="230"/>
        </w:trPr>
        <w:tc>
          <w:tcPr>
            <w:tcW w:w="800" w:type="dxa"/>
            <w:vAlign w:val="bottom"/>
            <w:tcBorders>
              <w:bottom w:val="single" w:sz="8" w:color="DBDBDB"/>
            </w:tcBorders>
            <w:shd w:val="clear" w:color="auto" w:fill="DBDBDB"/>
          </w:tcPr>
          <w:p>
            <w:pPr>
              <w:spacing w:after="0"/>
              <w:rPr>
                <w:sz w:val="19"/>
                <w:szCs w:val="19"/>
                <w:color w:val="auto"/>
              </w:rPr>
            </w:pPr>
          </w:p>
        </w:tc>
        <w:tc>
          <w:tcPr>
            <w:tcW w:w="320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4"/>
                <w:szCs w:val="14"/>
                <w:color w:val="auto"/>
              </w:rPr>
              <w:t>Kevin M. Sheehan</w:t>
            </w:r>
          </w:p>
        </w:tc>
        <w:tc>
          <w:tcPr>
            <w:tcW w:w="6880" w:type="dxa"/>
            <w:vAlign w:val="bottom"/>
            <w:tcBorders>
              <w:bottom w:val="single" w:sz="8" w:color="DBDBDB"/>
            </w:tcBorders>
            <w:shd w:val="clear" w:color="auto" w:fill="DBDBDB"/>
          </w:tcPr>
          <w:p>
            <w:pPr>
              <w:spacing w:after="0"/>
              <w:rPr>
                <w:sz w:val="19"/>
                <w:szCs w:val="19"/>
                <w:color w:val="auto"/>
              </w:rPr>
            </w:pPr>
          </w:p>
        </w:tc>
      </w:tr>
      <w:tr>
        <w:trPr>
          <w:trHeight w:val="20"/>
        </w:trPr>
        <w:tc>
          <w:tcPr>
            <w:tcW w:w="800" w:type="dxa"/>
            <w:vAlign w:val="bottom"/>
            <w:shd w:val="clear" w:color="auto" w:fill="00497F"/>
          </w:tcPr>
          <w:p>
            <w:pPr>
              <w:spacing w:after="0" w:line="20" w:lineRule="exact"/>
              <w:rPr>
                <w:sz w:val="1"/>
                <w:szCs w:val="1"/>
                <w:color w:val="auto"/>
              </w:rPr>
            </w:pPr>
          </w:p>
        </w:tc>
        <w:tc>
          <w:tcPr>
            <w:tcW w:w="3200" w:type="dxa"/>
            <w:vAlign w:val="bottom"/>
            <w:shd w:val="clear" w:color="auto" w:fill="00497F"/>
          </w:tcPr>
          <w:p>
            <w:pPr>
              <w:spacing w:after="0" w:line="20" w:lineRule="exact"/>
              <w:rPr>
                <w:sz w:val="1"/>
                <w:szCs w:val="1"/>
                <w:color w:val="auto"/>
              </w:rPr>
            </w:pPr>
          </w:p>
        </w:tc>
        <w:tc>
          <w:tcPr>
            <w:tcW w:w="6880" w:type="dxa"/>
            <w:vAlign w:val="bottom"/>
            <w:shd w:val="clear" w:color="auto" w:fill="00497F"/>
          </w:tcPr>
          <w:p>
            <w:pPr>
              <w:spacing w:after="0" w:line="20" w:lineRule="exact"/>
              <w:rPr>
                <w:sz w:val="1"/>
                <w:szCs w:val="1"/>
                <w:color w:val="auto"/>
              </w:rPr>
            </w:pPr>
          </w:p>
        </w:tc>
      </w:tr>
    </w:tbl>
    <w:p>
      <w:pPr>
        <w:spacing w:after="0" w:line="125" w:lineRule="exact"/>
        <w:rPr>
          <w:sz w:val="20"/>
          <w:szCs w:val="20"/>
          <w:color w:val="auto"/>
        </w:rPr>
      </w:pPr>
    </w:p>
    <w:p>
      <w:pPr>
        <w:ind w:left="340" w:hanging="340"/>
        <w:spacing w:after="0"/>
        <w:tabs>
          <w:tab w:leader="none" w:pos="3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accordance with SEC rules, the following adjustments were made to determine the “compensation actually paid” (“CAP”) to each person who served as our PEO during</w:t>
      </w:r>
    </w:p>
    <w:p>
      <w:pPr>
        <w:spacing w:after="0" w:line="27" w:lineRule="exact"/>
        <w:rPr>
          <w:rFonts w:ascii="Arial" w:cs="Arial" w:eastAsia="Arial" w:hAnsi="Arial"/>
          <w:sz w:val="14"/>
          <w:szCs w:val="14"/>
          <w:color w:val="auto"/>
        </w:rPr>
      </w:pPr>
    </w:p>
    <w:p>
      <w:pPr>
        <w:ind w:left="2760"/>
        <w:spacing w:after="0"/>
        <w:rPr>
          <w:rFonts w:ascii="Arial" w:cs="Arial" w:eastAsia="Arial" w:hAnsi="Arial"/>
          <w:sz w:val="14"/>
          <w:szCs w:val="14"/>
          <w:color w:val="auto"/>
        </w:rPr>
      </w:pPr>
      <w:r>
        <w:rPr>
          <w:rFonts w:ascii="Arial" w:cs="Arial" w:eastAsia="Arial" w:hAnsi="Arial"/>
          <w:sz w:val="14"/>
          <w:szCs w:val="14"/>
          <w:color w:val="auto"/>
        </w:rPr>
        <w:t>the fiscal years presented, which consisted solely of adjustments to the PEOs’ equity awards:</w:t>
      </w:r>
    </w:p>
    <w:p>
      <w:pPr>
        <w:spacing w:after="0" w:line="53"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00497F"/>
            </w:tcBorders>
            <w:gridSpan w:val="2"/>
          </w:tcPr>
          <w:p>
            <w:pPr>
              <w:jc w:val="right"/>
              <w:ind w:right="398"/>
              <w:spacing w:after="0"/>
              <w:rPr>
                <w:sz w:val="20"/>
                <w:szCs w:val="20"/>
                <w:color w:val="auto"/>
              </w:rPr>
            </w:pPr>
            <w:r>
              <w:rPr>
                <w:rFonts w:ascii="Arial" w:cs="Arial" w:eastAsia="Arial" w:hAnsi="Arial"/>
                <w:sz w:val="12"/>
                <w:szCs w:val="12"/>
                <w:b w:val="1"/>
                <w:bCs w:val="1"/>
                <w:color w:val="auto"/>
              </w:rPr>
              <w:t>Fiscal 2025 ($)</w:t>
            </w:r>
          </w:p>
        </w:tc>
        <w:tc>
          <w:tcPr>
            <w:tcW w:w="100" w:type="dxa"/>
            <w:vAlign w:val="bottom"/>
          </w:tcPr>
          <w:p>
            <w:pPr>
              <w:spacing w:after="0"/>
              <w:rPr>
                <w:sz w:val="14"/>
                <w:szCs w:val="14"/>
                <w:color w:val="auto"/>
              </w:rPr>
            </w:pPr>
          </w:p>
        </w:tc>
        <w:tc>
          <w:tcPr>
            <w:tcW w:w="1720" w:type="dxa"/>
            <w:vAlign w:val="bottom"/>
            <w:tcBorders>
              <w:bottom w:val="single" w:sz="8" w:color="00497F"/>
            </w:tcBorders>
            <w:gridSpan w:val="2"/>
          </w:tcPr>
          <w:p>
            <w:pPr>
              <w:jc w:val="right"/>
              <w:ind w:right="398"/>
              <w:spacing w:after="0"/>
              <w:rPr>
                <w:sz w:val="20"/>
                <w:szCs w:val="20"/>
                <w:color w:val="auto"/>
              </w:rPr>
            </w:pPr>
            <w:r>
              <w:rPr>
                <w:rFonts w:ascii="Arial" w:cs="Arial" w:eastAsia="Arial" w:hAnsi="Arial"/>
                <w:sz w:val="12"/>
                <w:szCs w:val="12"/>
                <w:b w:val="1"/>
                <w:bCs w:val="1"/>
                <w:color w:val="auto"/>
              </w:rPr>
              <w:t>Fiscal 2024 ($)</w:t>
            </w:r>
          </w:p>
        </w:tc>
        <w:tc>
          <w:tcPr>
            <w:tcW w:w="100" w:type="dxa"/>
            <w:vAlign w:val="bottom"/>
          </w:tcPr>
          <w:p>
            <w:pPr>
              <w:spacing w:after="0"/>
              <w:rPr>
                <w:sz w:val="14"/>
                <w:szCs w:val="14"/>
                <w:color w:val="auto"/>
              </w:rPr>
            </w:pPr>
          </w:p>
        </w:tc>
        <w:tc>
          <w:tcPr>
            <w:tcW w:w="880" w:type="dxa"/>
            <w:vAlign w:val="bottom"/>
            <w:tcBorders>
              <w:bottom w:val="single" w:sz="8" w:color="00497F"/>
            </w:tcBorders>
          </w:tcPr>
          <w:p>
            <w:pPr>
              <w:jc w:val="center"/>
              <w:spacing w:after="0"/>
              <w:rPr>
                <w:sz w:val="20"/>
                <w:szCs w:val="20"/>
                <w:color w:val="auto"/>
              </w:rPr>
            </w:pPr>
            <w:r>
              <w:rPr>
                <w:rFonts w:ascii="Arial" w:cs="Arial" w:eastAsia="Arial" w:hAnsi="Arial"/>
                <w:sz w:val="12"/>
                <w:szCs w:val="12"/>
                <w:b w:val="1"/>
                <w:bCs w:val="1"/>
                <w:color w:val="auto"/>
                <w:w w:val="97"/>
              </w:rPr>
              <w:t>Fiscal 2023 ($)</w:t>
            </w:r>
          </w:p>
        </w:tc>
        <w:tc>
          <w:tcPr>
            <w:tcW w:w="100" w:type="dxa"/>
            <w:vAlign w:val="bottom"/>
          </w:tcPr>
          <w:p>
            <w:pPr>
              <w:spacing w:after="0"/>
              <w:rPr>
                <w:sz w:val="14"/>
                <w:szCs w:val="14"/>
                <w:color w:val="auto"/>
              </w:rPr>
            </w:pPr>
          </w:p>
        </w:tc>
        <w:tc>
          <w:tcPr>
            <w:tcW w:w="1740" w:type="dxa"/>
            <w:vAlign w:val="bottom"/>
            <w:tcBorders>
              <w:bottom w:val="single" w:sz="8" w:color="00497F"/>
            </w:tcBorders>
            <w:gridSpan w:val="2"/>
          </w:tcPr>
          <w:p>
            <w:pPr>
              <w:jc w:val="right"/>
              <w:ind w:right="418"/>
              <w:spacing w:after="0"/>
              <w:rPr>
                <w:sz w:val="20"/>
                <w:szCs w:val="20"/>
                <w:color w:val="auto"/>
              </w:rPr>
            </w:pPr>
            <w:r>
              <w:rPr>
                <w:rFonts w:ascii="Arial" w:cs="Arial" w:eastAsia="Arial" w:hAnsi="Arial"/>
                <w:sz w:val="12"/>
                <w:szCs w:val="12"/>
                <w:b w:val="1"/>
                <w:bCs w:val="1"/>
                <w:color w:val="auto"/>
              </w:rPr>
              <w:t>Fiscal 2022 ($)</w:t>
            </w:r>
          </w:p>
        </w:tc>
        <w:tc>
          <w:tcPr>
            <w:tcW w:w="100" w:type="dxa"/>
            <w:vAlign w:val="bottom"/>
          </w:tcPr>
          <w:p>
            <w:pPr>
              <w:spacing w:after="0"/>
              <w:rPr>
                <w:sz w:val="14"/>
                <w:szCs w:val="14"/>
                <w:color w:val="auto"/>
              </w:rPr>
            </w:pPr>
          </w:p>
        </w:tc>
        <w:tc>
          <w:tcPr>
            <w:tcW w:w="1740" w:type="dxa"/>
            <w:vAlign w:val="bottom"/>
            <w:tcBorders>
              <w:bottom w:val="single" w:sz="8" w:color="00497F"/>
            </w:tcBorders>
            <w:gridSpan w:val="2"/>
          </w:tcPr>
          <w:p>
            <w:pPr>
              <w:jc w:val="right"/>
              <w:ind w:right="418"/>
              <w:spacing w:after="0"/>
              <w:rPr>
                <w:sz w:val="20"/>
                <w:szCs w:val="20"/>
                <w:color w:val="auto"/>
              </w:rPr>
            </w:pPr>
            <w:r>
              <w:rPr>
                <w:rFonts w:ascii="Arial" w:cs="Arial" w:eastAsia="Arial" w:hAnsi="Arial"/>
                <w:sz w:val="12"/>
                <w:szCs w:val="12"/>
                <w:b w:val="1"/>
                <w:bCs w:val="1"/>
                <w:color w:val="auto"/>
              </w:rPr>
              <w:t>Fiscal 2021 ($)</w:t>
            </w:r>
          </w:p>
        </w:tc>
      </w:tr>
      <w:tr>
        <w:trPr>
          <w:trHeight w:val="151"/>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Kevin M.</w:t>
            </w:r>
          </w:p>
        </w:tc>
        <w:tc>
          <w:tcPr>
            <w:tcW w:w="880" w:type="dxa"/>
            <w:vAlign w:val="bottom"/>
          </w:tcPr>
          <w:p>
            <w:pPr>
              <w:jc w:val="right"/>
              <w:ind w:right="158"/>
              <w:spacing w:after="0"/>
              <w:rPr>
                <w:sz w:val="20"/>
                <w:szCs w:val="20"/>
                <w:color w:val="auto"/>
              </w:rPr>
            </w:pPr>
            <w:r>
              <w:rPr>
                <w:rFonts w:ascii="Arial" w:cs="Arial" w:eastAsia="Arial" w:hAnsi="Arial"/>
                <w:sz w:val="12"/>
                <w:szCs w:val="12"/>
                <w:b w:val="1"/>
                <w:bCs w:val="1"/>
                <w:color w:val="auto"/>
              </w:rPr>
              <w:t>Kevin M.</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Kevin M.</w:t>
            </w:r>
          </w:p>
        </w:tc>
        <w:tc>
          <w:tcPr>
            <w:tcW w:w="880" w:type="dxa"/>
            <w:vAlign w:val="bottom"/>
          </w:tcPr>
          <w:p>
            <w:pPr>
              <w:jc w:val="right"/>
              <w:ind w:right="158"/>
              <w:spacing w:after="0"/>
              <w:rPr>
                <w:sz w:val="20"/>
                <w:szCs w:val="20"/>
                <w:color w:val="auto"/>
              </w:rPr>
            </w:pPr>
            <w:r>
              <w:rPr>
                <w:rFonts w:ascii="Arial" w:cs="Arial" w:eastAsia="Arial" w:hAnsi="Arial"/>
                <w:sz w:val="12"/>
                <w:szCs w:val="12"/>
                <w:b w:val="1"/>
                <w:bCs w:val="1"/>
                <w:color w:val="auto"/>
              </w:rPr>
              <w:t>Kevin M.</w:t>
            </w:r>
          </w:p>
        </w:tc>
        <w:tc>
          <w:tcPr>
            <w:tcW w:w="860" w:type="dxa"/>
            <w:vAlign w:val="bottom"/>
          </w:tcPr>
          <w:p>
            <w:pPr>
              <w:spacing w:after="0"/>
              <w:rPr>
                <w:sz w:val="13"/>
                <w:szCs w:val="13"/>
                <w:color w:val="auto"/>
              </w:rPr>
            </w:pPr>
          </w:p>
        </w:tc>
      </w:tr>
      <w:tr>
        <w:trPr>
          <w:trHeight w:val="179"/>
        </w:trPr>
        <w:tc>
          <w:tcPr>
            <w:tcW w:w="2200" w:type="dxa"/>
            <w:vAlign w:val="bottom"/>
            <w:tcBorders>
              <w:bottom w:val="single" w:sz="8" w:color="00497F"/>
            </w:tcBorders>
          </w:tcPr>
          <w:p>
            <w:pPr>
              <w:spacing w:after="0"/>
              <w:rPr>
                <w:sz w:val="15"/>
                <w:szCs w:val="15"/>
                <w:color w:val="auto"/>
              </w:rPr>
            </w:pPr>
          </w:p>
        </w:tc>
        <w:tc>
          <w:tcPr>
            <w:tcW w:w="80" w:type="dxa"/>
            <w:vAlign w:val="bottom"/>
            <w:tcBorders>
              <w:bottom w:val="single" w:sz="8" w:color="00497F"/>
            </w:tcBorders>
          </w:tcPr>
          <w:p>
            <w:pPr>
              <w:spacing w:after="0"/>
              <w:rPr>
                <w:sz w:val="15"/>
                <w:szCs w:val="15"/>
                <w:color w:val="auto"/>
              </w:rPr>
            </w:pPr>
          </w:p>
        </w:tc>
        <w:tc>
          <w:tcPr>
            <w:tcW w:w="960" w:type="dxa"/>
            <w:vAlign w:val="bottom"/>
            <w:tcBorders>
              <w:bottom w:val="single" w:sz="8" w:color="00497F"/>
            </w:tcBorders>
          </w:tcPr>
          <w:p>
            <w:pPr>
              <w:jc w:val="right"/>
              <w:ind w:right="198"/>
              <w:spacing w:after="0"/>
              <w:rPr>
                <w:sz w:val="20"/>
                <w:szCs w:val="20"/>
                <w:color w:val="auto"/>
              </w:rPr>
            </w:pPr>
            <w:r>
              <w:rPr>
                <w:rFonts w:ascii="Arial" w:cs="Arial" w:eastAsia="Arial" w:hAnsi="Arial"/>
                <w:sz w:val="12"/>
                <w:szCs w:val="12"/>
                <w:b w:val="1"/>
                <w:bCs w:val="1"/>
                <w:color w:val="auto"/>
              </w:rPr>
              <w:t>Tarun Lal</w:t>
            </w:r>
          </w:p>
        </w:tc>
        <w:tc>
          <w:tcPr>
            <w:tcW w:w="880" w:type="dxa"/>
            <w:vAlign w:val="bottom"/>
            <w:tcBorders>
              <w:bottom w:val="single" w:sz="8" w:color="00497F"/>
            </w:tcBorders>
            <w:gridSpan w:val="2"/>
          </w:tcPr>
          <w:p>
            <w:pPr>
              <w:ind w:left="100"/>
              <w:spacing w:after="0"/>
              <w:rPr>
                <w:sz w:val="20"/>
                <w:szCs w:val="20"/>
                <w:color w:val="auto"/>
              </w:rPr>
            </w:pPr>
            <w:r>
              <w:rPr>
                <w:rFonts w:ascii="Arial" w:cs="Arial" w:eastAsia="Arial" w:hAnsi="Arial"/>
                <w:sz w:val="12"/>
                <w:szCs w:val="12"/>
                <w:b w:val="1"/>
                <w:bCs w:val="1"/>
                <w:color w:val="auto"/>
              </w:rPr>
              <w:t>Sheehan</w:t>
            </w:r>
          </w:p>
        </w:tc>
        <w:tc>
          <w:tcPr>
            <w:tcW w:w="880" w:type="dxa"/>
            <w:vAlign w:val="bottom"/>
            <w:tcBorders>
              <w:bottom w:val="single" w:sz="8" w:color="00497F"/>
            </w:tcBorders>
          </w:tcPr>
          <w:p>
            <w:pPr>
              <w:jc w:val="right"/>
              <w:ind w:right="158"/>
              <w:spacing w:after="0"/>
              <w:rPr>
                <w:sz w:val="20"/>
                <w:szCs w:val="20"/>
                <w:color w:val="auto"/>
              </w:rPr>
            </w:pPr>
            <w:r>
              <w:rPr>
                <w:rFonts w:ascii="Arial" w:cs="Arial" w:eastAsia="Arial" w:hAnsi="Arial"/>
                <w:sz w:val="12"/>
                <w:szCs w:val="12"/>
                <w:b w:val="1"/>
                <w:bCs w:val="1"/>
                <w:color w:val="auto"/>
              </w:rPr>
              <w:t>Sheehan</w:t>
            </w:r>
          </w:p>
        </w:tc>
        <w:tc>
          <w:tcPr>
            <w:tcW w:w="940" w:type="dxa"/>
            <w:vAlign w:val="bottom"/>
            <w:tcBorders>
              <w:bottom w:val="single" w:sz="8" w:color="00497F"/>
            </w:tcBorders>
            <w:gridSpan w:val="2"/>
          </w:tcPr>
          <w:p>
            <w:pPr>
              <w:ind w:left="60"/>
              <w:spacing w:after="0"/>
              <w:rPr>
                <w:sz w:val="20"/>
                <w:szCs w:val="20"/>
                <w:color w:val="auto"/>
              </w:rPr>
            </w:pPr>
            <w:r>
              <w:rPr>
                <w:rFonts w:ascii="Arial" w:cs="Arial" w:eastAsia="Arial" w:hAnsi="Arial"/>
                <w:sz w:val="12"/>
                <w:szCs w:val="12"/>
                <w:b w:val="1"/>
                <w:bCs w:val="1"/>
                <w:color w:val="auto"/>
              </w:rPr>
              <w:t>Chris Morris</w:t>
            </w:r>
          </w:p>
        </w:tc>
        <w:tc>
          <w:tcPr>
            <w:tcW w:w="980" w:type="dxa"/>
            <w:vAlign w:val="bottom"/>
            <w:tcBorders>
              <w:bottom w:val="single" w:sz="8" w:color="00497F"/>
            </w:tcBorders>
            <w:gridSpan w:val="2"/>
          </w:tcPr>
          <w:p>
            <w:pPr>
              <w:jc w:val="center"/>
              <w:ind w:right="100"/>
              <w:spacing w:after="0"/>
              <w:rPr>
                <w:sz w:val="20"/>
                <w:szCs w:val="20"/>
                <w:color w:val="auto"/>
              </w:rPr>
            </w:pPr>
            <w:r>
              <w:rPr>
                <w:rFonts w:ascii="Arial" w:cs="Arial" w:eastAsia="Arial" w:hAnsi="Arial"/>
                <w:sz w:val="12"/>
                <w:szCs w:val="12"/>
                <w:b w:val="1"/>
                <w:bCs w:val="1"/>
                <w:color w:val="auto"/>
                <w:w w:val="96"/>
              </w:rPr>
              <w:t>Chris Morris</w:t>
            </w:r>
          </w:p>
        </w:tc>
        <w:tc>
          <w:tcPr>
            <w:tcW w:w="940" w:type="dxa"/>
            <w:vAlign w:val="bottom"/>
            <w:tcBorders>
              <w:bottom w:val="single" w:sz="8" w:color="00497F"/>
            </w:tcBorders>
          </w:tcPr>
          <w:p>
            <w:pPr>
              <w:jc w:val="right"/>
              <w:ind w:right="118"/>
              <w:spacing w:after="0"/>
              <w:rPr>
                <w:sz w:val="20"/>
                <w:szCs w:val="20"/>
                <w:color w:val="auto"/>
              </w:rPr>
            </w:pPr>
            <w:r>
              <w:rPr>
                <w:rFonts w:ascii="Arial" w:cs="Arial" w:eastAsia="Arial" w:hAnsi="Arial"/>
                <w:sz w:val="12"/>
                <w:szCs w:val="12"/>
                <w:b w:val="1"/>
                <w:bCs w:val="1"/>
                <w:color w:val="auto"/>
              </w:rPr>
              <w:t>Chris Morris</w:t>
            </w:r>
          </w:p>
        </w:tc>
        <w:tc>
          <w:tcPr>
            <w:tcW w:w="900" w:type="dxa"/>
            <w:vAlign w:val="bottom"/>
            <w:tcBorders>
              <w:bottom w:val="single" w:sz="8" w:color="00497F"/>
            </w:tcBorders>
            <w:gridSpan w:val="2"/>
          </w:tcPr>
          <w:p>
            <w:pPr>
              <w:ind w:left="120"/>
              <w:spacing w:after="0"/>
              <w:rPr>
                <w:sz w:val="20"/>
                <w:szCs w:val="20"/>
                <w:color w:val="auto"/>
              </w:rPr>
            </w:pPr>
            <w:r>
              <w:rPr>
                <w:rFonts w:ascii="Arial" w:cs="Arial" w:eastAsia="Arial" w:hAnsi="Arial"/>
                <w:sz w:val="12"/>
                <w:szCs w:val="12"/>
                <w:b w:val="1"/>
                <w:bCs w:val="1"/>
                <w:color w:val="auto"/>
              </w:rPr>
              <w:t>Sheehan</w:t>
            </w:r>
          </w:p>
        </w:tc>
        <w:tc>
          <w:tcPr>
            <w:tcW w:w="880" w:type="dxa"/>
            <w:vAlign w:val="bottom"/>
            <w:tcBorders>
              <w:bottom w:val="single" w:sz="8" w:color="00497F"/>
            </w:tcBorders>
          </w:tcPr>
          <w:p>
            <w:pPr>
              <w:jc w:val="right"/>
              <w:ind w:right="138"/>
              <w:spacing w:after="0"/>
              <w:rPr>
                <w:sz w:val="20"/>
                <w:szCs w:val="20"/>
                <w:color w:val="auto"/>
              </w:rPr>
            </w:pPr>
            <w:r>
              <w:rPr>
                <w:rFonts w:ascii="Arial" w:cs="Arial" w:eastAsia="Arial" w:hAnsi="Arial"/>
                <w:sz w:val="12"/>
                <w:szCs w:val="12"/>
                <w:b w:val="1"/>
                <w:bCs w:val="1"/>
                <w:color w:val="auto"/>
              </w:rPr>
              <w:t>Sheehan</w:t>
            </w:r>
          </w:p>
        </w:tc>
        <w:tc>
          <w:tcPr>
            <w:tcW w:w="860" w:type="dxa"/>
            <w:vAlign w:val="bottom"/>
            <w:tcBorders>
              <w:bottom w:val="single" w:sz="8" w:color="00497F"/>
            </w:tcBorders>
          </w:tcPr>
          <w:p>
            <w:pPr>
              <w:jc w:val="right"/>
              <w:spacing w:after="0"/>
              <w:rPr>
                <w:sz w:val="20"/>
                <w:szCs w:val="20"/>
                <w:color w:val="auto"/>
              </w:rPr>
            </w:pPr>
            <w:r>
              <w:rPr>
                <w:rFonts w:ascii="Arial" w:cs="Arial" w:eastAsia="Arial" w:hAnsi="Arial"/>
                <w:sz w:val="12"/>
                <w:szCs w:val="12"/>
                <w:b w:val="1"/>
                <w:bCs w:val="1"/>
                <w:color w:val="auto"/>
                <w:w w:val="99"/>
              </w:rPr>
              <w:t>Brian Jenkins</w:t>
            </w:r>
          </w:p>
        </w:tc>
      </w:tr>
      <w:tr>
        <w:trPr>
          <w:trHeight w:val="156"/>
        </w:trPr>
        <w:tc>
          <w:tcPr>
            <w:tcW w:w="2280" w:type="dxa"/>
            <w:vAlign w:val="bottom"/>
            <w:gridSpan w:val="2"/>
            <w:shd w:val="clear" w:color="auto" w:fill="DBDBDB"/>
          </w:tcPr>
          <w:p>
            <w:pPr>
              <w:spacing w:after="0"/>
              <w:rPr>
                <w:sz w:val="20"/>
                <w:szCs w:val="20"/>
                <w:color w:val="auto"/>
              </w:rPr>
            </w:pPr>
            <w:r>
              <w:rPr>
                <w:rFonts w:ascii="Arial" w:cs="Arial" w:eastAsia="Arial" w:hAnsi="Arial"/>
                <w:sz w:val="13"/>
                <w:szCs w:val="13"/>
                <w:b w:val="1"/>
                <w:bCs w:val="1"/>
                <w:color w:val="auto"/>
              </w:rPr>
              <w:t>Summary Compensation Table -</w:t>
            </w:r>
          </w:p>
        </w:tc>
        <w:tc>
          <w:tcPr>
            <w:tcW w:w="9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r>
      <w:tr>
        <w:trPr>
          <w:trHeight w:val="198"/>
        </w:trPr>
        <w:tc>
          <w:tcPr>
            <w:tcW w:w="22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b w:val="1"/>
                <w:bCs w:val="1"/>
                <w:color w:val="auto"/>
              </w:rPr>
              <w:t>Total Compensation</w:t>
            </w:r>
          </w:p>
        </w:tc>
        <w:tc>
          <w:tcPr>
            <w:tcW w:w="9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b w:val="1"/>
                <w:bCs w:val="1"/>
                <w:color w:val="auto"/>
              </w:rPr>
              <w:t>14,502,745</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7,773,967</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3"/>
                <w:szCs w:val="13"/>
                <w:b w:val="1"/>
                <w:bCs w:val="1"/>
                <w:color w:val="auto"/>
              </w:rPr>
              <w:t>490,237</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2,223,451</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2,298,273</w:t>
            </w:r>
          </w:p>
        </w:tc>
        <w:tc>
          <w:tcPr>
            <w:tcW w:w="1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b w:val="1"/>
                <w:bCs w:val="1"/>
                <w:color w:val="auto"/>
              </w:rPr>
              <w:t>12,783,555</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3,137,215</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3"/>
                <w:szCs w:val="13"/>
                <w:b w:val="1"/>
                <w:bCs w:val="1"/>
                <w:color w:val="auto"/>
              </w:rPr>
              <w:t>3,481,565</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7,419,865</w:t>
            </w:r>
          </w:p>
        </w:tc>
      </w:tr>
      <w:tr>
        <w:trPr>
          <w:trHeight w:val="150"/>
        </w:trPr>
        <w:tc>
          <w:tcPr>
            <w:tcW w:w="2280" w:type="dxa"/>
            <w:vAlign w:val="bottom"/>
            <w:tcBorders>
              <w:top w:val="single" w:sz="8" w:color="00497F"/>
            </w:tcBorders>
            <w:gridSpan w:val="2"/>
          </w:tcPr>
          <w:p>
            <w:pPr>
              <w:spacing w:after="0"/>
              <w:rPr>
                <w:sz w:val="20"/>
                <w:szCs w:val="20"/>
                <w:color w:val="auto"/>
              </w:rPr>
            </w:pPr>
            <w:r>
              <w:rPr>
                <w:rFonts w:ascii="Arial" w:cs="Arial" w:eastAsia="Arial" w:hAnsi="Arial"/>
                <w:sz w:val="13"/>
                <w:szCs w:val="13"/>
                <w:color w:val="auto"/>
              </w:rPr>
              <w:t>(Minus): Grant Date Fair Value of</w:t>
            </w:r>
          </w:p>
        </w:tc>
        <w:tc>
          <w:tcPr>
            <w:tcW w:w="960" w:type="dxa"/>
            <w:vAlign w:val="bottom"/>
            <w:tcBorders>
              <w:top w:val="single" w:sz="8" w:color="00497F"/>
            </w:tcBorders>
          </w:tcPr>
          <w:p>
            <w:pPr>
              <w:spacing w:after="0"/>
              <w:rPr>
                <w:sz w:val="13"/>
                <w:szCs w:val="13"/>
                <w:color w:val="auto"/>
              </w:rPr>
            </w:pPr>
          </w:p>
        </w:tc>
        <w:tc>
          <w:tcPr>
            <w:tcW w:w="780" w:type="dxa"/>
            <w:vAlign w:val="bottom"/>
            <w:tcBorders>
              <w:top w:val="single" w:sz="8" w:color="00497F"/>
            </w:tcBorders>
          </w:tcPr>
          <w:p>
            <w:pPr>
              <w:spacing w:after="0"/>
              <w:rPr>
                <w:sz w:val="13"/>
                <w:szCs w:val="13"/>
                <w:color w:val="auto"/>
              </w:rPr>
            </w:pPr>
          </w:p>
        </w:tc>
        <w:tc>
          <w:tcPr>
            <w:tcW w:w="100" w:type="dxa"/>
            <w:vAlign w:val="bottom"/>
            <w:tcBorders>
              <w:top w:val="single" w:sz="8" w:color="00497F"/>
            </w:tcBorders>
          </w:tcPr>
          <w:p>
            <w:pPr>
              <w:spacing w:after="0"/>
              <w:rPr>
                <w:sz w:val="13"/>
                <w:szCs w:val="13"/>
                <w:color w:val="auto"/>
              </w:rPr>
            </w:pPr>
          </w:p>
        </w:tc>
        <w:tc>
          <w:tcPr>
            <w:tcW w:w="880" w:type="dxa"/>
            <w:vAlign w:val="bottom"/>
            <w:tcBorders>
              <w:top w:val="single" w:sz="8" w:color="00497F"/>
            </w:tcBorders>
          </w:tcPr>
          <w:p>
            <w:pPr>
              <w:spacing w:after="0"/>
              <w:rPr>
                <w:sz w:val="13"/>
                <w:szCs w:val="13"/>
                <w:color w:val="auto"/>
              </w:rPr>
            </w:pPr>
          </w:p>
        </w:tc>
        <w:tc>
          <w:tcPr>
            <w:tcW w:w="840" w:type="dxa"/>
            <w:vAlign w:val="bottom"/>
            <w:tcBorders>
              <w:top w:val="single" w:sz="8" w:color="00497F"/>
            </w:tcBorders>
          </w:tcPr>
          <w:p>
            <w:pPr>
              <w:spacing w:after="0"/>
              <w:rPr>
                <w:sz w:val="13"/>
                <w:szCs w:val="13"/>
                <w:color w:val="auto"/>
              </w:rPr>
            </w:pPr>
          </w:p>
        </w:tc>
        <w:tc>
          <w:tcPr>
            <w:tcW w:w="100" w:type="dxa"/>
            <w:vAlign w:val="bottom"/>
            <w:tcBorders>
              <w:top w:val="single" w:sz="8" w:color="00497F"/>
            </w:tcBorders>
          </w:tcPr>
          <w:p>
            <w:pPr>
              <w:spacing w:after="0"/>
              <w:rPr>
                <w:sz w:val="13"/>
                <w:szCs w:val="13"/>
                <w:color w:val="auto"/>
              </w:rPr>
            </w:pPr>
          </w:p>
        </w:tc>
        <w:tc>
          <w:tcPr>
            <w:tcW w:w="880" w:type="dxa"/>
            <w:vAlign w:val="bottom"/>
            <w:tcBorders>
              <w:top w:val="single" w:sz="8" w:color="00497F"/>
            </w:tcBorders>
          </w:tcPr>
          <w:p>
            <w:pPr>
              <w:spacing w:after="0"/>
              <w:rPr>
                <w:sz w:val="13"/>
                <w:szCs w:val="13"/>
                <w:color w:val="auto"/>
              </w:rPr>
            </w:pPr>
          </w:p>
        </w:tc>
        <w:tc>
          <w:tcPr>
            <w:tcW w:w="100" w:type="dxa"/>
            <w:vAlign w:val="bottom"/>
            <w:tcBorders>
              <w:top w:val="single" w:sz="8" w:color="00497F"/>
            </w:tcBorders>
          </w:tcPr>
          <w:p>
            <w:pPr>
              <w:spacing w:after="0"/>
              <w:rPr>
                <w:sz w:val="13"/>
                <w:szCs w:val="13"/>
                <w:color w:val="auto"/>
              </w:rPr>
            </w:pPr>
          </w:p>
        </w:tc>
        <w:tc>
          <w:tcPr>
            <w:tcW w:w="940" w:type="dxa"/>
            <w:vAlign w:val="bottom"/>
            <w:tcBorders>
              <w:top w:val="single" w:sz="8" w:color="00497F"/>
            </w:tcBorders>
          </w:tcPr>
          <w:p>
            <w:pPr>
              <w:spacing w:after="0"/>
              <w:rPr>
                <w:sz w:val="13"/>
                <w:szCs w:val="13"/>
                <w:color w:val="auto"/>
              </w:rPr>
            </w:pPr>
          </w:p>
        </w:tc>
        <w:tc>
          <w:tcPr>
            <w:tcW w:w="800" w:type="dxa"/>
            <w:vAlign w:val="bottom"/>
            <w:tcBorders>
              <w:top w:val="single" w:sz="8" w:color="00497F"/>
            </w:tcBorders>
          </w:tcPr>
          <w:p>
            <w:pPr>
              <w:spacing w:after="0"/>
              <w:rPr>
                <w:sz w:val="13"/>
                <w:szCs w:val="13"/>
                <w:color w:val="auto"/>
              </w:rPr>
            </w:pPr>
          </w:p>
        </w:tc>
        <w:tc>
          <w:tcPr>
            <w:tcW w:w="100" w:type="dxa"/>
            <w:vAlign w:val="bottom"/>
            <w:tcBorders>
              <w:top w:val="single" w:sz="8" w:color="00497F"/>
            </w:tcBorders>
          </w:tcPr>
          <w:p>
            <w:pPr>
              <w:spacing w:after="0"/>
              <w:rPr>
                <w:sz w:val="13"/>
                <w:szCs w:val="13"/>
                <w:color w:val="auto"/>
              </w:rPr>
            </w:pPr>
          </w:p>
        </w:tc>
        <w:tc>
          <w:tcPr>
            <w:tcW w:w="880" w:type="dxa"/>
            <w:vAlign w:val="bottom"/>
            <w:tcBorders>
              <w:top w:val="single" w:sz="8" w:color="00497F"/>
            </w:tcBorders>
          </w:tcPr>
          <w:p>
            <w:pPr>
              <w:spacing w:after="0"/>
              <w:rPr>
                <w:sz w:val="13"/>
                <w:szCs w:val="13"/>
                <w:color w:val="auto"/>
              </w:rPr>
            </w:pPr>
          </w:p>
        </w:tc>
        <w:tc>
          <w:tcPr>
            <w:tcW w:w="860" w:type="dxa"/>
            <w:vAlign w:val="bottom"/>
            <w:tcBorders>
              <w:top w:val="single" w:sz="8" w:color="00497F"/>
            </w:tcBorders>
          </w:tcPr>
          <w:p>
            <w:pPr>
              <w:spacing w:after="0"/>
              <w:rPr>
                <w:sz w:val="13"/>
                <w:szCs w:val="13"/>
                <w:color w:val="auto"/>
              </w:rPr>
            </w:pPr>
          </w:p>
        </w:tc>
      </w:tr>
      <w:tr>
        <w:trPr>
          <w:trHeight w:val="148"/>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Equity  Awards  Granted  in  Fiscal</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280" w:type="dxa"/>
            <w:vAlign w:val="bottom"/>
            <w:gridSpan w:val="2"/>
          </w:tcPr>
          <w:p>
            <w:pPr>
              <w:spacing w:after="0"/>
              <w:rPr>
                <w:sz w:val="20"/>
                <w:szCs w:val="20"/>
                <w:color w:val="auto"/>
              </w:rPr>
            </w:pPr>
            <w:r>
              <w:rPr>
                <w:rFonts w:ascii="Arial" w:cs="Arial" w:eastAsia="Arial" w:hAnsi="Arial"/>
                <w:sz w:val="13"/>
                <w:szCs w:val="13"/>
                <w:color w:val="auto"/>
              </w:rPr>
              <w:t>Year</w:t>
            </w:r>
          </w:p>
        </w:tc>
        <w:tc>
          <w:tcPr>
            <w:tcW w:w="960" w:type="dxa"/>
            <w:vAlign w:val="bottom"/>
          </w:tcPr>
          <w:p>
            <w:pPr>
              <w:jc w:val="right"/>
              <w:ind w:right="38"/>
              <w:spacing w:after="0"/>
              <w:rPr>
                <w:sz w:val="20"/>
                <w:szCs w:val="20"/>
                <w:color w:val="auto"/>
              </w:rPr>
            </w:pPr>
            <w:r>
              <w:rPr>
                <w:rFonts w:ascii="Arial" w:cs="Arial" w:eastAsia="Arial" w:hAnsi="Arial"/>
                <w:sz w:val="13"/>
                <w:szCs w:val="13"/>
                <w:color w:val="auto"/>
              </w:rPr>
              <w:t>(14,049,052)</w:t>
            </w:r>
          </w:p>
        </w:tc>
        <w:tc>
          <w:tcPr>
            <w:tcW w:w="780" w:type="dxa"/>
            <w:vAlign w:val="bottom"/>
          </w:tcPr>
          <w:p>
            <w:pPr>
              <w:jc w:val="right"/>
              <w:spacing w:after="0"/>
              <w:rPr>
                <w:sz w:val="20"/>
                <w:szCs w:val="20"/>
                <w:color w:val="auto"/>
              </w:rPr>
            </w:pPr>
            <w:r>
              <w:rPr>
                <w:rFonts w:ascii="Arial" w:cs="Arial" w:eastAsia="Arial" w:hAnsi="Arial"/>
                <w:sz w:val="13"/>
                <w:szCs w:val="13"/>
                <w:color w:val="auto"/>
              </w:rPr>
              <w:t>(7,084,292)</w:t>
            </w:r>
          </w:p>
        </w:tc>
        <w:tc>
          <w:tcPr>
            <w:tcW w:w="100" w:type="dxa"/>
            <w:vAlign w:val="bottom"/>
          </w:tcPr>
          <w:p>
            <w:pPr>
              <w:spacing w:after="0"/>
              <w:rPr>
                <w:sz w:val="15"/>
                <w:szCs w:val="15"/>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(1,312,860)</w:t>
            </w:r>
          </w:p>
        </w:tc>
        <w:tc>
          <w:tcPr>
            <w:tcW w:w="10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(11,390,302)</w:t>
            </w:r>
          </w:p>
        </w:tc>
        <w:tc>
          <w:tcPr>
            <w:tcW w:w="800" w:type="dxa"/>
            <w:vAlign w:val="bottom"/>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(2,990,027)</w:t>
            </w:r>
          </w:p>
        </w:tc>
        <w:tc>
          <w:tcPr>
            <w:tcW w:w="860" w:type="dxa"/>
            <w:vAlign w:val="bottom"/>
          </w:tcPr>
          <w:p>
            <w:pPr>
              <w:jc w:val="right"/>
              <w:spacing w:after="0"/>
              <w:rPr>
                <w:sz w:val="20"/>
                <w:szCs w:val="20"/>
                <w:color w:val="auto"/>
              </w:rPr>
            </w:pPr>
            <w:r>
              <w:rPr>
                <w:rFonts w:ascii="Arial" w:cs="Arial" w:eastAsia="Arial" w:hAnsi="Arial"/>
                <w:sz w:val="13"/>
                <w:szCs w:val="13"/>
                <w:color w:val="auto"/>
              </w:rPr>
              <w:t>(2,796,975)</w:t>
            </w:r>
          </w:p>
        </w:tc>
      </w:tr>
      <w:tr>
        <w:trPr>
          <w:trHeight w:val="27"/>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57"/>
        </w:trPr>
        <w:tc>
          <w:tcPr>
            <w:tcW w:w="228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Plus: Fair Value at Fiscal Year End</w:t>
            </w:r>
          </w:p>
        </w:tc>
        <w:tc>
          <w:tcPr>
            <w:tcW w:w="9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r>
      <w:tr>
        <w:trPr>
          <w:trHeight w:val="148"/>
        </w:trPr>
        <w:tc>
          <w:tcPr>
            <w:tcW w:w="2280" w:type="dxa"/>
            <w:vAlign w:val="bottom"/>
            <w:gridSpan w:val="2"/>
            <w:shd w:val="clear" w:color="auto" w:fill="DBDBDB"/>
          </w:tcPr>
          <w:p>
            <w:pPr>
              <w:spacing w:after="0" w:line="148" w:lineRule="exact"/>
              <w:rPr>
                <w:sz w:val="20"/>
                <w:szCs w:val="20"/>
                <w:color w:val="auto"/>
              </w:rPr>
            </w:pPr>
            <w:r>
              <w:rPr>
                <w:rFonts w:ascii="Arial" w:cs="Arial" w:eastAsia="Arial" w:hAnsi="Arial"/>
                <w:sz w:val="13"/>
                <w:szCs w:val="13"/>
                <w:color w:val="auto"/>
              </w:rPr>
              <w:t>of Outstanding and Unvested Equity</w:t>
            </w:r>
          </w:p>
        </w:tc>
        <w:tc>
          <w:tcPr>
            <w:tcW w:w="96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r>
      <w:tr>
        <w:trPr>
          <w:trHeight w:val="186"/>
        </w:trPr>
        <w:tc>
          <w:tcPr>
            <w:tcW w:w="22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color w:val="auto"/>
              </w:rPr>
              <w:t>Awards Granted in the Fiscal Year</w:t>
            </w:r>
          </w:p>
        </w:tc>
        <w:tc>
          <w:tcPr>
            <w:tcW w:w="9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color w:val="auto"/>
              </w:rPr>
              <w:t>7,550,404</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163,251</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2,336,603</w:t>
            </w:r>
          </w:p>
        </w:tc>
        <w:tc>
          <w:tcPr>
            <w:tcW w:w="1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color w:val="auto"/>
              </w:rPr>
              <w:t>11,460,351</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1,878,074</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3"/>
                <w:szCs w:val="13"/>
                <w:color w:val="auto"/>
              </w:rPr>
              <w:t>2,672,755</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1,151,254</w:t>
            </w:r>
          </w:p>
        </w:tc>
      </w:tr>
      <w:tr>
        <w:trPr>
          <w:trHeight w:val="157"/>
        </w:trPr>
        <w:tc>
          <w:tcPr>
            <w:tcW w:w="2280" w:type="dxa"/>
            <w:vAlign w:val="bottom"/>
            <w:gridSpan w:val="2"/>
          </w:tcPr>
          <w:p>
            <w:pPr>
              <w:spacing w:after="0"/>
              <w:rPr>
                <w:sz w:val="20"/>
                <w:szCs w:val="20"/>
                <w:color w:val="auto"/>
              </w:rPr>
            </w:pPr>
            <w:r>
              <w:rPr>
                <w:rFonts w:ascii="Arial" w:cs="Arial" w:eastAsia="Arial" w:hAnsi="Arial"/>
                <w:sz w:val="13"/>
                <w:szCs w:val="13"/>
                <w:color w:val="auto"/>
              </w:rPr>
              <w:t>Plus/(Minus): Change in Fair Value</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8"/>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of Outstanding and Unvested Equity</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280" w:type="dxa"/>
            <w:vAlign w:val="bottom"/>
            <w:gridSpan w:val="2"/>
          </w:tcPr>
          <w:p>
            <w:pPr>
              <w:spacing w:after="0"/>
              <w:rPr>
                <w:sz w:val="20"/>
                <w:szCs w:val="20"/>
                <w:color w:val="auto"/>
              </w:rPr>
            </w:pPr>
            <w:r>
              <w:rPr>
                <w:rFonts w:ascii="Arial" w:cs="Arial" w:eastAsia="Arial" w:hAnsi="Arial"/>
                <w:sz w:val="13"/>
                <w:szCs w:val="13"/>
                <w:color w:val="auto"/>
              </w:rPr>
              <w:t>Awards Granted in Prior Fiscal Years</w:t>
            </w: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(418,513)</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2,657,540</w:t>
            </w:r>
          </w:p>
        </w:tc>
        <w:tc>
          <w:tcPr>
            <w:tcW w:w="10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57"/>
        </w:trPr>
        <w:tc>
          <w:tcPr>
            <w:tcW w:w="228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Plus: Fair Value at Vesting of Equity</w:t>
            </w:r>
          </w:p>
        </w:tc>
        <w:tc>
          <w:tcPr>
            <w:tcW w:w="9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r>
      <w:tr>
        <w:trPr>
          <w:trHeight w:val="148"/>
        </w:trPr>
        <w:tc>
          <w:tcPr>
            <w:tcW w:w="2280" w:type="dxa"/>
            <w:vAlign w:val="bottom"/>
            <w:gridSpan w:val="2"/>
            <w:shd w:val="clear" w:color="auto" w:fill="DBDBDB"/>
          </w:tcPr>
          <w:p>
            <w:pPr>
              <w:spacing w:after="0" w:line="148" w:lineRule="exact"/>
              <w:rPr>
                <w:sz w:val="20"/>
                <w:szCs w:val="20"/>
                <w:color w:val="auto"/>
              </w:rPr>
            </w:pPr>
            <w:r>
              <w:rPr>
                <w:rFonts w:ascii="Arial" w:cs="Arial" w:eastAsia="Arial" w:hAnsi="Arial"/>
                <w:sz w:val="13"/>
                <w:szCs w:val="13"/>
                <w:color w:val="auto"/>
              </w:rPr>
              <w:t>Awards Granted and Vested in the</w:t>
            </w:r>
          </w:p>
        </w:tc>
        <w:tc>
          <w:tcPr>
            <w:tcW w:w="96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r>
      <w:tr>
        <w:trPr>
          <w:trHeight w:val="186"/>
        </w:trPr>
        <w:tc>
          <w:tcPr>
            <w:tcW w:w="22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color w:val="auto"/>
              </w:rPr>
              <w:t>Fiscal Year</w:t>
            </w:r>
          </w:p>
        </w:tc>
        <w:tc>
          <w:tcPr>
            <w:tcW w:w="9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4,150,622</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112,345</w:t>
            </w:r>
          </w:p>
        </w:tc>
      </w:tr>
      <w:tr>
        <w:trPr>
          <w:trHeight w:val="157"/>
        </w:trPr>
        <w:tc>
          <w:tcPr>
            <w:tcW w:w="2280" w:type="dxa"/>
            <w:vAlign w:val="bottom"/>
            <w:gridSpan w:val="2"/>
          </w:tcPr>
          <w:p>
            <w:pPr>
              <w:spacing w:after="0"/>
              <w:rPr>
                <w:sz w:val="20"/>
                <w:szCs w:val="20"/>
                <w:color w:val="auto"/>
              </w:rPr>
            </w:pPr>
            <w:r>
              <w:rPr>
                <w:rFonts w:ascii="Arial" w:cs="Arial" w:eastAsia="Arial" w:hAnsi="Arial"/>
                <w:sz w:val="13"/>
                <w:szCs w:val="13"/>
                <w:color w:val="auto"/>
              </w:rPr>
              <w:t>Plus/(Minus): Change in Fair Value</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8"/>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as  of  the  Vesting  Date  of  Equity</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Awards Granted in Prior Fiscal Years</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280" w:type="dxa"/>
            <w:vAlign w:val="bottom"/>
            <w:gridSpan w:val="2"/>
          </w:tcPr>
          <w:p>
            <w:pPr>
              <w:spacing w:after="0"/>
              <w:rPr>
                <w:sz w:val="20"/>
                <w:szCs w:val="20"/>
                <w:color w:val="auto"/>
              </w:rPr>
            </w:pPr>
            <w:r>
              <w:rPr>
                <w:rFonts w:ascii="Arial" w:cs="Arial" w:eastAsia="Arial" w:hAnsi="Arial"/>
                <w:sz w:val="13"/>
                <w:szCs w:val="13"/>
                <w:color w:val="auto"/>
              </w:rPr>
              <w:t>that Vested in the Fiscal Year</w:t>
            </w: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(111,363)</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(23,476)</w:t>
            </w:r>
          </w:p>
        </w:tc>
        <w:tc>
          <w:tcPr>
            <w:tcW w:w="840" w:type="dxa"/>
            <w:vAlign w:val="bottom"/>
          </w:tcPr>
          <w:p>
            <w:pPr>
              <w:jc w:val="right"/>
              <w:spacing w:after="0"/>
              <w:rPr>
                <w:sz w:val="20"/>
                <w:szCs w:val="20"/>
                <w:color w:val="auto"/>
              </w:rPr>
            </w:pPr>
            <w:r>
              <w:rPr>
                <w:rFonts w:ascii="Arial" w:cs="Arial" w:eastAsia="Arial" w:hAnsi="Arial"/>
                <w:sz w:val="13"/>
                <w:szCs w:val="13"/>
                <w:color w:val="auto"/>
              </w:rPr>
              <w:t>(55,575)</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(13,028)</w:t>
            </w:r>
          </w:p>
        </w:tc>
        <w:tc>
          <w:tcPr>
            <w:tcW w:w="100" w:type="dxa"/>
            <w:vAlign w:val="bottom"/>
          </w:tcPr>
          <w:p>
            <w:pPr>
              <w:spacing w:after="0"/>
              <w:rPr>
                <w:sz w:val="15"/>
                <w:szCs w:val="15"/>
                <w:color w:val="auto"/>
              </w:rPr>
            </w:pPr>
          </w:p>
        </w:tc>
        <w:tc>
          <w:tcPr>
            <w:tcW w:w="9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(409,679)</w:t>
            </w:r>
          </w:p>
        </w:tc>
        <w:tc>
          <w:tcPr>
            <w:tcW w:w="100" w:type="dxa"/>
            <w:vAlign w:val="bottom"/>
          </w:tcPr>
          <w:p>
            <w:pPr>
              <w:spacing w:after="0"/>
              <w:rPr>
                <w:sz w:val="15"/>
                <w:szCs w:val="15"/>
                <w:color w:val="auto"/>
              </w:rPr>
            </w:pP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(4,847,102)</w:t>
            </w:r>
          </w:p>
        </w:tc>
      </w:tr>
      <w:tr>
        <w:trPr>
          <w:trHeight w:val="27"/>
        </w:trPr>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57"/>
        </w:trPr>
        <w:tc>
          <w:tcPr>
            <w:tcW w:w="228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(Minus): Fair Value as of the Prior</w:t>
            </w:r>
          </w:p>
        </w:tc>
        <w:tc>
          <w:tcPr>
            <w:tcW w:w="9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r>
      <w:tr>
        <w:trPr>
          <w:trHeight w:val="148"/>
        </w:trPr>
        <w:tc>
          <w:tcPr>
            <w:tcW w:w="2280" w:type="dxa"/>
            <w:vAlign w:val="bottom"/>
            <w:gridSpan w:val="2"/>
            <w:shd w:val="clear" w:color="auto" w:fill="DBDBDB"/>
          </w:tcPr>
          <w:p>
            <w:pPr>
              <w:spacing w:after="0" w:line="148" w:lineRule="exact"/>
              <w:rPr>
                <w:sz w:val="20"/>
                <w:szCs w:val="20"/>
                <w:color w:val="auto"/>
              </w:rPr>
            </w:pPr>
            <w:r>
              <w:rPr>
                <w:rFonts w:ascii="Arial" w:cs="Arial" w:eastAsia="Arial" w:hAnsi="Arial"/>
                <w:sz w:val="13"/>
                <w:szCs w:val="13"/>
                <w:color w:val="auto"/>
              </w:rPr>
              <w:t>Fiscal Year End of Equity Awards</w:t>
            </w:r>
          </w:p>
        </w:tc>
        <w:tc>
          <w:tcPr>
            <w:tcW w:w="96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r>
      <w:tr>
        <w:trPr>
          <w:trHeight w:val="148"/>
        </w:trPr>
        <w:tc>
          <w:tcPr>
            <w:tcW w:w="2280" w:type="dxa"/>
            <w:vAlign w:val="bottom"/>
            <w:gridSpan w:val="2"/>
            <w:shd w:val="clear" w:color="auto" w:fill="DBDBDB"/>
          </w:tcPr>
          <w:p>
            <w:pPr>
              <w:spacing w:after="0" w:line="148" w:lineRule="exact"/>
              <w:rPr>
                <w:sz w:val="20"/>
                <w:szCs w:val="20"/>
                <w:color w:val="auto"/>
              </w:rPr>
            </w:pPr>
            <w:r>
              <w:rPr>
                <w:rFonts w:ascii="Arial" w:cs="Arial" w:eastAsia="Arial" w:hAnsi="Arial"/>
                <w:sz w:val="13"/>
                <w:szCs w:val="13"/>
                <w:color w:val="auto"/>
              </w:rPr>
              <w:t>Granted in Prior Fiscal Years that</w:t>
            </w:r>
          </w:p>
        </w:tc>
        <w:tc>
          <w:tcPr>
            <w:tcW w:w="96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60" w:type="dxa"/>
            <w:vAlign w:val="bottom"/>
            <w:shd w:val="clear" w:color="auto" w:fill="DBDBDB"/>
          </w:tcPr>
          <w:p>
            <w:pPr>
              <w:spacing w:after="0"/>
              <w:rPr>
                <w:sz w:val="12"/>
                <w:szCs w:val="12"/>
                <w:color w:val="auto"/>
              </w:rPr>
            </w:pPr>
          </w:p>
        </w:tc>
      </w:tr>
      <w:tr>
        <w:trPr>
          <w:trHeight w:val="161"/>
        </w:trPr>
        <w:tc>
          <w:tcPr>
            <w:tcW w:w="2280" w:type="dxa"/>
            <w:vAlign w:val="bottom"/>
            <w:gridSpan w:val="2"/>
            <w:shd w:val="clear" w:color="auto" w:fill="DBDBDB"/>
          </w:tcPr>
          <w:p>
            <w:pPr>
              <w:spacing w:after="0"/>
              <w:rPr>
                <w:sz w:val="20"/>
                <w:szCs w:val="20"/>
                <w:color w:val="auto"/>
              </w:rPr>
            </w:pPr>
            <w:r>
              <w:rPr>
                <w:rFonts w:ascii="Arial" w:cs="Arial" w:eastAsia="Arial" w:hAnsi="Arial"/>
                <w:sz w:val="13"/>
                <w:szCs w:val="13"/>
                <w:color w:val="auto"/>
              </w:rPr>
              <w:t>Failed to Meet Vesting Conditions in</w:t>
            </w:r>
          </w:p>
        </w:tc>
        <w:tc>
          <w:tcPr>
            <w:tcW w:w="96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4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73"/>
        </w:trPr>
        <w:tc>
          <w:tcPr>
            <w:tcW w:w="228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3"/>
                <w:szCs w:val="13"/>
                <w:color w:val="auto"/>
              </w:rPr>
              <w:t>the Fiscal Year</w:t>
            </w:r>
          </w:p>
        </w:tc>
        <w:tc>
          <w:tcPr>
            <w:tcW w:w="96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(15,498,225)</w:t>
            </w:r>
          </w:p>
        </w:tc>
        <w:tc>
          <w:tcPr>
            <w:tcW w:w="1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DBDBDB"/>
            </w:tcBorders>
            <w:shd w:val="clear" w:color="auto" w:fill="DBDBDB"/>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2280" w:type="dxa"/>
            <w:vAlign w:val="bottom"/>
            <w:gridSpan w:val="2"/>
          </w:tcPr>
          <w:p>
            <w:pPr>
              <w:spacing w:after="0"/>
              <w:rPr>
                <w:sz w:val="20"/>
                <w:szCs w:val="20"/>
                <w:color w:val="auto"/>
              </w:rPr>
            </w:pPr>
            <w:r>
              <w:rPr>
                <w:rFonts w:ascii="Arial" w:cs="Arial" w:eastAsia="Arial" w:hAnsi="Arial"/>
                <w:sz w:val="13"/>
                <w:szCs w:val="13"/>
                <w:color w:val="auto"/>
              </w:rPr>
              <w:t>Plus: Value of Dividends or Other</w:t>
            </w: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8"/>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Earnings Paid on Equity Awards Not</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2280" w:type="dxa"/>
            <w:vAlign w:val="bottom"/>
            <w:gridSpan w:val="2"/>
          </w:tcPr>
          <w:p>
            <w:pPr>
              <w:spacing w:after="0" w:line="148" w:lineRule="exact"/>
              <w:rPr>
                <w:sz w:val="20"/>
                <w:szCs w:val="20"/>
                <w:color w:val="auto"/>
              </w:rPr>
            </w:pPr>
            <w:r>
              <w:rPr>
                <w:rFonts w:ascii="Arial" w:cs="Arial" w:eastAsia="Arial" w:hAnsi="Arial"/>
                <w:sz w:val="13"/>
                <w:szCs w:val="13"/>
                <w:color w:val="auto"/>
              </w:rPr>
              <w:t>Otherwise   Reflected   in   Total</w:t>
            </w: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280" w:type="dxa"/>
            <w:vAlign w:val="bottom"/>
            <w:gridSpan w:val="2"/>
          </w:tcPr>
          <w:p>
            <w:pPr>
              <w:spacing w:after="0"/>
              <w:rPr>
                <w:sz w:val="20"/>
                <w:szCs w:val="20"/>
                <w:color w:val="auto"/>
              </w:rPr>
            </w:pPr>
            <w:r>
              <w:rPr>
                <w:rFonts w:ascii="Arial" w:cs="Arial" w:eastAsia="Arial" w:hAnsi="Arial"/>
                <w:sz w:val="13"/>
                <w:szCs w:val="13"/>
                <w:color w:val="auto"/>
              </w:rPr>
              <w:t>Compensation</w:t>
            </w: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
        </w:trPr>
        <w:tc>
          <w:tcPr>
            <w:tcW w:w="2200" w:type="dxa"/>
            <w:vAlign w:val="bottom"/>
            <w:tcBorders>
              <w:bottom w:val="single" w:sz="8" w:color="DBDBDB"/>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960" w:type="dxa"/>
            <w:vAlign w:val="bottom"/>
            <w:tcBorders>
              <w:bottom w:val="single" w:sz="8" w:color="00497F"/>
            </w:tcBorders>
          </w:tcPr>
          <w:p>
            <w:pPr>
              <w:spacing w:after="0"/>
              <w:rPr>
                <w:sz w:val="2"/>
                <w:szCs w:val="2"/>
                <w:color w:val="auto"/>
              </w:rPr>
            </w:pPr>
          </w:p>
        </w:tc>
        <w:tc>
          <w:tcPr>
            <w:tcW w:w="780" w:type="dxa"/>
            <w:vAlign w:val="bottom"/>
            <w:tcBorders>
              <w:bottom w:val="single" w:sz="8" w:color="00497F"/>
            </w:tcBorders>
          </w:tcPr>
          <w:p>
            <w:pPr>
              <w:spacing w:after="0"/>
              <w:rPr>
                <w:sz w:val="2"/>
                <w:szCs w:val="2"/>
                <w:color w:val="auto"/>
              </w:rPr>
            </w:pPr>
          </w:p>
        </w:tc>
        <w:tc>
          <w:tcPr>
            <w:tcW w:w="100" w:type="dxa"/>
            <w:vAlign w:val="bottom"/>
            <w:tcBorders>
              <w:bottom w:val="single" w:sz="8" w:color="00497F"/>
            </w:tcBorders>
          </w:tcPr>
          <w:p>
            <w:pPr>
              <w:spacing w:after="0"/>
              <w:rPr>
                <w:sz w:val="2"/>
                <w:szCs w:val="2"/>
                <w:color w:val="auto"/>
              </w:rPr>
            </w:pPr>
          </w:p>
        </w:tc>
        <w:tc>
          <w:tcPr>
            <w:tcW w:w="880" w:type="dxa"/>
            <w:vAlign w:val="bottom"/>
            <w:tcBorders>
              <w:bottom w:val="single" w:sz="8" w:color="00497F"/>
            </w:tcBorders>
          </w:tcPr>
          <w:p>
            <w:pPr>
              <w:spacing w:after="0"/>
              <w:rPr>
                <w:sz w:val="2"/>
                <w:szCs w:val="2"/>
                <w:color w:val="auto"/>
              </w:rPr>
            </w:pPr>
          </w:p>
        </w:tc>
        <w:tc>
          <w:tcPr>
            <w:tcW w:w="840" w:type="dxa"/>
            <w:vAlign w:val="bottom"/>
            <w:tcBorders>
              <w:bottom w:val="single" w:sz="8" w:color="00497F"/>
            </w:tcBorders>
          </w:tcPr>
          <w:p>
            <w:pPr>
              <w:spacing w:after="0"/>
              <w:rPr>
                <w:sz w:val="2"/>
                <w:szCs w:val="2"/>
                <w:color w:val="auto"/>
              </w:rPr>
            </w:pPr>
          </w:p>
        </w:tc>
        <w:tc>
          <w:tcPr>
            <w:tcW w:w="100" w:type="dxa"/>
            <w:vAlign w:val="bottom"/>
            <w:tcBorders>
              <w:bottom w:val="single" w:sz="8" w:color="00497F"/>
            </w:tcBorders>
          </w:tcPr>
          <w:p>
            <w:pPr>
              <w:spacing w:after="0"/>
              <w:rPr>
                <w:sz w:val="2"/>
                <w:szCs w:val="2"/>
                <w:color w:val="auto"/>
              </w:rPr>
            </w:pPr>
          </w:p>
        </w:tc>
        <w:tc>
          <w:tcPr>
            <w:tcW w:w="880" w:type="dxa"/>
            <w:vAlign w:val="bottom"/>
            <w:tcBorders>
              <w:bottom w:val="single" w:sz="8" w:color="00497F"/>
            </w:tcBorders>
          </w:tcPr>
          <w:p>
            <w:pPr>
              <w:spacing w:after="0"/>
              <w:rPr>
                <w:sz w:val="2"/>
                <w:szCs w:val="2"/>
                <w:color w:val="auto"/>
              </w:rPr>
            </w:pPr>
          </w:p>
        </w:tc>
        <w:tc>
          <w:tcPr>
            <w:tcW w:w="100" w:type="dxa"/>
            <w:vAlign w:val="bottom"/>
            <w:tcBorders>
              <w:bottom w:val="single" w:sz="8" w:color="00497F"/>
            </w:tcBorders>
          </w:tcPr>
          <w:p>
            <w:pPr>
              <w:spacing w:after="0"/>
              <w:rPr>
                <w:sz w:val="2"/>
                <w:szCs w:val="2"/>
                <w:color w:val="auto"/>
              </w:rPr>
            </w:pPr>
          </w:p>
        </w:tc>
        <w:tc>
          <w:tcPr>
            <w:tcW w:w="940" w:type="dxa"/>
            <w:vAlign w:val="bottom"/>
            <w:tcBorders>
              <w:bottom w:val="single" w:sz="8" w:color="00497F"/>
            </w:tcBorders>
          </w:tcPr>
          <w:p>
            <w:pPr>
              <w:spacing w:after="0"/>
              <w:rPr>
                <w:sz w:val="2"/>
                <w:szCs w:val="2"/>
                <w:color w:val="auto"/>
              </w:rPr>
            </w:pPr>
          </w:p>
        </w:tc>
        <w:tc>
          <w:tcPr>
            <w:tcW w:w="800" w:type="dxa"/>
            <w:vAlign w:val="bottom"/>
            <w:tcBorders>
              <w:bottom w:val="single" w:sz="8" w:color="00497F"/>
            </w:tcBorders>
          </w:tcPr>
          <w:p>
            <w:pPr>
              <w:spacing w:after="0"/>
              <w:rPr>
                <w:sz w:val="2"/>
                <w:szCs w:val="2"/>
                <w:color w:val="auto"/>
              </w:rPr>
            </w:pPr>
          </w:p>
        </w:tc>
        <w:tc>
          <w:tcPr>
            <w:tcW w:w="100" w:type="dxa"/>
            <w:vAlign w:val="bottom"/>
            <w:tcBorders>
              <w:bottom w:val="single" w:sz="8" w:color="00497F"/>
            </w:tcBorders>
          </w:tcPr>
          <w:p>
            <w:pPr>
              <w:spacing w:after="0"/>
              <w:rPr>
                <w:sz w:val="2"/>
                <w:szCs w:val="2"/>
                <w:color w:val="auto"/>
              </w:rPr>
            </w:pPr>
          </w:p>
        </w:tc>
        <w:tc>
          <w:tcPr>
            <w:tcW w:w="880" w:type="dxa"/>
            <w:vAlign w:val="bottom"/>
            <w:tcBorders>
              <w:bottom w:val="single" w:sz="8" w:color="00497F"/>
            </w:tcBorders>
          </w:tcPr>
          <w:p>
            <w:pPr>
              <w:spacing w:after="0"/>
              <w:rPr>
                <w:sz w:val="2"/>
                <w:szCs w:val="2"/>
                <w:color w:val="auto"/>
              </w:rPr>
            </w:pPr>
          </w:p>
        </w:tc>
        <w:tc>
          <w:tcPr>
            <w:tcW w:w="860" w:type="dxa"/>
            <w:vAlign w:val="bottom"/>
            <w:tcBorders>
              <w:bottom w:val="single" w:sz="8" w:color="00497F"/>
            </w:tcBorders>
          </w:tcPr>
          <w:p>
            <w:pPr>
              <w:spacing w:after="0"/>
              <w:rPr>
                <w:sz w:val="2"/>
                <w:szCs w:val="2"/>
                <w:color w:val="auto"/>
              </w:rPr>
            </w:pPr>
          </w:p>
        </w:tc>
      </w:tr>
      <w:tr>
        <w:trPr>
          <w:trHeight w:val="195"/>
        </w:trPr>
        <w:tc>
          <w:tcPr>
            <w:tcW w:w="228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3"/>
                <w:szCs w:val="13"/>
                <w:color w:val="auto"/>
              </w:rPr>
              <w:t>Total Adjustments (subtotal)</w:t>
            </w:r>
          </w:p>
        </w:tc>
        <w:tc>
          <w:tcPr>
            <w:tcW w:w="960" w:type="dxa"/>
            <w:vAlign w:val="bottom"/>
            <w:tcBorders>
              <w:bottom w:val="single" w:sz="8" w:color="DBDBDB"/>
            </w:tcBorders>
            <w:shd w:val="clear" w:color="auto" w:fill="DBDBDB"/>
          </w:tcPr>
          <w:p>
            <w:pPr>
              <w:jc w:val="right"/>
              <w:ind w:right="38"/>
              <w:spacing w:after="0"/>
              <w:rPr>
                <w:sz w:val="20"/>
                <w:szCs w:val="20"/>
                <w:color w:val="auto"/>
              </w:rPr>
            </w:pPr>
            <w:r>
              <w:rPr>
                <w:rFonts w:ascii="Arial" w:cs="Arial" w:eastAsia="Arial" w:hAnsi="Arial"/>
                <w:sz w:val="13"/>
                <w:szCs w:val="13"/>
                <w:color w:val="auto"/>
              </w:rPr>
              <w:t>(6,498,648)</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(2,881,782)</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(441,989)</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(16,866,660)</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4,981,115</w:t>
            </w:r>
          </w:p>
        </w:tc>
        <w:tc>
          <w:tcPr>
            <w:tcW w:w="1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ind w:right="78"/>
              <w:spacing w:after="0"/>
              <w:rPr>
                <w:sz w:val="20"/>
                <w:szCs w:val="20"/>
                <w:color w:val="auto"/>
              </w:rPr>
            </w:pPr>
            <w:r>
              <w:rPr>
                <w:rFonts w:ascii="Arial" w:cs="Arial" w:eastAsia="Arial" w:hAnsi="Arial"/>
                <w:sz w:val="13"/>
                <w:szCs w:val="13"/>
                <w:color w:val="auto"/>
              </w:rPr>
              <w:t>70,049</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(531,605)</w:t>
            </w: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(317,272)</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(6,380,478)</w:t>
            </w:r>
          </w:p>
        </w:tc>
      </w:tr>
      <w:tr>
        <w:trPr>
          <w:trHeight w:val="174"/>
        </w:trPr>
        <w:tc>
          <w:tcPr>
            <w:tcW w:w="2200" w:type="dxa"/>
            <w:vAlign w:val="bottom"/>
            <w:tcBorders>
              <w:top w:val="single" w:sz="8" w:color="auto"/>
            </w:tcBorders>
          </w:tcPr>
          <w:p>
            <w:pPr>
              <w:ind w:left="340"/>
              <w:spacing w:after="0"/>
              <w:rPr>
                <w:sz w:val="20"/>
                <w:szCs w:val="20"/>
                <w:color w:val="auto"/>
              </w:rPr>
            </w:pPr>
            <w:r>
              <w:rPr>
                <w:rFonts w:ascii="Arial" w:cs="Arial" w:eastAsia="Arial" w:hAnsi="Arial"/>
                <w:sz w:val="13"/>
                <w:szCs w:val="13"/>
                <w:b w:val="1"/>
                <w:bCs w:val="1"/>
                <w:color w:val="auto"/>
              </w:rPr>
              <w:t>Compensation Actually Paid</w:t>
            </w:r>
          </w:p>
        </w:tc>
        <w:tc>
          <w:tcPr>
            <w:tcW w:w="80" w:type="dxa"/>
            <w:vAlign w:val="bottom"/>
          </w:tcPr>
          <w:p>
            <w:pPr>
              <w:spacing w:after="0"/>
              <w:rPr>
                <w:sz w:val="15"/>
                <w:szCs w:val="15"/>
                <w:color w:val="auto"/>
              </w:rPr>
            </w:pPr>
          </w:p>
        </w:tc>
        <w:tc>
          <w:tcPr>
            <w:tcW w:w="960" w:type="dxa"/>
            <w:vAlign w:val="bottom"/>
            <w:tcBorders>
              <w:top w:val="single" w:sz="8" w:color="00497F"/>
            </w:tcBorders>
          </w:tcPr>
          <w:p>
            <w:pPr>
              <w:jc w:val="right"/>
              <w:ind w:right="78"/>
              <w:spacing w:after="0"/>
              <w:rPr>
                <w:sz w:val="20"/>
                <w:szCs w:val="20"/>
                <w:color w:val="auto"/>
              </w:rPr>
            </w:pPr>
            <w:r>
              <w:rPr>
                <w:rFonts w:ascii="Arial" w:cs="Arial" w:eastAsia="Arial" w:hAnsi="Arial"/>
                <w:sz w:val="13"/>
                <w:szCs w:val="13"/>
                <w:b w:val="1"/>
                <w:bCs w:val="1"/>
                <w:color w:val="auto"/>
              </w:rPr>
              <w:t>8,004,097</w:t>
            </w:r>
          </w:p>
        </w:tc>
        <w:tc>
          <w:tcPr>
            <w:tcW w:w="78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4,892,184</w:t>
            </w:r>
          </w:p>
        </w:tc>
        <w:tc>
          <w:tcPr>
            <w:tcW w:w="100" w:type="dxa"/>
            <w:vAlign w:val="bottom"/>
            <w:tcBorders>
              <w:top w:val="single" w:sz="8" w:color="00497F"/>
            </w:tcBorders>
          </w:tcPr>
          <w:p>
            <w:pPr>
              <w:spacing w:after="0"/>
              <w:rPr>
                <w:sz w:val="15"/>
                <w:szCs w:val="15"/>
                <w:color w:val="auto"/>
              </w:rPr>
            </w:pPr>
          </w:p>
        </w:tc>
        <w:tc>
          <w:tcPr>
            <w:tcW w:w="880" w:type="dxa"/>
            <w:vAlign w:val="bottom"/>
            <w:tcBorders>
              <w:top w:val="single" w:sz="8" w:color="00497F"/>
            </w:tcBorders>
          </w:tcPr>
          <w:p>
            <w:pPr>
              <w:jc w:val="right"/>
              <w:ind w:right="18"/>
              <w:spacing w:after="0"/>
              <w:rPr>
                <w:sz w:val="20"/>
                <w:szCs w:val="20"/>
                <w:color w:val="auto"/>
              </w:rPr>
            </w:pPr>
            <w:r>
              <w:rPr>
                <w:rFonts w:ascii="Arial" w:cs="Arial" w:eastAsia="Arial" w:hAnsi="Arial"/>
                <w:sz w:val="13"/>
                <w:szCs w:val="13"/>
                <w:b w:val="1"/>
                <w:bCs w:val="1"/>
                <w:color w:val="auto"/>
              </w:rPr>
              <w:t>48,248</w:t>
            </w:r>
          </w:p>
        </w:tc>
        <w:tc>
          <w:tcPr>
            <w:tcW w:w="84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(14,643,209)</w:t>
            </w:r>
          </w:p>
        </w:tc>
        <w:tc>
          <w:tcPr>
            <w:tcW w:w="100" w:type="dxa"/>
            <w:vAlign w:val="bottom"/>
            <w:tcBorders>
              <w:top w:val="single" w:sz="8" w:color="00497F"/>
            </w:tcBorders>
          </w:tcPr>
          <w:p>
            <w:pPr>
              <w:spacing w:after="0"/>
              <w:rPr>
                <w:sz w:val="15"/>
                <w:szCs w:val="15"/>
                <w:color w:val="auto"/>
              </w:rPr>
            </w:pPr>
          </w:p>
        </w:tc>
        <w:tc>
          <w:tcPr>
            <w:tcW w:w="88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7,279,388</w:t>
            </w:r>
          </w:p>
        </w:tc>
        <w:tc>
          <w:tcPr>
            <w:tcW w:w="100" w:type="dxa"/>
            <w:vAlign w:val="bottom"/>
            <w:tcBorders>
              <w:top w:val="single" w:sz="8" w:color="00497F"/>
            </w:tcBorders>
          </w:tcPr>
          <w:p>
            <w:pPr>
              <w:spacing w:after="0"/>
              <w:rPr>
                <w:sz w:val="15"/>
                <w:szCs w:val="15"/>
                <w:color w:val="auto"/>
              </w:rPr>
            </w:pPr>
          </w:p>
        </w:tc>
        <w:tc>
          <w:tcPr>
            <w:tcW w:w="940" w:type="dxa"/>
            <w:vAlign w:val="bottom"/>
            <w:tcBorders>
              <w:top w:val="single" w:sz="8" w:color="00497F"/>
            </w:tcBorders>
          </w:tcPr>
          <w:p>
            <w:pPr>
              <w:jc w:val="right"/>
              <w:ind w:right="78"/>
              <w:spacing w:after="0"/>
              <w:rPr>
                <w:sz w:val="20"/>
                <w:szCs w:val="20"/>
                <w:color w:val="auto"/>
              </w:rPr>
            </w:pPr>
            <w:r>
              <w:rPr>
                <w:rFonts w:ascii="Arial" w:cs="Arial" w:eastAsia="Arial" w:hAnsi="Arial"/>
                <w:sz w:val="13"/>
                <w:szCs w:val="13"/>
                <w:b w:val="1"/>
                <w:bCs w:val="1"/>
                <w:color w:val="auto"/>
              </w:rPr>
              <w:t>12,853,604</w:t>
            </w:r>
          </w:p>
        </w:tc>
        <w:tc>
          <w:tcPr>
            <w:tcW w:w="80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2,605,610</w:t>
            </w:r>
          </w:p>
        </w:tc>
        <w:tc>
          <w:tcPr>
            <w:tcW w:w="100" w:type="dxa"/>
            <w:vAlign w:val="bottom"/>
            <w:tcBorders>
              <w:top w:val="single" w:sz="8" w:color="00497F"/>
            </w:tcBorders>
          </w:tcPr>
          <w:p>
            <w:pPr>
              <w:spacing w:after="0"/>
              <w:rPr>
                <w:sz w:val="15"/>
                <w:szCs w:val="15"/>
                <w:color w:val="auto"/>
              </w:rPr>
            </w:pPr>
          </w:p>
        </w:tc>
        <w:tc>
          <w:tcPr>
            <w:tcW w:w="880" w:type="dxa"/>
            <w:vAlign w:val="bottom"/>
            <w:tcBorders>
              <w:top w:val="single" w:sz="8" w:color="00497F"/>
            </w:tcBorders>
          </w:tcPr>
          <w:p>
            <w:pPr>
              <w:jc w:val="right"/>
              <w:ind w:right="18"/>
              <w:spacing w:after="0"/>
              <w:rPr>
                <w:sz w:val="20"/>
                <w:szCs w:val="20"/>
                <w:color w:val="auto"/>
              </w:rPr>
            </w:pPr>
            <w:r>
              <w:rPr>
                <w:rFonts w:ascii="Arial" w:cs="Arial" w:eastAsia="Arial" w:hAnsi="Arial"/>
                <w:sz w:val="13"/>
                <w:szCs w:val="13"/>
                <w:b w:val="1"/>
                <w:bCs w:val="1"/>
                <w:color w:val="auto"/>
              </w:rPr>
              <w:t>3,164,293</w:t>
            </w:r>
          </w:p>
        </w:tc>
        <w:tc>
          <w:tcPr>
            <w:tcW w:w="86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1,039,387</w:t>
            </w:r>
          </w:p>
        </w:tc>
      </w:tr>
      <w:tr>
        <w:trPr>
          <w:trHeight w:val="21"/>
        </w:trPr>
        <w:tc>
          <w:tcPr>
            <w:tcW w:w="2200" w:type="dxa"/>
            <w:vAlign w:val="bottom"/>
            <w:tcBorders>
              <w:bottom w:val="single" w:sz="8" w:color="00497F"/>
            </w:tcBorders>
          </w:tcPr>
          <w:p>
            <w:pPr>
              <w:spacing w:after="0" w:line="20" w:lineRule="exact"/>
              <w:rPr>
                <w:sz w:val="1"/>
                <w:szCs w:val="1"/>
                <w:color w:val="auto"/>
              </w:rPr>
            </w:pPr>
          </w:p>
        </w:tc>
        <w:tc>
          <w:tcPr>
            <w:tcW w:w="80" w:type="dxa"/>
            <w:vAlign w:val="bottom"/>
            <w:tcBorders>
              <w:bottom w:val="single" w:sz="8" w:color="00497F"/>
            </w:tcBorders>
          </w:tcPr>
          <w:p>
            <w:pPr>
              <w:spacing w:after="0" w:line="20" w:lineRule="exact"/>
              <w:rPr>
                <w:sz w:val="1"/>
                <w:szCs w:val="1"/>
                <w:color w:val="auto"/>
              </w:rPr>
            </w:pPr>
          </w:p>
        </w:tc>
        <w:tc>
          <w:tcPr>
            <w:tcW w:w="960" w:type="dxa"/>
            <w:vAlign w:val="bottom"/>
            <w:tcBorders>
              <w:bottom w:val="single" w:sz="8" w:color="00497F"/>
            </w:tcBorders>
          </w:tcPr>
          <w:p>
            <w:pPr>
              <w:spacing w:after="0" w:line="20" w:lineRule="exact"/>
              <w:rPr>
                <w:sz w:val="1"/>
                <w:szCs w:val="1"/>
                <w:color w:val="auto"/>
              </w:rPr>
            </w:pPr>
          </w:p>
        </w:tc>
        <w:tc>
          <w:tcPr>
            <w:tcW w:w="780" w:type="dxa"/>
            <w:vAlign w:val="bottom"/>
            <w:tcBorders>
              <w:bottom w:val="single" w:sz="8" w:color="00497F"/>
            </w:tcBorders>
          </w:tcPr>
          <w:p>
            <w:pPr>
              <w:spacing w:after="0" w:line="20" w:lineRule="exact"/>
              <w:rPr>
                <w:sz w:val="1"/>
                <w:szCs w:val="1"/>
                <w:color w:val="auto"/>
              </w:rPr>
            </w:pPr>
          </w:p>
        </w:tc>
        <w:tc>
          <w:tcPr>
            <w:tcW w:w="100" w:type="dxa"/>
            <w:vAlign w:val="bottom"/>
            <w:tcBorders>
              <w:bottom w:val="single" w:sz="8" w:color="00497F"/>
            </w:tcBorders>
          </w:tcPr>
          <w:p>
            <w:pPr>
              <w:spacing w:after="0" w:line="20" w:lineRule="exact"/>
              <w:rPr>
                <w:sz w:val="1"/>
                <w:szCs w:val="1"/>
                <w:color w:val="auto"/>
              </w:rPr>
            </w:pPr>
          </w:p>
        </w:tc>
        <w:tc>
          <w:tcPr>
            <w:tcW w:w="880" w:type="dxa"/>
            <w:vAlign w:val="bottom"/>
            <w:tcBorders>
              <w:bottom w:val="single" w:sz="8" w:color="00497F"/>
            </w:tcBorders>
          </w:tcPr>
          <w:p>
            <w:pPr>
              <w:spacing w:after="0" w:line="20" w:lineRule="exact"/>
              <w:rPr>
                <w:sz w:val="1"/>
                <w:szCs w:val="1"/>
                <w:color w:val="auto"/>
              </w:rPr>
            </w:pPr>
          </w:p>
        </w:tc>
        <w:tc>
          <w:tcPr>
            <w:tcW w:w="840" w:type="dxa"/>
            <w:vAlign w:val="bottom"/>
            <w:tcBorders>
              <w:bottom w:val="single" w:sz="8" w:color="00497F"/>
            </w:tcBorders>
          </w:tcPr>
          <w:p>
            <w:pPr>
              <w:spacing w:after="0" w:line="20" w:lineRule="exact"/>
              <w:rPr>
                <w:sz w:val="1"/>
                <w:szCs w:val="1"/>
                <w:color w:val="auto"/>
              </w:rPr>
            </w:pPr>
          </w:p>
        </w:tc>
        <w:tc>
          <w:tcPr>
            <w:tcW w:w="100" w:type="dxa"/>
            <w:vAlign w:val="bottom"/>
            <w:tcBorders>
              <w:bottom w:val="single" w:sz="8" w:color="00497F"/>
            </w:tcBorders>
          </w:tcPr>
          <w:p>
            <w:pPr>
              <w:spacing w:after="0" w:line="20" w:lineRule="exact"/>
              <w:rPr>
                <w:sz w:val="1"/>
                <w:szCs w:val="1"/>
                <w:color w:val="auto"/>
              </w:rPr>
            </w:pPr>
          </w:p>
        </w:tc>
        <w:tc>
          <w:tcPr>
            <w:tcW w:w="880" w:type="dxa"/>
            <w:vAlign w:val="bottom"/>
            <w:tcBorders>
              <w:bottom w:val="single" w:sz="8" w:color="00497F"/>
            </w:tcBorders>
          </w:tcPr>
          <w:p>
            <w:pPr>
              <w:spacing w:after="0" w:line="20" w:lineRule="exact"/>
              <w:rPr>
                <w:sz w:val="1"/>
                <w:szCs w:val="1"/>
                <w:color w:val="auto"/>
              </w:rPr>
            </w:pPr>
          </w:p>
        </w:tc>
        <w:tc>
          <w:tcPr>
            <w:tcW w:w="100" w:type="dxa"/>
            <w:vAlign w:val="bottom"/>
            <w:tcBorders>
              <w:bottom w:val="single" w:sz="8" w:color="00497F"/>
            </w:tcBorders>
          </w:tcPr>
          <w:p>
            <w:pPr>
              <w:spacing w:after="0" w:line="20" w:lineRule="exact"/>
              <w:rPr>
                <w:sz w:val="1"/>
                <w:szCs w:val="1"/>
                <w:color w:val="auto"/>
              </w:rPr>
            </w:pPr>
          </w:p>
        </w:tc>
        <w:tc>
          <w:tcPr>
            <w:tcW w:w="940" w:type="dxa"/>
            <w:vAlign w:val="bottom"/>
            <w:tcBorders>
              <w:bottom w:val="single" w:sz="8" w:color="00497F"/>
            </w:tcBorders>
          </w:tcPr>
          <w:p>
            <w:pPr>
              <w:spacing w:after="0" w:line="20" w:lineRule="exact"/>
              <w:rPr>
                <w:sz w:val="1"/>
                <w:szCs w:val="1"/>
                <w:color w:val="auto"/>
              </w:rPr>
            </w:pPr>
          </w:p>
        </w:tc>
        <w:tc>
          <w:tcPr>
            <w:tcW w:w="800" w:type="dxa"/>
            <w:vAlign w:val="bottom"/>
            <w:tcBorders>
              <w:bottom w:val="single" w:sz="8" w:color="00497F"/>
            </w:tcBorders>
          </w:tcPr>
          <w:p>
            <w:pPr>
              <w:spacing w:after="0" w:line="20" w:lineRule="exact"/>
              <w:rPr>
                <w:sz w:val="1"/>
                <w:szCs w:val="1"/>
                <w:color w:val="auto"/>
              </w:rPr>
            </w:pPr>
          </w:p>
        </w:tc>
        <w:tc>
          <w:tcPr>
            <w:tcW w:w="100" w:type="dxa"/>
            <w:vAlign w:val="bottom"/>
            <w:tcBorders>
              <w:bottom w:val="single" w:sz="8" w:color="00497F"/>
            </w:tcBorders>
          </w:tcPr>
          <w:p>
            <w:pPr>
              <w:spacing w:after="0" w:line="20" w:lineRule="exact"/>
              <w:rPr>
                <w:sz w:val="1"/>
                <w:szCs w:val="1"/>
                <w:color w:val="auto"/>
              </w:rPr>
            </w:pPr>
          </w:p>
        </w:tc>
        <w:tc>
          <w:tcPr>
            <w:tcW w:w="880" w:type="dxa"/>
            <w:vAlign w:val="bottom"/>
            <w:tcBorders>
              <w:bottom w:val="single" w:sz="8" w:color="00497F"/>
            </w:tcBorders>
          </w:tcPr>
          <w:p>
            <w:pPr>
              <w:spacing w:after="0" w:line="20" w:lineRule="exact"/>
              <w:rPr>
                <w:sz w:val="1"/>
                <w:szCs w:val="1"/>
                <w:color w:val="auto"/>
              </w:rPr>
            </w:pPr>
          </w:p>
        </w:tc>
        <w:tc>
          <w:tcPr>
            <w:tcW w:w="860" w:type="dxa"/>
            <w:vAlign w:val="bottom"/>
            <w:tcBorders>
              <w:bottom w:val="single" w:sz="8" w:color="00497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520700</wp:posOffset>
            </wp:positionV>
            <wp:extent cx="71329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45</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43180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20"/>
          </w:cols>
          <w:pgMar w:left="240" w:top="1000" w:right="339" w:bottom="1440" w:gutter="0" w:footer="0" w:header="0"/>
        </w:sectPr>
      </w:pPr>
    </w:p>
    <w:bookmarkStart w:id="51" w:name="page52"/>
    <w:bookmarkEnd w:id="51"/>
    <w:p>
      <w:pPr>
        <w:ind w:left="340"/>
        <w:spacing w:after="0" w:line="303" w:lineRule="auto"/>
        <w:rPr>
          <w:sz w:val="20"/>
          <w:szCs w:val="20"/>
          <w:color w:val="auto"/>
        </w:rPr>
      </w:pPr>
      <w:r>
        <w:rPr>
          <w:rFonts w:ascii="Arial" w:cs="Arial" w:eastAsia="Arial" w:hAnsi="Arial"/>
          <w:sz w:val="14"/>
          <w:szCs w:val="14"/>
          <w:color w:val="auto"/>
        </w:rPr>
        <w:t>In accordance with SEC rules, the following adjustments were made to determine the CAP on average to our non-PEO NEOs for the years presented, which consisted solely of adjustments to the non-PEO NEOs’ equity awards: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Fiscal 2025</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Fiscal 2024</w:t>
            </w:r>
          </w:p>
        </w:tc>
        <w:tc>
          <w:tcPr>
            <w:tcW w:w="18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Fiscal 2023</w:t>
            </w:r>
          </w:p>
        </w:tc>
        <w:tc>
          <w:tcPr>
            <w:tcW w:w="1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Fiscal 2022</w:t>
            </w:r>
          </w:p>
        </w:tc>
        <w:tc>
          <w:tcPr>
            <w:tcW w:w="160" w:type="dxa"/>
            <w:vAlign w:val="bottom"/>
          </w:tcPr>
          <w:p>
            <w:pPr>
              <w:spacing w:after="0"/>
              <w:rPr>
                <w:sz w:val="14"/>
                <w:szCs w:val="14"/>
                <w:color w:val="auto"/>
              </w:rPr>
            </w:pPr>
          </w:p>
        </w:tc>
        <w:tc>
          <w:tcPr>
            <w:tcW w:w="980" w:type="dxa"/>
            <w:vAlign w:val="bottom"/>
          </w:tcPr>
          <w:p>
            <w:pPr>
              <w:jc w:val="right"/>
              <w:ind w:right="198"/>
              <w:spacing w:after="0"/>
              <w:rPr>
                <w:sz w:val="20"/>
                <w:szCs w:val="20"/>
                <w:color w:val="auto"/>
              </w:rPr>
            </w:pPr>
            <w:r>
              <w:rPr>
                <w:rFonts w:ascii="Arial" w:cs="Arial" w:eastAsia="Arial" w:hAnsi="Arial"/>
                <w:sz w:val="12"/>
                <w:szCs w:val="12"/>
                <w:b w:val="1"/>
                <w:bCs w:val="1"/>
                <w:color w:val="auto"/>
              </w:rPr>
              <w:t>Fiscal 2021</w:t>
            </w:r>
          </w:p>
        </w:tc>
      </w:tr>
      <w:tr>
        <w:trPr>
          <w:trHeight w:val="201"/>
        </w:trPr>
        <w:tc>
          <w:tcPr>
            <w:tcW w:w="5060" w:type="dxa"/>
            <w:vAlign w:val="bottom"/>
            <w:tcBorders>
              <w:top w:val="single" w:sz="8" w:color="00497F"/>
              <w:bottom w:val="single" w:sz="8" w:color="DBDBDB"/>
            </w:tcBorders>
            <w:shd w:val="clear" w:color="auto" w:fill="DBDBDB"/>
          </w:tcPr>
          <w:p>
            <w:pPr>
              <w:ind w:left="20"/>
              <w:spacing w:after="0"/>
              <w:rPr>
                <w:sz w:val="20"/>
                <w:szCs w:val="20"/>
                <w:color w:val="auto"/>
              </w:rPr>
            </w:pPr>
            <w:r>
              <w:rPr>
                <w:rFonts w:ascii="Arial" w:cs="Arial" w:eastAsia="Arial" w:hAnsi="Arial"/>
                <w:sz w:val="13"/>
                <w:szCs w:val="13"/>
                <w:b w:val="1"/>
                <w:bCs w:val="1"/>
                <w:color w:val="auto"/>
              </w:rPr>
              <w:t>Summary Compensation Table - Total Compensation</w:t>
            </w:r>
          </w:p>
        </w:tc>
        <w:tc>
          <w:tcPr>
            <w:tcW w:w="200" w:type="dxa"/>
            <w:vAlign w:val="bottom"/>
            <w:tcBorders>
              <w:top w:val="single" w:sz="8" w:color="00497F"/>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00497F"/>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3,038,181</w:t>
            </w:r>
          </w:p>
        </w:tc>
        <w:tc>
          <w:tcPr>
            <w:tcW w:w="100" w:type="dxa"/>
            <w:vAlign w:val="bottom"/>
            <w:tcBorders>
              <w:top w:val="single" w:sz="8" w:color="00497F"/>
              <w:bottom w:val="single" w:sz="8" w:color="DBDBDB"/>
            </w:tcBorders>
            <w:shd w:val="clear" w:color="auto" w:fill="DBDBDB"/>
          </w:tcPr>
          <w:p>
            <w:pPr>
              <w:spacing w:after="0"/>
              <w:rPr>
                <w:sz w:val="17"/>
                <w:szCs w:val="17"/>
                <w:color w:val="auto"/>
              </w:rPr>
            </w:pPr>
          </w:p>
        </w:tc>
        <w:tc>
          <w:tcPr>
            <w:tcW w:w="180" w:type="dxa"/>
            <w:vAlign w:val="bottom"/>
            <w:tcBorders>
              <w:top w:val="single" w:sz="8" w:color="00497F"/>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00497F"/>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1,294,992</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00497F"/>
              <w:bottom w:val="single" w:sz="8" w:color="DBDBDB"/>
            </w:tcBorders>
            <w:shd w:val="clear" w:color="auto" w:fill="DBDBDB"/>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00497F"/>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1,076,444</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00497F"/>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00497F"/>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3,848,246</w:t>
            </w: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00497F"/>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00497F"/>
              <w:bottom w:val="single" w:sz="8" w:color="DBDBDB"/>
            </w:tcBorders>
            <w:shd w:val="clear" w:color="auto" w:fill="DBDBDB"/>
          </w:tcPr>
          <w:p>
            <w:pPr>
              <w:jc w:val="right"/>
              <w:spacing w:after="0"/>
              <w:rPr>
                <w:sz w:val="20"/>
                <w:szCs w:val="20"/>
                <w:color w:val="auto"/>
              </w:rPr>
            </w:pPr>
            <w:r>
              <w:rPr>
                <w:rFonts w:ascii="Arial" w:cs="Arial" w:eastAsia="Arial" w:hAnsi="Arial"/>
                <w:sz w:val="13"/>
                <w:szCs w:val="13"/>
                <w:b w:val="1"/>
                <w:bCs w:val="1"/>
                <w:color w:val="auto"/>
              </w:rPr>
              <w:t>1,371,338</w:t>
            </w:r>
          </w:p>
        </w:tc>
      </w:tr>
      <w:tr>
        <w:trPr>
          <w:trHeight w:val="168"/>
        </w:trPr>
        <w:tc>
          <w:tcPr>
            <w:tcW w:w="5060" w:type="dxa"/>
            <w:vAlign w:val="bottom"/>
            <w:tcBorders>
              <w:top w:val="single" w:sz="8" w:color="00497F"/>
            </w:tcBorders>
          </w:tcPr>
          <w:p>
            <w:pPr>
              <w:ind w:left="120"/>
              <w:spacing w:after="0"/>
              <w:rPr>
                <w:sz w:val="20"/>
                <w:szCs w:val="20"/>
                <w:color w:val="auto"/>
              </w:rPr>
            </w:pPr>
            <w:r>
              <w:rPr>
                <w:rFonts w:ascii="Arial" w:cs="Arial" w:eastAsia="Arial" w:hAnsi="Arial"/>
                <w:sz w:val="13"/>
                <w:szCs w:val="13"/>
                <w:color w:val="auto"/>
              </w:rPr>
              <w:t>(Minus): Grant Date Fair Value of Equity Awards Granted in Fiscal Year</w:t>
            </w:r>
          </w:p>
        </w:tc>
        <w:tc>
          <w:tcPr>
            <w:tcW w:w="200" w:type="dxa"/>
            <w:vAlign w:val="bottom"/>
            <w:tcBorders>
              <w:top w:val="single" w:sz="8" w:color="00497F"/>
            </w:tcBorders>
          </w:tcPr>
          <w:p>
            <w:pPr>
              <w:spacing w:after="0"/>
              <w:rPr>
                <w:sz w:val="14"/>
                <w:szCs w:val="14"/>
                <w:color w:val="auto"/>
              </w:rPr>
            </w:pPr>
          </w:p>
        </w:tc>
        <w:tc>
          <w:tcPr>
            <w:tcW w:w="960" w:type="dxa"/>
            <w:vAlign w:val="bottom"/>
            <w:tcBorders>
              <w:top w:val="single" w:sz="8" w:color="00497F"/>
            </w:tcBorders>
          </w:tcPr>
          <w:p>
            <w:pPr>
              <w:jc w:val="right"/>
              <w:spacing w:after="0"/>
              <w:rPr>
                <w:sz w:val="20"/>
                <w:szCs w:val="20"/>
                <w:color w:val="auto"/>
              </w:rPr>
            </w:pPr>
            <w:r>
              <w:rPr>
                <w:rFonts w:ascii="Arial" w:cs="Arial" w:eastAsia="Arial" w:hAnsi="Arial"/>
                <w:sz w:val="13"/>
                <w:szCs w:val="13"/>
                <w:color w:val="auto"/>
              </w:rPr>
              <w:t>(2,593,641)</w:t>
            </w:r>
          </w:p>
        </w:tc>
        <w:tc>
          <w:tcPr>
            <w:tcW w:w="100" w:type="dxa"/>
            <w:vAlign w:val="bottom"/>
            <w:tcBorders>
              <w:top w:val="single" w:sz="8" w:color="00497F"/>
            </w:tcBorders>
          </w:tcPr>
          <w:p>
            <w:pPr>
              <w:spacing w:after="0"/>
              <w:rPr>
                <w:sz w:val="14"/>
                <w:szCs w:val="14"/>
                <w:color w:val="auto"/>
              </w:rPr>
            </w:pPr>
          </w:p>
        </w:tc>
        <w:tc>
          <w:tcPr>
            <w:tcW w:w="180" w:type="dxa"/>
            <w:vAlign w:val="bottom"/>
            <w:tcBorders>
              <w:top w:val="single" w:sz="8" w:color="00497F"/>
            </w:tcBorders>
          </w:tcPr>
          <w:p>
            <w:pPr>
              <w:spacing w:after="0"/>
              <w:rPr>
                <w:sz w:val="14"/>
                <w:szCs w:val="14"/>
                <w:color w:val="auto"/>
              </w:rPr>
            </w:pPr>
          </w:p>
        </w:tc>
        <w:tc>
          <w:tcPr>
            <w:tcW w:w="960" w:type="dxa"/>
            <w:vAlign w:val="bottom"/>
            <w:tcBorders>
              <w:top w:val="single" w:sz="8" w:color="00497F"/>
            </w:tcBorders>
          </w:tcPr>
          <w:p>
            <w:pPr>
              <w:jc w:val="right"/>
              <w:spacing w:after="0"/>
              <w:rPr>
                <w:sz w:val="20"/>
                <w:szCs w:val="20"/>
                <w:color w:val="auto"/>
              </w:rPr>
            </w:pPr>
            <w:r>
              <w:rPr>
                <w:rFonts w:ascii="Arial" w:cs="Arial" w:eastAsia="Arial" w:hAnsi="Arial"/>
                <w:sz w:val="13"/>
                <w:szCs w:val="13"/>
                <w:color w:val="auto"/>
              </w:rPr>
              <w:t>(661,645)</w:t>
            </w:r>
          </w:p>
        </w:tc>
        <w:tc>
          <w:tcPr>
            <w:tcW w:w="100" w:type="dxa"/>
            <w:vAlign w:val="bottom"/>
          </w:tcPr>
          <w:p>
            <w:pPr>
              <w:spacing w:after="0"/>
              <w:rPr>
                <w:sz w:val="14"/>
                <w:szCs w:val="14"/>
                <w:color w:val="auto"/>
              </w:rPr>
            </w:pPr>
          </w:p>
        </w:tc>
        <w:tc>
          <w:tcPr>
            <w:tcW w:w="180" w:type="dxa"/>
            <w:vAlign w:val="bottom"/>
            <w:tcBorders>
              <w:top w:val="single" w:sz="8" w:color="00497F"/>
            </w:tcBorders>
          </w:tcPr>
          <w:p>
            <w:pPr>
              <w:spacing w:after="0"/>
              <w:rPr>
                <w:sz w:val="14"/>
                <w:szCs w:val="14"/>
                <w:color w:val="auto"/>
              </w:rPr>
            </w:pPr>
          </w:p>
        </w:tc>
        <w:tc>
          <w:tcPr>
            <w:tcW w:w="960" w:type="dxa"/>
            <w:vAlign w:val="bottom"/>
            <w:tcBorders>
              <w:top w:val="single" w:sz="8" w:color="00497F"/>
            </w:tcBorders>
          </w:tcPr>
          <w:p>
            <w:pPr>
              <w:jc w:val="right"/>
              <w:spacing w:after="0"/>
              <w:rPr>
                <w:sz w:val="20"/>
                <w:szCs w:val="20"/>
                <w:color w:val="auto"/>
              </w:rPr>
            </w:pPr>
            <w:r>
              <w:rPr>
                <w:rFonts w:ascii="Arial" w:cs="Arial" w:eastAsia="Arial" w:hAnsi="Arial"/>
                <w:sz w:val="13"/>
                <w:szCs w:val="13"/>
                <w:color w:val="auto"/>
              </w:rPr>
              <w:t>(799,683)</w:t>
            </w:r>
          </w:p>
        </w:tc>
        <w:tc>
          <w:tcPr>
            <w:tcW w:w="100" w:type="dxa"/>
            <w:vAlign w:val="bottom"/>
          </w:tcPr>
          <w:p>
            <w:pPr>
              <w:spacing w:after="0"/>
              <w:rPr>
                <w:sz w:val="14"/>
                <w:szCs w:val="14"/>
                <w:color w:val="auto"/>
              </w:rPr>
            </w:pPr>
          </w:p>
        </w:tc>
        <w:tc>
          <w:tcPr>
            <w:tcW w:w="160" w:type="dxa"/>
            <w:vAlign w:val="bottom"/>
            <w:tcBorders>
              <w:top w:val="single" w:sz="8" w:color="00497F"/>
            </w:tcBorders>
          </w:tcPr>
          <w:p>
            <w:pPr>
              <w:spacing w:after="0"/>
              <w:rPr>
                <w:sz w:val="14"/>
                <w:szCs w:val="14"/>
                <w:color w:val="auto"/>
              </w:rPr>
            </w:pPr>
          </w:p>
        </w:tc>
        <w:tc>
          <w:tcPr>
            <w:tcW w:w="980" w:type="dxa"/>
            <w:vAlign w:val="bottom"/>
            <w:tcBorders>
              <w:top w:val="single" w:sz="8" w:color="00497F"/>
            </w:tcBorders>
          </w:tcPr>
          <w:p>
            <w:pPr>
              <w:jc w:val="right"/>
              <w:spacing w:after="0"/>
              <w:rPr>
                <w:sz w:val="20"/>
                <w:szCs w:val="20"/>
                <w:color w:val="auto"/>
              </w:rPr>
            </w:pPr>
            <w:r>
              <w:rPr>
                <w:rFonts w:ascii="Arial" w:cs="Arial" w:eastAsia="Arial" w:hAnsi="Arial"/>
                <w:sz w:val="13"/>
                <w:szCs w:val="13"/>
                <w:color w:val="auto"/>
              </w:rPr>
              <w:t>(2,733,646)</w:t>
            </w:r>
          </w:p>
        </w:tc>
        <w:tc>
          <w:tcPr>
            <w:tcW w:w="100" w:type="dxa"/>
            <w:vAlign w:val="bottom"/>
          </w:tcPr>
          <w:p>
            <w:pPr>
              <w:spacing w:after="0"/>
              <w:rPr>
                <w:sz w:val="14"/>
                <w:szCs w:val="14"/>
                <w:color w:val="auto"/>
              </w:rPr>
            </w:pPr>
          </w:p>
        </w:tc>
        <w:tc>
          <w:tcPr>
            <w:tcW w:w="160" w:type="dxa"/>
            <w:vAlign w:val="bottom"/>
            <w:tcBorders>
              <w:top w:val="single" w:sz="8" w:color="00497F"/>
            </w:tcBorders>
          </w:tcPr>
          <w:p>
            <w:pPr>
              <w:spacing w:after="0"/>
              <w:rPr>
                <w:sz w:val="14"/>
                <w:szCs w:val="14"/>
                <w:color w:val="auto"/>
              </w:rPr>
            </w:pPr>
          </w:p>
        </w:tc>
        <w:tc>
          <w:tcPr>
            <w:tcW w:w="980" w:type="dxa"/>
            <w:vAlign w:val="bottom"/>
            <w:tcBorders>
              <w:top w:val="single" w:sz="8" w:color="00497F"/>
            </w:tcBorders>
          </w:tcPr>
          <w:p>
            <w:pPr>
              <w:jc w:val="right"/>
              <w:spacing w:after="0"/>
              <w:rPr>
                <w:sz w:val="20"/>
                <w:szCs w:val="20"/>
                <w:color w:val="auto"/>
              </w:rPr>
            </w:pPr>
            <w:r>
              <w:rPr>
                <w:rFonts w:ascii="Arial" w:cs="Arial" w:eastAsia="Arial" w:hAnsi="Arial"/>
                <w:sz w:val="13"/>
                <w:szCs w:val="13"/>
                <w:color w:val="auto"/>
              </w:rPr>
              <w:t>(673,092)</w:t>
            </w:r>
          </w:p>
        </w:tc>
      </w:tr>
      <w:tr>
        <w:trPr>
          <w:trHeight w:val="27"/>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7"/>
        </w:trPr>
        <w:tc>
          <w:tcPr>
            <w:tcW w:w="5060" w:type="dxa"/>
            <w:vAlign w:val="bottom"/>
            <w:shd w:val="clear" w:color="auto" w:fill="DBDBDB"/>
          </w:tcPr>
          <w:p>
            <w:pPr>
              <w:ind w:left="120"/>
              <w:spacing w:after="0"/>
              <w:rPr>
                <w:sz w:val="20"/>
                <w:szCs w:val="20"/>
                <w:color w:val="auto"/>
              </w:rPr>
            </w:pPr>
            <w:r>
              <w:rPr>
                <w:rFonts w:ascii="Arial" w:cs="Arial" w:eastAsia="Arial" w:hAnsi="Arial"/>
                <w:sz w:val="13"/>
                <w:szCs w:val="13"/>
                <w:color w:val="auto"/>
                <w:w w:val="96"/>
              </w:rPr>
              <w:t>Plus: Fair Value at Fiscal Year End of Outstanding and Unvested Equity Awards Granted</w:t>
            </w:r>
          </w:p>
        </w:tc>
        <w:tc>
          <w:tcPr>
            <w:tcW w:w="20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r>
      <w:tr>
        <w:trPr>
          <w:trHeight w:val="173"/>
        </w:trPr>
        <w:tc>
          <w:tcPr>
            <w:tcW w:w="50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3"/>
                <w:szCs w:val="13"/>
                <w:color w:val="auto"/>
              </w:rPr>
              <w:t>in the Fiscal Year</w:t>
            </w:r>
          </w:p>
        </w:tc>
        <w:tc>
          <w:tcPr>
            <w:tcW w:w="20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1,654,735</w:t>
            </w:r>
          </w:p>
        </w:tc>
        <w:tc>
          <w:tcPr>
            <w:tcW w:w="10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284,718</w:t>
            </w:r>
          </w:p>
        </w:tc>
        <w:tc>
          <w:tcPr>
            <w:tcW w:w="10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1,183,154</w:t>
            </w:r>
          </w:p>
        </w:tc>
        <w:tc>
          <w:tcPr>
            <w:tcW w:w="10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3,432,457</w:t>
            </w:r>
          </w:p>
        </w:tc>
        <w:tc>
          <w:tcPr>
            <w:tcW w:w="10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406,422</w:t>
            </w:r>
          </w:p>
        </w:tc>
      </w:tr>
      <w:tr>
        <w:trPr>
          <w:trHeight w:val="157"/>
        </w:trPr>
        <w:tc>
          <w:tcPr>
            <w:tcW w:w="5060" w:type="dxa"/>
            <w:vAlign w:val="bottom"/>
          </w:tcPr>
          <w:p>
            <w:pPr>
              <w:ind w:left="120"/>
              <w:spacing w:after="0"/>
              <w:rPr>
                <w:sz w:val="20"/>
                <w:szCs w:val="20"/>
                <w:color w:val="auto"/>
              </w:rPr>
            </w:pPr>
            <w:r>
              <w:rPr>
                <w:rFonts w:ascii="Arial" w:cs="Arial" w:eastAsia="Arial" w:hAnsi="Arial"/>
                <w:sz w:val="13"/>
                <w:szCs w:val="13"/>
                <w:color w:val="auto"/>
                <w:w w:val="96"/>
              </w:rPr>
              <w:t>Plus/(Minus): Change in Fair Value of Outstanding and Unvested Equity Awards Granted</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5060" w:type="dxa"/>
            <w:vAlign w:val="bottom"/>
          </w:tcPr>
          <w:p>
            <w:pPr>
              <w:ind w:left="120"/>
              <w:spacing w:after="0"/>
              <w:rPr>
                <w:sz w:val="20"/>
                <w:szCs w:val="20"/>
                <w:color w:val="auto"/>
              </w:rPr>
            </w:pPr>
            <w:r>
              <w:rPr>
                <w:rFonts w:ascii="Arial" w:cs="Arial" w:eastAsia="Arial" w:hAnsi="Arial"/>
                <w:sz w:val="13"/>
                <w:szCs w:val="13"/>
                <w:color w:val="auto"/>
              </w:rPr>
              <w:t>in Prior Fiscal Years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(474,030)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(1,698,995)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732,797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87,470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(642,822)</w:t>
            </w:r>
          </w:p>
        </w:tc>
      </w:tr>
      <w:tr>
        <w:trPr>
          <w:trHeight w:val="27"/>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2"/>
        </w:trPr>
        <w:tc>
          <w:tcPr>
            <w:tcW w:w="50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3"/>
                <w:szCs w:val="13"/>
                <w:color w:val="auto"/>
              </w:rPr>
              <w:t>Plus: Fair Value at Vesting of Equity Awards Granted and Vested in the Fiscal Year</w:t>
            </w:r>
          </w:p>
        </w:tc>
        <w:tc>
          <w:tcPr>
            <w:tcW w:w="20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134,691</w:t>
            </w:r>
          </w:p>
        </w:tc>
        <w:tc>
          <w:tcPr>
            <w:tcW w:w="10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(216,275)</w:t>
            </w:r>
          </w:p>
        </w:tc>
      </w:tr>
      <w:tr>
        <w:trPr>
          <w:trHeight w:val="157"/>
        </w:trPr>
        <w:tc>
          <w:tcPr>
            <w:tcW w:w="5060" w:type="dxa"/>
            <w:vAlign w:val="bottom"/>
          </w:tcPr>
          <w:p>
            <w:pPr>
              <w:ind w:left="120"/>
              <w:spacing w:after="0"/>
              <w:rPr>
                <w:sz w:val="20"/>
                <w:szCs w:val="20"/>
                <w:color w:val="auto"/>
              </w:rPr>
            </w:pPr>
            <w:r>
              <w:rPr>
                <w:rFonts w:ascii="Arial" w:cs="Arial" w:eastAsia="Arial" w:hAnsi="Arial"/>
                <w:sz w:val="13"/>
                <w:szCs w:val="13"/>
                <w:color w:val="auto"/>
                <w:w w:val="98"/>
              </w:rPr>
              <w:t>Plus/(Minus): Change in Fair Value as of the Vesting Date of Equity Awards Granted in</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5060" w:type="dxa"/>
            <w:vAlign w:val="bottom"/>
          </w:tcPr>
          <w:p>
            <w:pPr>
              <w:ind w:left="120"/>
              <w:spacing w:after="0"/>
              <w:rPr>
                <w:sz w:val="20"/>
                <w:szCs w:val="20"/>
                <w:color w:val="auto"/>
              </w:rPr>
            </w:pPr>
            <w:r>
              <w:rPr>
                <w:rFonts w:ascii="Arial" w:cs="Arial" w:eastAsia="Arial" w:hAnsi="Arial"/>
                <w:sz w:val="13"/>
                <w:szCs w:val="13"/>
                <w:color w:val="auto"/>
              </w:rPr>
              <w:t>Prior Fiscal Years that Vested in the Fiscal Year</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(50,154)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(111,825)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(79,333)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93,359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(628,744)</w:t>
            </w:r>
          </w:p>
        </w:tc>
      </w:tr>
      <w:tr>
        <w:trPr>
          <w:trHeight w:val="27"/>
        </w:trPr>
        <w:tc>
          <w:tcPr>
            <w:tcW w:w="5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7"/>
        </w:trPr>
        <w:tc>
          <w:tcPr>
            <w:tcW w:w="5060" w:type="dxa"/>
            <w:vAlign w:val="bottom"/>
            <w:shd w:val="clear" w:color="auto" w:fill="DBDBDB"/>
          </w:tcPr>
          <w:p>
            <w:pPr>
              <w:ind w:left="120"/>
              <w:spacing w:after="0"/>
              <w:rPr>
                <w:sz w:val="20"/>
                <w:szCs w:val="20"/>
                <w:color w:val="auto"/>
              </w:rPr>
            </w:pPr>
            <w:r>
              <w:rPr>
                <w:rFonts w:ascii="Arial" w:cs="Arial" w:eastAsia="Arial" w:hAnsi="Arial"/>
                <w:sz w:val="13"/>
                <w:szCs w:val="13"/>
                <w:color w:val="auto"/>
              </w:rPr>
              <w:t>(Minus): Fair Value as of the Prior Fiscal Year End of Equity Awards Granted in Prior</w:t>
            </w:r>
          </w:p>
        </w:tc>
        <w:tc>
          <w:tcPr>
            <w:tcW w:w="20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r>
      <w:tr>
        <w:trPr>
          <w:trHeight w:val="173"/>
        </w:trPr>
        <w:tc>
          <w:tcPr>
            <w:tcW w:w="50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3"/>
                <w:szCs w:val="13"/>
                <w:color w:val="auto"/>
              </w:rPr>
              <w:t>Fiscal Years that Failed to Meet Vesting Conditions in the Fiscal Year</w:t>
            </w:r>
          </w:p>
        </w:tc>
        <w:tc>
          <w:tcPr>
            <w:tcW w:w="20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(60,274)</w:t>
            </w:r>
          </w:p>
        </w:tc>
        <w:tc>
          <w:tcPr>
            <w:tcW w:w="10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(806,483)</w:t>
            </w:r>
          </w:p>
        </w:tc>
        <w:tc>
          <w:tcPr>
            <w:tcW w:w="100" w:type="dxa"/>
            <w:vAlign w:val="bottom"/>
            <w:tcBorders>
              <w:bottom w:val="single" w:sz="8" w:color="DBDBDB"/>
            </w:tcBorders>
            <w:shd w:val="clear" w:color="auto" w:fill="DBDBDB"/>
          </w:tcPr>
          <w:p>
            <w:pPr>
              <w:spacing w:after="0"/>
              <w:rPr>
                <w:sz w:val="15"/>
                <w:szCs w:val="15"/>
                <w:color w:val="auto"/>
              </w:rPr>
            </w:pPr>
          </w:p>
        </w:tc>
        <w:tc>
          <w:tcPr>
            <w:tcW w:w="18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w:t>
            </w:r>
          </w:p>
        </w:tc>
      </w:tr>
      <w:tr>
        <w:trPr>
          <w:trHeight w:val="157"/>
        </w:trPr>
        <w:tc>
          <w:tcPr>
            <w:tcW w:w="5060" w:type="dxa"/>
            <w:vAlign w:val="bottom"/>
          </w:tcPr>
          <w:p>
            <w:pPr>
              <w:ind w:left="120"/>
              <w:spacing w:after="0"/>
              <w:rPr>
                <w:sz w:val="20"/>
                <w:szCs w:val="20"/>
                <w:color w:val="auto"/>
              </w:rPr>
            </w:pPr>
            <w:r>
              <w:rPr>
                <w:rFonts w:ascii="Arial" w:cs="Arial" w:eastAsia="Arial" w:hAnsi="Arial"/>
                <w:sz w:val="13"/>
                <w:szCs w:val="13"/>
                <w:color w:val="auto"/>
              </w:rPr>
              <w:t>Plus: Value of Dividends or Other Earnings Paid on Equity Awards Not Otherwise</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5060" w:type="dxa"/>
            <w:vAlign w:val="bottom"/>
          </w:tcPr>
          <w:p>
            <w:pPr>
              <w:ind w:left="120"/>
              <w:spacing w:after="0"/>
              <w:rPr>
                <w:sz w:val="20"/>
                <w:szCs w:val="20"/>
                <w:color w:val="auto"/>
              </w:rPr>
            </w:pPr>
            <w:r>
              <w:rPr>
                <w:rFonts w:ascii="Arial" w:cs="Arial" w:eastAsia="Arial" w:hAnsi="Arial"/>
                <w:sz w:val="13"/>
                <w:szCs w:val="13"/>
                <w:color w:val="auto"/>
              </w:rPr>
              <w:t>Reflected in Total Compensation</w:t>
            </w:r>
          </w:p>
        </w:tc>
        <w:tc>
          <w:tcPr>
            <w:tcW w:w="2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
        </w:trPr>
        <w:tc>
          <w:tcPr>
            <w:tcW w:w="5060" w:type="dxa"/>
            <w:vAlign w:val="bottom"/>
            <w:tcBorders>
              <w:bottom w:val="single" w:sz="8" w:color="00497F"/>
            </w:tcBorders>
          </w:tcPr>
          <w:p>
            <w:pPr>
              <w:spacing w:after="0"/>
              <w:rPr>
                <w:sz w:val="2"/>
                <w:szCs w:val="2"/>
                <w:color w:val="auto"/>
              </w:rPr>
            </w:pPr>
          </w:p>
        </w:tc>
        <w:tc>
          <w:tcPr>
            <w:tcW w:w="200" w:type="dxa"/>
            <w:vAlign w:val="bottom"/>
            <w:tcBorders>
              <w:bottom w:val="single" w:sz="8" w:color="00497F"/>
            </w:tcBorders>
          </w:tcPr>
          <w:p>
            <w:pPr>
              <w:spacing w:after="0"/>
              <w:rPr>
                <w:sz w:val="2"/>
                <w:szCs w:val="2"/>
                <w:color w:val="auto"/>
              </w:rPr>
            </w:pPr>
          </w:p>
        </w:tc>
        <w:tc>
          <w:tcPr>
            <w:tcW w:w="960" w:type="dxa"/>
            <w:vAlign w:val="bottom"/>
            <w:tcBorders>
              <w:bottom w:val="single" w:sz="8" w:color="00497F"/>
            </w:tcBorders>
          </w:tcPr>
          <w:p>
            <w:pPr>
              <w:spacing w:after="0"/>
              <w:rPr>
                <w:sz w:val="2"/>
                <w:szCs w:val="2"/>
                <w:color w:val="auto"/>
              </w:rPr>
            </w:pPr>
          </w:p>
        </w:tc>
        <w:tc>
          <w:tcPr>
            <w:tcW w:w="100" w:type="dxa"/>
            <w:vAlign w:val="bottom"/>
            <w:tcBorders>
              <w:bottom w:val="single" w:sz="8" w:color="00497F"/>
            </w:tcBorders>
          </w:tcPr>
          <w:p>
            <w:pPr>
              <w:spacing w:after="0"/>
              <w:rPr>
                <w:sz w:val="2"/>
                <w:szCs w:val="2"/>
                <w:color w:val="auto"/>
              </w:rPr>
            </w:pPr>
          </w:p>
        </w:tc>
        <w:tc>
          <w:tcPr>
            <w:tcW w:w="180" w:type="dxa"/>
            <w:vAlign w:val="bottom"/>
            <w:tcBorders>
              <w:bottom w:val="single" w:sz="8" w:color="00497F"/>
            </w:tcBorders>
          </w:tcPr>
          <w:p>
            <w:pPr>
              <w:spacing w:after="0"/>
              <w:rPr>
                <w:sz w:val="2"/>
                <w:szCs w:val="2"/>
                <w:color w:val="auto"/>
              </w:rPr>
            </w:pPr>
          </w:p>
        </w:tc>
        <w:tc>
          <w:tcPr>
            <w:tcW w:w="960" w:type="dxa"/>
            <w:vAlign w:val="bottom"/>
            <w:tcBorders>
              <w:bottom w:val="single" w:sz="8" w:color="00497F"/>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80" w:type="dxa"/>
            <w:vAlign w:val="bottom"/>
            <w:tcBorders>
              <w:bottom w:val="single" w:sz="8" w:color="00497F"/>
            </w:tcBorders>
          </w:tcPr>
          <w:p>
            <w:pPr>
              <w:spacing w:after="0"/>
              <w:rPr>
                <w:sz w:val="2"/>
                <w:szCs w:val="2"/>
                <w:color w:val="auto"/>
              </w:rPr>
            </w:pPr>
          </w:p>
        </w:tc>
        <w:tc>
          <w:tcPr>
            <w:tcW w:w="960" w:type="dxa"/>
            <w:vAlign w:val="bottom"/>
            <w:tcBorders>
              <w:bottom w:val="single" w:sz="8" w:color="00497F"/>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00497F"/>
            </w:tcBorders>
          </w:tcPr>
          <w:p>
            <w:pPr>
              <w:spacing w:after="0"/>
              <w:rPr>
                <w:sz w:val="2"/>
                <w:szCs w:val="2"/>
                <w:color w:val="auto"/>
              </w:rPr>
            </w:pPr>
          </w:p>
        </w:tc>
        <w:tc>
          <w:tcPr>
            <w:tcW w:w="980" w:type="dxa"/>
            <w:vAlign w:val="bottom"/>
            <w:tcBorders>
              <w:bottom w:val="single" w:sz="8" w:color="00497F"/>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00497F"/>
            </w:tcBorders>
          </w:tcPr>
          <w:p>
            <w:pPr>
              <w:spacing w:after="0"/>
              <w:rPr>
                <w:sz w:val="2"/>
                <w:szCs w:val="2"/>
                <w:color w:val="auto"/>
              </w:rPr>
            </w:pPr>
          </w:p>
        </w:tc>
        <w:tc>
          <w:tcPr>
            <w:tcW w:w="980" w:type="dxa"/>
            <w:vAlign w:val="bottom"/>
            <w:tcBorders>
              <w:bottom w:val="single" w:sz="8" w:color="00497F"/>
            </w:tcBorders>
          </w:tcPr>
          <w:p>
            <w:pPr>
              <w:spacing w:after="0"/>
              <w:rPr>
                <w:sz w:val="2"/>
                <w:szCs w:val="2"/>
                <w:color w:val="auto"/>
              </w:rPr>
            </w:pPr>
          </w:p>
        </w:tc>
      </w:tr>
      <w:tr>
        <w:trPr>
          <w:trHeight w:val="195"/>
        </w:trPr>
        <w:tc>
          <w:tcPr>
            <w:tcW w:w="50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3"/>
                <w:szCs w:val="13"/>
                <w:color w:val="auto"/>
              </w:rPr>
              <w:t>Total Adjustments (subtotal)</w:t>
            </w:r>
          </w:p>
        </w:tc>
        <w:tc>
          <w:tcPr>
            <w:tcW w:w="20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(1,388,673)</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(2,994,230)</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1,036,935</w:t>
            </w:r>
          </w:p>
        </w:tc>
        <w:tc>
          <w:tcPr>
            <w:tcW w:w="10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879,640</w:t>
            </w:r>
          </w:p>
        </w:tc>
        <w:tc>
          <w:tcPr>
            <w:tcW w:w="10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jc w:val="right"/>
              <w:ind w:right="1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(1,754,511)</w:t>
            </w:r>
          </w:p>
        </w:tc>
      </w:tr>
      <w:tr>
        <w:trPr>
          <w:trHeight w:val="174"/>
        </w:trPr>
        <w:tc>
          <w:tcPr>
            <w:tcW w:w="5060" w:type="dxa"/>
            <w:vAlign w:val="bottom"/>
            <w:tcBorders>
              <w:top w:val="single" w:sz="8" w:color="00497F"/>
            </w:tcBorders>
          </w:tcPr>
          <w:p>
            <w:pPr>
              <w:ind w:left="340"/>
              <w:spacing w:after="0"/>
              <w:rPr>
                <w:sz w:val="20"/>
                <w:szCs w:val="20"/>
                <w:color w:val="auto"/>
              </w:rPr>
            </w:pPr>
            <w:r>
              <w:rPr>
                <w:rFonts w:ascii="Arial" w:cs="Arial" w:eastAsia="Arial" w:hAnsi="Arial"/>
                <w:sz w:val="13"/>
                <w:szCs w:val="13"/>
                <w:b w:val="1"/>
                <w:bCs w:val="1"/>
                <w:color w:val="auto"/>
              </w:rPr>
              <w:t>Compensation Actually Paid</w:t>
            </w:r>
          </w:p>
        </w:tc>
        <w:tc>
          <w:tcPr>
            <w:tcW w:w="200" w:type="dxa"/>
            <w:vAlign w:val="bottom"/>
            <w:tcBorders>
              <w:top w:val="single" w:sz="8" w:color="00497F"/>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1,649,508</w:t>
            </w:r>
          </w:p>
        </w:tc>
        <w:tc>
          <w:tcPr>
            <w:tcW w:w="100" w:type="dxa"/>
            <w:vAlign w:val="bottom"/>
          </w:tcPr>
          <w:p>
            <w:pPr>
              <w:spacing w:after="0"/>
              <w:rPr>
                <w:sz w:val="15"/>
                <w:szCs w:val="15"/>
                <w:color w:val="auto"/>
              </w:rPr>
            </w:pPr>
          </w:p>
        </w:tc>
        <w:tc>
          <w:tcPr>
            <w:tcW w:w="180" w:type="dxa"/>
            <w:vAlign w:val="bottom"/>
            <w:tcBorders>
              <w:top w:val="single" w:sz="8" w:color="00497F"/>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(1,699,238)</w:t>
            </w:r>
          </w:p>
        </w:tc>
        <w:tc>
          <w:tcPr>
            <w:tcW w:w="100" w:type="dxa"/>
            <w:vAlign w:val="bottom"/>
          </w:tcPr>
          <w:p>
            <w:pPr>
              <w:spacing w:after="0"/>
              <w:rPr>
                <w:sz w:val="15"/>
                <w:szCs w:val="15"/>
                <w:color w:val="auto"/>
              </w:rPr>
            </w:pPr>
          </w:p>
        </w:tc>
        <w:tc>
          <w:tcPr>
            <w:tcW w:w="180" w:type="dxa"/>
            <w:vAlign w:val="bottom"/>
            <w:tcBorders>
              <w:top w:val="single" w:sz="8" w:color="00497F"/>
            </w:tcBorders>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2,113,379</w:t>
            </w:r>
          </w:p>
        </w:tc>
        <w:tc>
          <w:tcPr>
            <w:tcW w:w="100" w:type="dxa"/>
            <w:vAlign w:val="bottom"/>
          </w:tcPr>
          <w:p>
            <w:pPr>
              <w:spacing w:after="0"/>
              <w:rPr>
                <w:sz w:val="15"/>
                <w:szCs w:val="15"/>
                <w:color w:val="auto"/>
              </w:rPr>
            </w:pPr>
          </w:p>
        </w:tc>
        <w:tc>
          <w:tcPr>
            <w:tcW w:w="160" w:type="dxa"/>
            <w:vAlign w:val="bottom"/>
            <w:tcBorders>
              <w:top w:val="single" w:sz="8" w:color="00497F"/>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4,727,886</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00497F"/>
            </w:tcBorders>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00497F"/>
            </w:tcBorders>
          </w:tcPr>
          <w:p>
            <w:pPr>
              <w:jc w:val="right"/>
              <w:spacing w:after="0"/>
              <w:rPr>
                <w:sz w:val="20"/>
                <w:szCs w:val="20"/>
                <w:color w:val="auto"/>
              </w:rPr>
            </w:pPr>
            <w:r>
              <w:rPr>
                <w:rFonts w:ascii="Arial" w:cs="Arial" w:eastAsia="Arial" w:hAnsi="Arial"/>
                <w:sz w:val="13"/>
                <w:szCs w:val="13"/>
                <w:b w:val="1"/>
                <w:bCs w:val="1"/>
                <w:color w:val="auto"/>
              </w:rPr>
              <w:t>(383,173)</w:t>
            </w:r>
          </w:p>
        </w:tc>
      </w:tr>
      <w:tr>
        <w:trPr>
          <w:trHeight w:val="21"/>
        </w:trPr>
        <w:tc>
          <w:tcPr>
            <w:tcW w:w="5060" w:type="dxa"/>
            <w:vAlign w:val="bottom"/>
            <w:tcBorders>
              <w:bottom w:val="single" w:sz="8" w:color="00497F"/>
            </w:tcBorders>
          </w:tcPr>
          <w:p>
            <w:pPr>
              <w:spacing w:after="0" w:line="20" w:lineRule="exact"/>
              <w:rPr>
                <w:sz w:val="1"/>
                <w:szCs w:val="1"/>
                <w:color w:val="auto"/>
              </w:rPr>
            </w:pPr>
          </w:p>
        </w:tc>
        <w:tc>
          <w:tcPr>
            <w:tcW w:w="200" w:type="dxa"/>
            <w:vAlign w:val="bottom"/>
            <w:tcBorders>
              <w:bottom w:val="single" w:sz="8" w:color="00497F"/>
            </w:tcBorders>
          </w:tcPr>
          <w:p>
            <w:pPr>
              <w:spacing w:after="0" w:line="20" w:lineRule="exact"/>
              <w:rPr>
                <w:sz w:val="1"/>
                <w:szCs w:val="1"/>
                <w:color w:val="auto"/>
              </w:rPr>
            </w:pPr>
          </w:p>
        </w:tc>
        <w:tc>
          <w:tcPr>
            <w:tcW w:w="960" w:type="dxa"/>
            <w:vAlign w:val="bottom"/>
            <w:tcBorders>
              <w:bottom w:val="single" w:sz="8" w:color="00497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00497F"/>
            </w:tcBorders>
          </w:tcPr>
          <w:p>
            <w:pPr>
              <w:spacing w:after="0" w:line="20" w:lineRule="exact"/>
              <w:rPr>
                <w:sz w:val="1"/>
                <w:szCs w:val="1"/>
                <w:color w:val="auto"/>
              </w:rPr>
            </w:pPr>
          </w:p>
        </w:tc>
        <w:tc>
          <w:tcPr>
            <w:tcW w:w="960" w:type="dxa"/>
            <w:vAlign w:val="bottom"/>
            <w:tcBorders>
              <w:bottom w:val="single" w:sz="8" w:color="00497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00497F"/>
            </w:tcBorders>
          </w:tcPr>
          <w:p>
            <w:pPr>
              <w:spacing w:after="0" w:line="20" w:lineRule="exact"/>
              <w:rPr>
                <w:sz w:val="1"/>
                <w:szCs w:val="1"/>
                <w:color w:val="auto"/>
              </w:rPr>
            </w:pPr>
          </w:p>
        </w:tc>
        <w:tc>
          <w:tcPr>
            <w:tcW w:w="960" w:type="dxa"/>
            <w:vAlign w:val="bottom"/>
            <w:tcBorders>
              <w:bottom w:val="single" w:sz="8" w:color="00497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00497F"/>
            </w:tcBorders>
          </w:tcPr>
          <w:p>
            <w:pPr>
              <w:spacing w:after="0" w:line="20" w:lineRule="exact"/>
              <w:rPr>
                <w:sz w:val="1"/>
                <w:szCs w:val="1"/>
                <w:color w:val="auto"/>
              </w:rPr>
            </w:pPr>
          </w:p>
        </w:tc>
        <w:tc>
          <w:tcPr>
            <w:tcW w:w="980" w:type="dxa"/>
            <w:vAlign w:val="bottom"/>
            <w:tcBorders>
              <w:bottom w:val="single" w:sz="8" w:color="00497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00497F"/>
            </w:tcBorders>
          </w:tcPr>
          <w:p>
            <w:pPr>
              <w:spacing w:after="0" w:line="20" w:lineRule="exact"/>
              <w:rPr>
                <w:sz w:val="1"/>
                <w:szCs w:val="1"/>
                <w:color w:val="auto"/>
              </w:rPr>
            </w:pPr>
          </w:p>
        </w:tc>
        <w:tc>
          <w:tcPr>
            <w:tcW w:w="980" w:type="dxa"/>
            <w:vAlign w:val="bottom"/>
            <w:tcBorders>
              <w:bottom w:val="single" w:sz="8" w:color="00497F"/>
            </w:tcBorders>
          </w:tcPr>
          <w:p>
            <w:pPr>
              <w:spacing w:after="0" w:line="20" w:lineRule="exact"/>
              <w:rPr>
                <w:sz w:val="1"/>
                <w:szCs w:val="1"/>
                <w:color w:val="auto"/>
              </w:rPr>
            </w:pPr>
          </w:p>
        </w:tc>
      </w:tr>
    </w:tbl>
    <w:p>
      <w:pPr>
        <w:spacing w:after="0" w:line="125" w:lineRule="exact"/>
        <w:rPr>
          <w:sz w:val="20"/>
          <w:szCs w:val="20"/>
          <w:color w:val="auto"/>
        </w:rPr>
      </w:pPr>
    </w:p>
    <w:p>
      <w:pPr>
        <w:ind w:left="340" w:hanging="333"/>
        <w:spacing w:after="0" w:line="300" w:lineRule="auto"/>
        <w:tabs>
          <w:tab w:leader="none" w:pos="40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the relevant fiscal year, represents the cumulative TSR of (i) the Company and (ii) the S&amp;P 600 Hotels Restaurants and Leisure index (“Peer Group”), of which our common stock was a member during fiscal 2025, assuming an initial investment of $100 on the last trading day prior to the first period presented (fiscal 2021).</w:t>
      </w:r>
    </w:p>
    <w:p>
      <w:pPr>
        <w:ind w:left="340" w:hanging="333"/>
        <w:spacing w:after="0" w:line="303" w:lineRule="auto"/>
        <w:tabs>
          <w:tab w:leader="none" w:pos="362"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Company has determined Adjusted EBITDA to be the most important financial performance measure used to link Company performance to CAP to our PEO and Non-PEO NEOs in fiscal 2025. Adjusted EBITDA is a non-GAAP financial measure. See Appendix A for information on how we define Adjusted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Pay vs. Performance Financial Measures</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 significant portion of our NEOs’ compensation consists of equity awards. We believe the financial performance measures shown below, all of which are performance objectives used in our executive compensation program, were the most important in linking compensation actually paid to our NEOs over the periods presented.</w:t>
      </w:r>
    </w:p>
    <w:p>
      <w:pPr>
        <w:spacing w:after="0" w:line="62" w:lineRule="exact"/>
        <w:rPr>
          <w:sz w:val="20"/>
          <w:szCs w:val="20"/>
          <w:color w:val="auto"/>
        </w:rPr>
      </w:pPr>
    </w:p>
    <w:p>
      <w:pPr>
        <w:ind w:left="640" w:hanging="310"/>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TSR/Company Share Price</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Adjusted EBITDA (see discussion of how Adjusted EBITDA is calculated at </w:t>
      </w:r>
      <w:r>
        <w:rPr>
          <w:rFonts w:ascii="Arial" w:cs="Arial" w:eastAsia="Arial" w:hAnsi="Arial"/>
          <w:sz w:val="18"/>
          <w:szCs w:val="18"/>
          <w:i w:val="1"/>
          <w:iCs w:val="1"/>
          <w:u w:val="single" w:color="auto"/>
          <w:color w:val="0000FF"/>
        </w:rPr>
        <w:t>Appendix A</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Enterprise ROIC</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Total Revenue</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Same Store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588645</wp:posOffset>
            </wp:positionV>
            <wp:extent cx="71329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46</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003B71"/>
        </w:rPr>
        <w:t>Compensation Actually Paid Versus Company TSR and Peer Group TSR</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following graph reflects the relationship between PEO (aggregated) and average non-PEO NEO compensation actually paid versus the Company's cumulative TSR and the Company's Peer Group TSR, assuming an initial investment of $100 at the beginning of fiscal year 2020, for fiscal years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50800</wp:posOffset>
            </wp:positionV>
            <wp:extent cx="4692650" cy="27730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92650" cy="2773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Compensation Actually Paid Versus Net Income (Loss) and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reflects the relationship between PEO (aggregated) and average non-PEO NEO compensation actually paid versus the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Company's net income (loss) and Adjusted EBITDA for fiscal years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73660</wp:posOffset>
            </wp:positionV>
            <wp:extent cx="4692650" cy="27730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92650" cy="27730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3623310</wp:posOffset>
            </wp:positionV>
            <wp:extent cx="71329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47</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25"/>
          <w:szCs w:val="25"/>
          <w:b w:val="1"/>
          <w:bCs w:val="1"/>
          <w:color w:val="4C4C4C"/>
        </w:rPr>
        <w:t>Employment Agreements and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have entered into employment agreements with Messrs. Lal, Harper, Bautista, Klohn and Wehner to reflect the then current compensation arrangements for Messrs. Lal, Harper, Bautista, Klohn and Wehner and to include additional restrictive covenants, including a one-year non-competition provision and a two-year non-solicitation and non -hire provision. The employment agreement for each of Messrs. Lal, Harper, Bautista, Klohn and Wehner provides for an initial term of one year, subject to automatic one-year renewals unless terminated earlier by the officer or us. Under the terms of the employment agreements, each of Messrs. Lal, Harper, Bautista, Klohn and Wehner is entitled to a minimum base salary and may receive an annual salary increase commensurate with such officer’s performance during the year, as determined by our Board of Directors. In addition, the employment agreements contain provisions providing for severance payments and continuation of benefits under certain circumstances, including termination by us without Cause (as defined in the employment agreement), upon execution of a general release of claims in favor of us, as discussed in further detail under </w:t>
      </w:r>
      <w:r>
        <w:rPr>
          <w:rFonts w:ascii="Arial" w:cs="Arial" w:eastAsia="Arial" w:hAnsi="Arial"/>
          <w:sz w:val="18"/>
          <w:szCs w:val="18"/>
          <w:i w:val="1"/>
          <w:iCs w:val="1"/>
          <w:u w:val="single" w:color="auto"/>
          <w:color w:val="0000FF"/>
        </w:rPr>
        <w:t>Potential Payments Upon Termination or</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 xml:space="preserve">Change-in-Control — Payments Pursuant to Employment Agreements </w:t>
      </w:r>
      <w:r>
        <w:rPr>
          <w:rFonts w:ascii="Arial" w:cs="Arial" w:eastAsia="Arial" w:hAnsi="Arial"/>
          <w:sz w:val="18"/>
          <w:szCs w:val="18"/>
          <w:u w:val="single" w:color="auto"/>
          <w:color w:val="0000FF"/>
        </w:rPr>
        <w:t>below.</w:t>
      </w:r>
    </w:p>
    <w:p>
      <w:pPr>
        <w:spacing w:after="0" w:line="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entered into a letter agreement with Mr. Sheehan in connection with his appointment as Interim Chief Executive Officer, effective December 10, 2024, as supplemented by the Supplement to Letter Agreement, dated May 2, 2025 (as supplemented, the “Sheehan Agreement”). Pursuant to the Sheehan Agreement, Mr. Sheehan was entitled to receive: (i) a base salary at an annual rate of $ 850,000, (ii) a prorated annual bonus based on his service as Interim Chief Executive Officer, with a target bonus of 100% of his base salary, (iii) a grant of RSUs with a grant date value of $2,000,000, which vested in full upon the commencement date of Mr. Lal’s employment as Chief Executive Officer; (iv) a grant of PSUs with respect to up to 20,000 shares of common stock having a one-year performance period that were to be earned only upon achieving specified stock price levels and vesting terms established by the Compensation Committee; (v) a grant of PSUs with a grant date value of $2,000,000 having a one-year performance period that were to be earned only upon achieving specified stock price levels and vesting terms established by the Compensation Committee, (vi) a grant of options with a grant date value of $1,872,000, which vested and became immediately exercisable upon shareholder approval of the 2025 Plan and remain exercisable until May 1, 2027 and (vii) reimbursement of business expenses, including certain commuting and housing expenses (not to exceed $15,000 per month in the aggregate absent further approval). The Sheehan Agreement also provided for customary restrictive covenants, including non -compete, non-solicit and non-hire, and confidentiality covenants. Upon the appointment of Mr. Lal as the Company’s Chief Executive Officer, Mr. Sheehan transitioned back to his position as Chairman of the Board effective July 15, 2025. As a result, Mr. Sheehan is now compensated for his services as director pursuant to our non-employee director compensation policy.</w:t>
      </w:r>
    </w:p>
    <w:p>
      <w:pPr>
        <w:spacing w:after="0" w:line="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executive officers are also entitled to participate in the Executive Incentive Plan, the 2025 Plan and in any profit sharing, qualified and nonqualified retirement plans and any health, life, accident, disability insurance, sick leave, supplemental medical reimbursement insurance, or benefit plans or programs as we may choose to make available now or in the future.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Potential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following is a discussion of the rights of the NEOs under the 2014 Omnibus Incentive Plan (“2014 Plan”) (as to outstanding equity grants made to them before October 2024) and/or the 2025 Plan (as to outstanding equity grants made to them after October 2024) and the employment agreements with Messrs. Lal, Harper, Bautista, Klohn and Wehner following a termination of employment or change of control.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Payments Pursuant to Benefits Plans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following tables address the treatment of equity awards granted under the 2014 Plan, the 2025 Plan, and the Inducement Plan, as applicable, following the specified triggering events.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B71"/>
        </w:rPr>
        <w:t>Stock Options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Borders>
              <w:bottom w:val="single" w:sz="8" w:color="003B71"/>
            </w:tcBorders>
          </w:tcPr>
          <w:p>
            <w:pPr>
              <w:spacing w:after="0"/>
              <w:rPr>
                <w:sz w:val="17"/>
                <w:szCs w:val="17"/>
                <w:color w:val="auto"/>
              </w:rPr>
            </w:pPr>
          </w:p>
        </w:tc>
        <w:tc>
          <w:tcPr>
            <w:tcW w:w="2880" w:type="dxa"/>
            <w:vAlign w:val="bottom"/>
            <w:tcBorders>
              <w:bottom w:val="single" w:sz="8" w:color="003B71"/>
            </w:tcBorders>
            <w:gridSpan w:val="2"/>
          </w:tcPr>
          <w:p>
            <w:pPr>
              <w:spacing w:after="0"/>
              <w:rPr>
                <w:sz w:val="20"/>
                <w:szCs w:val="20"/>
                <w:color w:val="auto"/>
              </w:rPr>
            </w:pPr>
            <w:r>
              <w:rPr>
                <w:rFonts w:ascii="Arial" w:cs="Arial" w:eastAsia="Arial" w:hAnsi="Arial"/>
                <w:sz w:val="14"/>
                <w:szCs w:val="14"/>
                <w:b w:val="1"/>
                <w:bCs w:val="1"/>
                <w:color w:val="003B71"/>
              </w:rPr>
              <w:t>Reason for Termination</w:t>
            </w:r>
          </w:p>
        </w:tc>
        <w:tc>
          <w:tcPr>
            <w:tcW w:w="3860" w:type="dxa"/>
            <w:vAlign w:val="bottom"/>
            <w:tcBorders>
              <w:bottom w:val="single" w:sz="8" w:color="003B71"/>
            </w:tcBorders>
          </w:tcPr>
          <w:p>
            <w:pPr>
              <w:ind w:left="2400"/>
              <w:spacing w:after="0"/>
              <w:rPr>
                <w:sz w:val="20"/>
                <w:szCs w:val="20"/>
                <w:color w:val="auto"/>
              </w:rPr>
            </w:pPr>
            <w:r>
              <w:rPr>
                <w:rFonts w:ascii="Arial" w:cs="Arial" w:eastAsia="Arial" w:hAnsi="Arial"/>
                <w:sz w:val="14"/>
                <w:szCs w:val="14"/>
                <w:b w:val="1"/>
                <w:bCs w:val="1"/>
                <w:color w:val="003B71"/>
              </w:rPr>
              <w:t>Unvested</w:t>
            </w:r>
          </w:p>
        </w:tc>
        <w:tc>
          <w:tcPr>
            <w:tcW w:w="4480" w:type="dxa"/>
            <w:vAlign w:val="bottom"/>
            <w:tcBorders>
              <w:bottom w:val="single" w:sz="8" w:color="003B71"/>
            </w:tcBorders>
          </w:tcPr>
          <w:p>
            <w:pPr>
              <w:ind w:left="2400"/>
              <w:spacing w:after="0"/>
              <w:rPr>
                <w:sz w:val="20"/>
                <w:szCs w:val="20"/>
                <w:color w:val="auto"/>
              </w:rPr>
            </w:pPr>
            <w:r>
              <w:rPr>
                <w:rFonts w:ascii="Arial" w:cs="Arial" w:eastAsia="Arial" w:hAnsi="Arial"/>
                <w:sz w:val="14"/>
                <w:szCs w:val="14"/>
                <w:b w:val="1"/>
                <w:bCs w:val="1"/>
                <w:color w:val="003B71"/>
              </w:rPr>
              <w:t>Vested</w:t>
            </w:r>
          </w:p>
        </w:tc>
      </w:tr>
      <w:tr>
        <w:trPr>
          <w:trHeight w:val="188"/>
        </w:trPr>
        <w:tc>
          <w:tcPr>
            <w:tcW w:w="20" w:type="dxa"/>
            <w:vAlign w:val="bottom"/>
          </w:tcPr>
          <w:p>
            <w:pPr>
              <w:spacing w:after="0"/>
              <w:rPr>
                <w:sz w:val="16"/>
                <w:szCs w:val="16"/>
                <w:color w:val="auto"/>
              </w:rPr>
            </w:pPr>
          </w:p>
        </w:tc>
        <w:tc>
          <w:tcPr>
            <w:tcW w:w="2880" w:type="dxa"/>
            <w:vAlign w:val="bottom"/>
            <w:gridSpan w:val="2"/>
          </w:tcPr>
          <w:p>
            <w:pPr>
              <w:spacing w:after="0"/>
              <w:rPr>
                <w:sz w:val="20"/>
                <w:szCs w:val="20"/>
                <w:color w:val="auto"/>
              </w:rPr>
            </w:pPr>
            <w:r>
              <w:rPr>
                <w:rFonts w:ascii="Arial" w:cs="Arial" w:eastAsia="Arial" w:hAnsi="Arial"/>
                <w:sz w:val="16"/>
                <w:szCs w:val="16"/>
                <w:b w:val="1"/>
                <w:bCs w:val="1"/>
                <w:color w:val="003B71"/>
              </w:rPr>
              <w:t>Fiscal 2020 &amp; prior grants</w:t>
            </w:r>
          </w:p>
        </w:tc>
        <w:tc>
          <w:tcPr>
            <w:tcW w:w="3860" w:type="dxa"/>
            <w:vAlign w:val="bottom"/>
          </w:tcPr>
          <w:p>
            <w:pPr>
              <w:spacing w:after="0"/>
              <w:rPr>
                <w:sz w:val="16"/>
                <w:szCs w:val="16"/>
                <w:color w:val="auto"/>
              </w:rPr>
            </w:pPr>
          </w:p>
        </w:tc>
        <w:tc>
          <w:tcPr>
            <w:tcW w:w="44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1980" w:type="dxa"/>
            <w:vAlign w:val="bottom"/>
            <w:tcBorders>
              <w:top w:val="single" w:sz="8" w:color="003B71"/>
            </w:tcBorders>
          </w:tcPr>
          <w:p>
            <w:pPr>
              <w:spacing w:after="0"/>
              <w:rPr>
                <w:sz w:val="2"/>
                <w:szCs w:val="2"/>
                <w:color w:val="auto"/>
              </w:rPr>
            </w:pPr>
          </w:p>
        </w:tc>
        <w:tc>
          <w:tcPr>
            <w:tcW w:w="9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42"/>
        </w:trPr>
        <w:tc>
          <w:tcPr>
            <w:tcW w:w="20" w:type="dxa"/>
            <w:vAlign w:val="bottom"/>
            <w:shd w:val="clear" w:color="auto" w:fill="E5E5E5"/>
          </w:tcPr>
          <w:p>
            <w:pPr>
              <w:spacing w:after="0"/>
              <w:rPr>
                <w:sz w:val="21"/>
                <w:szCs w:val="21"/>
                <w:color w:val="auto"/>
              </w:rPr>
            </w:pPr>
          </w:p>
        </w:tc>
        <w:tc>
          <w:tcPr>
            <w:tcW w:w="288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For cause</w:t>
            </w:r>
          </w:p>
        </w:tc>
        <w:tc>
          <w:tcPr>
            <w:tcW w:w="3860" w:type="dxa"/>
            <w:vAlign w:val="bottom"/>
            <w:shd w:val="clear" w:color="auto" w:fill="E5E5E5"/>
          </w:tcPr>
          <w:p>
            <w:pPr>
              <w:ind w:left="900"/>
              <w:spacing w:after="0"/>
              <w:rPr>
                <w:sz w:val="20"/>
                <w:szCs w:val="20"/>
                <w:color w:val="auto"/>
              </w:rPr>
            </w:pPr>
            <w:r>
              <w:rPr>
                <w:rFonts w:ascii="Arial" w:cs="Arial" w:eastAsia="Arial" w:hAnsi="Arial"/>
                <w:sz w:val="16"/>
                <w:szCs w:val="16"/>
                <w:color w:val="auto"/>
              </w:rPr>
              <w:t>Immediate forfeiture</w:t>
            </w:r>
          </w:p>
        </w:tc>
        <w:tc>
          <w:tcPr>
            <w:tcW w:w="4480" w:type="dxa"/>
            <w:vAlign w:val="bottom"/>
            <w:shd w:val="clear" w:color="auto" w:fill="E5E5E5"/>
          </w:tcPr>
          <w:p>
            <w:pPr>
              <w:ind w:left="820"/>
              <w:spacing w:after="0"/>
              <w:rPr>
                <w:sz w:val="20"/>
                <w:szCs w:val="20"/>
                <w:color w:val="auto"/>
              </w:rPr>
            </w:pPr>
            <w:r>
              <w:rPr>
                <w:rFonts w:ascii="Arial" w:cs="Arial" w:eastAsia="Arial" w:hAnsi="Arial"/>
                <w:sz w:val="16"/>
                <w:szCs w:val="16"/>
                <w:color w:val="auto"/>
              </w:rPr>
              <w:t>Immediate forfeiture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71329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48</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Death or disability</w:t>
            </w:r>
          </w:p>
        </w:tc>
        <w:tc>
          <w:tcPr>
            <w:tcW w:w="3700" w:type="dxa"/>
            <w:vAlign w:val="bottom"/>
          </w:tcPr>
          <w:p>
            <w:pPr>
              <w:ind w:left="120"/>
              <w:spacing w:after="0"/>
              <w:rPr>
                <w:sz w:val="20"/>
                <w:szCs w:val="20"/>
                <w:color w:val="auto"/>
              </w:rPr>
            </w:pPr>
            <w:r>
              <w:rPr>
                <w:rFonts w:ascii="Arial" w:cs="Arial" w:eastAsia="Arial" w:hAnsi="Arial"/>
                <w:sz w:val="16"/>
                <w:szCs w:val="16"/>
                <w:color w:val="auto"/>
              </w:rPr>
              <w:t>Immediate vesting</w:t>
            </w:r>
          </w:p>
        </w:tc>
        <w:tc>
          <w:tcPr>
            <w:tcW w:w="3860" w:type="dxa"/>
            <w:vAlign w:val="bottom"/>
          </w:tcPr>
          <w:p>
            <w:pPr>
              <w:ind w:left="200"/>
              <w:spacing w:after="0"/>
              <w:rPr>
                <w:sz w:val="20"/>
                <w:szCs w:val="20"/>
                <w:color w:val="auto"/>
              </w:rPr>
            </w:pPr>
            <w:r>
              <w:rPr>
                <w:rFonts w:ascii="Arial" w:cs="Arial" w:eastAsia="Arial" w:hAnsi="Arial"/>
                <w:sz w:val="16"/>
                <w:szCs w:val="16"/>
                <w:color w:val="auto"/>
              </w:rPr>
              <w:t>Exercisable until earlier of (i) one year after death</w:t>
            </w:r>
          </w:p>
        </w:tc>
      </w:tr>
      <w:tr>
        <w:trPr>
          <w:trHeight w:val="214"/>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6"/>
                <w:szCs w:val="16"/>
                <w:color w:val="auto"/>
              </w:rPr>
              <w:t>or disability or (ii) the expiration of option term</w:t>
            </w: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42"/>
        </w:trPr>
        <w:tc>
          <w:tcPr>
            <w:tcW w:w="20" w:type="dxa"/>
            <w:vAlign w:val="bottom"/>
            <w:shd w:val="clear" w:color="auto" w:fill="E5E5E5"/>
          </w:tcPr>
          <w:p>
            <w:pPr>
              <w:spacing w:after="0"/>
              <w:rPr>
                <w:sz w:val="21"/>
                <w:szCs w:val="21"/>
                <w:color w:val="auto"/>
              </w:rPr>
            </w:pPr>
          </w:p>
        </w:tc>
        <w:tc>
          <w:tcPr>
            <w:tcW w:w="36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Retirement</w:t>
            </w:r>
            <w:r>
              <w:rPr>
                <w:rFonts w:ascii="Arial" w:cs="Arial" w:eastAsia="Arial" w:hAnsi="Arial"/>
                <w:sz w:val="20"/>
                <w:szCs w:val="20"/>
                <w:color w:val="auto"/>
                <w:vertAlign w:val="superscript"/>
              </w:rPr>
              <w:t>(1)</w:t>
            </w: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Continued vesting per grant terms</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Exercisable for remainder of option term</w:t>
            </w:r>
          </w:p>
        </w:tc>
      </w:tr>
      <w:tr>
        <w:trPr>
          <w:trHeight w:val="242"/>
        </w:trPr>
        <w:tc>
          <w:tcPr>
            <w:tcW w:w="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Change of control</w:t>
            </w:r>
            <w:r>
              <w:rPr>
                <w:rFonts w:ascii="Arial" w:cs="Arial" w:eastAsia="Arial" w:hAnsi="Arial"/>
                <w:sz w:val="20"/>
                <w:szCs w:val="20"/>
                <w:color w:val="auto"/>
                <w:vertAlign w:val="superscript"/>
              </w:rPr>
              <w:t>(2)</w:t>
            </w:r>
          </w:p>
        </w:tc>
        <w:tc>
          <w:tcPr>
            <w:tcW w:w="3700" w:type="dxa"/>
            <w:vAlign w:val="bottom"/>
          </w:tcPr>
          <w:p>
            <w:pPr>
              <w:ind w:left="120"/>
              <w:spacing w:after="0"/>
              <w:rPr>
                <w:sz w:val="20"/>
                <w:szCs w:val="20"/>
                <w:color w:val="auto"/>
              </w:rPr>
            </w:pPr>
            <w:r>
              <w:rPr>
                <w:rFonts w:ascii="Arial" w:cs="Arial" w:eastAsia="Arial" w:hAnsi="Arial"/>
                <w:sz w:val="16"/>
                <w:szCs w:val="16"/>
                <w:color w:val="auto"/>
              </w:rPr>
              <w:t>Continued vesting per grant terms</w:t>
            </w:r>
          </w:p>
        </w:tc>
        <w:tc>
          <w:tcPr>
            <w:tcW w:w="3860" w:type="dxa"/>
            <w:vAlign w:val="bottom"/>
          </w:tcPr>
          <w:p>
            <w:pPr>
              <w:ind w:left="200"/>
              <w:spacing w:after="0"/>
              <w:rPr>
                <w:sz w:val="20"/>
                <w:szCs w:val="20"/>
                <w:color w:val="auto"/>
              </w:rPr>
            </w:pPr>
            <w:r>
              <w:rPr>
                <w:rFonts w:ascii="Arial" w:cs="Arial" w:eastAsia="Arial" w:hAnsi="Arial"/>
                <w:sz w:val="16"/>
                <w:szCs w:val="16"/>
                <w:color w:val="auto"/>
              </w:rPr>
              <w:t>Exercisable for remainder of option term</w:t>
            </w:r>
          </w:p>
        </w:tc>
      </w:tr>
      <w:tr>
        <w:trPr>
          <w:trHeight w:val="201"/>
        </w:trPr>
        <w:tc>
          <w:tcPr>
            <w:tcW w:w="20" w:type="dxa"/>
            <w:vAlign w:val="bottom"/>
            <w:shd w:val="clear" w:color="auto" w:fill="E5E5E5"/>
          </w:tcPr>
          <w:p>
            <w:pPr>
              <w:spacing w:after="0"/>
              <w:rPr>
                <w:sz w:val="17"/>
                <w:szCs w:val="17"/>
                <w:color w:val="auto"/>
              </w:rPr>
            </w:pPr>
          </w:p>
        </w:tc>
        <w:tc>
          <w:tcPr>
            <w:tcW w:w="36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Any other reason</w:t>
            </w: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Immediate forfeiture</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Exercisable for earlier of (i) 90 days from date of</w:t>
            </w:r>
          </w:p>
        </w:tc>
      </w:tr>
      <w:tr>
        <w:trPr>
          <w:trHeight w:val="223"/>
        </w:trPr>
        <w:tc>
          <w:tcPr>
            <w:tcW w:w="20" w:type="dxa"/>
            <w:vAlign w:val="bottom"/>
            <w:tcBorders>
              <w:bottom w:val="single" w:sz="8" w:color="E5E5E5"/>
            </w:tcBorders>
            <w:shd w:val="clear" w:color="auto" w:fill="E5E5E5"/>
          </w:tcPr>
          <w:p>
            <w:pPr>
              <w:spacing w:after="0"/>
              <w:rPr>
                <w:sz w:val="19"/>
                <w:szCs w:val="19"/>
                <w:color w:val="auto"/>
              </w:rPr>
            </w:pPr>
          </w:p>
        </w:tc>
        <w:tc>
          <w:tcPr>
            <w:tcW w:w="2080" w:type="dxa"/>
            <w:vAlign w:val="bottom"/>
            <w:tcBorders>
              <w:bottom w:val="single" w:sz="8" w:color="E5E5E5"/>
            </w:tcBorders>
            <w:shd w:val="clear" w:color="auto" w:fill="E5E5E5"/>
          </w:tcPr>
          <w:p>
            <w:pPr>
              <w:spacing w:after="0"/>
              <w:rPr>
                <w:sz w:val="19"/>
                <w:szCs w:val="19"/>
                <w:color w:val="auto"/>
              </w:rPr>
            </w:pPr>
          </w:p>
        </w:tc>
        <w:tc>
          <w:tcPr>
            <w:tcW w:w="480" w:type="dxa"/>
            <w:vAlign w:val="bottom"/>
            <w:tcBorders>
              <w:bottom w:val="single" w:sz="8" w:color="E5E5E5"/>
            </w:tcBorders>
            <w:shd w:val="clear" w:color="auto" w:fill="E5E5E5"/>
          </w:tcPr>
          <w:p>
            <w:pPr>
              <w:spacing w:after="0"/>
              <w:rPr>
                <w:sz w:val="19"/>
                <w:szCs w:val="19"/>
                <w:color w:val="auto"/>
              </w:rPr>
            </w:pPr>
          </w:p>
        </w:tc>
        <w:tc>
          <w:tcPr>
            <w:tcW w:w="1100" w:type="dxa"/>
            <w:vAlign w:val="bottom"/>
            <w:tcBorders>
              <w:bottom w:val="single" w:sz="8" w:color="E5E5E5"/>
            </w:tcBorders>
            <w:shd w:val="clear" w:color="auto" w:fill="E5E5E5"/>
          </w:tcPr>
          <w:p>
            <w:pPr>
              <w:spacing w:after="0"/>
              <w:rPr>
                <w:sz w:val="19"/>
                <w:szCs w:val="19"/>
                <w:color w:val="auto"/>
              </w:rPr>
            </w:pPr>
          </w:p>
        </w:tc>
        <w:tc>
          <w:tcPr>
            <w:tcW w:w="3700" w:type="dxa"/>
            <w:vAlign w:val="bottom"/>
            <w:tcBorders>
              <w:bottom w:val="single" w:sz="8" w:color="E5E5E5"/>
            </w:tcBorders>
            <w:shd w:val="clear" w:color="auto" w:fill="E5E5E5"/>
          </w:tcPr>
          <w:p>
            <w:pPr>
              <w:spacing w:after="0"/>
              <w:rPr>
                <w:sz w:val="19"/>
                <w:szCs w:val="19"/>
                <w:color w:val="auto"/>
              </w:rPr>
            </w:pPr>
          </w:p>
        </w:tc>
        <w:tc>
          <w:tcPr>
            <w:tcW w:w="38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6"/>
                <w:szCs w:val="16"/>
                <w:color w:val="auto"/>
              </w:rPr>
              <w:t>termination or (ii) the remainder of the option term</w:t>
            </w:r>
          </w:p>
        </w:tc>
      </w:tr>
      <w:tr>
        <w:trPr>
          <w:trHeight w:val="188"/>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Arial" w:cs="Arial" w:eastAsia="Arial" w:hAnsi="Arial"/>
                <w:sz w:val="16"/>
                <w:szCs w:val="16"/>
                <w:b w:val="1"/>
                <w:bCs w:val="1"/>
                <w:color w:val="003B71"/>
              </w:rPr>
              <w:t>Fiscal 2021 through July 14, 2025</w:t>
            </w:r>
          </w:p>
        </w:tc>
        <w:tc>
          <w:tcPr>
            <w:tcW w:w="370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2080" w:type="dxa"/>
            <w:vAlign w:val="bottom"/>
            <w:tcBorders>
              <w:top w:val="single" w:sz="8" w:color="003B71"/>
            </w:tcBorders>
          </w:tcPr>
          <w:p>
            <w:pPr>
              <w:spacing w:after="0"/>
              <w:rPr>
                <w:sz w:val="2"/>
                <w:szCs w:val="2"/>
                <w:color w:val="auto"/>
              </w:rPr>
            </w:pPr>
          </w:p>
        </w:tc>
        <w:tc>
          <w:tcPr>
            <w:tcW w:w="480" w:type="dxa"/>
            <w:vAlign w:val="bottom"/>
            <w:tcBorders>
              <w:top w:val="single" w:sz="8" w:color="003B71"/>
            </w:tcBorders>
          </w:tcPr>
          <w:p>
            <w:pPr>
              <w:spacing w:after="0"/>
              <w:rPr>
                <w:sz w:val="2"/>
                <w:szCs w:val="2"/>
                <w:color w:val="auto"/>
              </w:rPr>
            </w:pPr>
          </w:p>
        </w:tc>
        <w:tc>
          <w:tcPr>
            <w:tcW w:w="1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42"/>
        </w:trPr>
        <w:tc>
          <w:tcPr>
            <w:tcW w:w="20" w:type="dxa"/>
            <w:vAlign w:val="bottom"/>
            <w:shd w:val="clear" w:color="auto" w:fill="E5E5E5"/>
          </w:tcPr>
          <w:p>
            <w:pPr>
              <w:spacing w:after="0"/>
              <w:rPr>
                <w:sz w:val="21"/>
                <w:szCs w:val="21"/>
                <w:color w:val="auto"/>
              </w:rPr>
            </w:pPr>
          </w:p>
        </w:tc>
        <w:tc>
          <w:tcPr>
            <w:tcW w:w="36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For cause</w:t>
            </w: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Immediate forfeiture</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Immediate forfeiture</w:t>
            </w:r>
          </w:p>
        </w:tc>
      </w:tr>
      <w:tr>
        <w:trPr>
          <w:trHeight w:val="201"/>
        </w:trPr>
        <w:tc>
          <w:tcPr>
            <w:tcW w:w="2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Death or disability</w:t>
            </w:r>
          </w:p>
        </w:tc>
        <w:tc>
          <w:tcPr>
            <w:tcW w:w="3700" w:type="dxa"/>
            <w:vAlign w:val="bottom"/>
          </w:tcPr>
          <w:p>
            <w:pPr>
              <w:ind w:left="120"/>
              <w:spacing w:after="0"/>
              <w:rPr>
                <w:sz w:val="20"/>
                <w:szCs w:val="20"/>
                <w:color w:val="auto"/>
              </w:rPr>
            </w:pPr>
            <w:r>
              <w:rPr>
                <w:rFonts w:ascii="Arial" w:cs="Arial" w:eastAsia="Arial" w:hAnsi="Arial"/>
                <w:sz w:val="16"/>
                <w:szCs w:val="16"/>
                <w:color w:val="auto"/>
              </w:rPr>
              <w:t>Immediate vesting</w:t>
            </w:r>
          </w:p>
        </w:tc>
        <w:tc>
          <w:tcPr>
            <w:tcW w:w="3860" w:type="dxa"/>
            <w:vAlign w:val="bottom"/>
          </w:tcPr>
          <w:p>
            <w:pPr>
              <w:ind w:left="200"/>
              <w:spacing w:after="0"/>
              <w:rPr>
                <w:sz w:val="20"/>
                <w:szCs w:val="20"/>
                <w:color w:val="auto"/>
              </w:rPr>
            </w:pPr>
            <w:r>
              <w:rPr>
                <w:rFonts w:ascii="Arial" w:cs="Arial" w:eastAsia="Arial" w:hAnsi="Arial"/>
                <w:sz w:val="16"/>
                <w:szCs w:val="16"/>
                <w:color w:val="auto"/>
              </w:rPr>
              <w:t>Exercisable for earlier of (i) one year after death or</w:t>
            </w:r>
          </w:p>
        </w:tc>
      </w:tr>
      <w:tr>
        <w:trPr>
          <w:trHeight w:val="214"/>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6"/>
                <w:szCs w:val="16"/>
                <w:color w:val="auto"/>
              </w:rPr>
              <w:t>disability or (ii) the remainder of option term</w:t>
            </w:r>
          </w:p>
        </w:tc>
      </w:tr>
      <w:tr>
        <w:trPr>
          <w:trHeight w:val="29"/>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42"/>
        </w:trPr>
        <w:tc>
          <w:tcPr>
            <w:tcW w:w="20" w:type="dxa"/>
            <w:vAlign w:val="bottom"/>
            <w:shd w:val="clear" w:color="auto" w:fill="E5E5E5"/>
          </w:tcPr>
          <w:p>
            <w:pPr>
              <w:spacing w:after="0"/>
              <w:rPr>
                <w:sz w:val="21"/>
                <w:szCs w:val="21"/>
                <w:color w:val="auto"/>
              </w:rPr>
            </w:pPr>
          </w:p>
        </w:tc>
        <w:tc>
          <w:tcPr>
            <w:tcW w:w="36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Retirement</w:t>
            </w:r>
            <w:r>
              <w:rPr>
                <w:rFonts w:ascii="Arial" w:cs="Arial" w:eastAsia="Arial" w:hAnsi="Arial"/>
                <w:sz w:val="20"/>
                <w:szCs w:val="20"/>
                <w:color w:val="auto"/>
                <w:vertAlign w:val="superscript"/>
              </w:rPr>
              <w:t>(1)</w:t>
            </w: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Continued vesting per grant terms</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Exercisable for remainder of option term</w:t>
            </w:r>
          </w:p>
        </w:tc>
      </w:tr>
      <w:tr>
        <w:trPr>
          <w:trHeight w:val="242"/>
        </w:trPr>
        <w:tc>
          <w:tcPr>
            <w:tcW w:w="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Change of control</w:t>
            </w:r>
            <w:r>
              <w:rPr>
                <w:rFonts w:ascii="Arial" w:cs="Arial" w:eastAsia="Arial" w:hAnsi="Arial"/>
                <w:sz w:val="20"/>
                <w:szCs w:val="20"/>
                <w:color w:val="auto"/>
                <w:vertAlign w:val="superscript"/>
              </w:rPr>
              <w:t>(2)</w:t>
            </w:r>
          </w:p>
        </w:tc>
        <w:tc>
          <w:tcPr>
            <w:tcW w:w="3700" w:type="dxa"/>
            <w:vAlign w:val="bottom"/>
          </w:tcPr>
          <w:p>
            <w:pPr>
              <w:ind w:left="120"/>
              <w:spacing w:after="0"/>
              <w:rPr>
                <w:sz w:val="20"/>
                <w:szCs w:val="20"/>
                <w:color w:val="auto"/>
              </w:rPr>
            </w:pPr>
            <w:r>
              <w:rPr>
                <w:rFonts w:ascii="Arial" w:cs="Arial" w:eastAsia="Arial" w:hAnsi="Arial"/>
                <w:sz w:val="16"/>
                <w:szCs w:val="16"/>
                <w:color w:val="auto"/>
              </w:rPr>
              <w:t>Continued vesting per grant terms</w:t>
            </w:r>
          </w:p>
        </w:tc>
        <w:tc>
          <w:tcPr>
            <w:tcW w:w="3860" w:type="dxa"/>
            <w:vAlign w:val="bottom"/>
          </w:tcPr>
          <w:p>
            <w:pPr>
              <w:ind w:left="200"/>
              <w:spacing w:after="0"/>
              <w:rPr>
                <w:sz w:val="20"/>
                <w:szCs w:val="20"/>
                <w:color w:val="auto"/>
              </w:rPr>
            </w:pPr>
            <w:r>
              <w:rPr>
                <w:rFonts w:ascii="Arial" w:cs="Arial" w:eastAsia="Arial" w:hAnsi="Arial"/>
                <w:sz w:val="16"/>
                <w:szCs w:val="16"/>
                <w:color w:val="auto"/>
              </w:rPr>
              <w:t>Exercisable for remainder of option term</w:t>
            </w:r>
          </w:p>
        </w:tc>
      </w:tr>
      <w:tr>
        <w:trPr>
          <w:trHeight w:val="201"/>
        </w:trPr>
        <w:tc>
          <w:tcPr>
            <w:tcW w:w="20" w:type="dxa"/>
            <w:vAlign w:val="bottom"/>
            <w:shd w:val="clear" w:color="auto" w:fill="E5E5E5"/>
          </w:tcPr>
          <w:p>
            <w:pPr>
              <w:spacing w:after="0"/>
              <w:rPr>
                <w:sz w:val="17"/>
                <w:szCs w:val="17"/>
                <w:color w:val="auto"/>
              </w:rPr>
            </w:pPr>
          </w:p>
        </w:tc>
        <w:tc>
          <w:tcPr>
            <w:tcW w:w="36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Any other reason</w:t>
            </w: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Immediate forfeiture</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Exercisable for earlier of (i) 90 days from date of</w:t>
            </w:r>
          </w:p>
        </w:tc>
      </w:tr>
      <w:tr>
        <w:trPr>
          <w:trHeight w:val="248"/>
        </w:trPr>
        <w:tc>
          <w:tcPr>
            <w:tcW w:w="20" w:type="dxa"/>
            <w:vAlign w:val="bottom"/>
            <w:tcBorders>
              <w:bottom w:val="single" w:sz="8" w:color="E5E5E5"/>
            </w:tcBorders>
            <w:shd w:val="clear" w:color="auto" w:fill="E5E5E5"/>
          </w:tcPr>
          <w:p>
            <w:pPr>
              <w:spacing w:after="0"/>
              <w:rPr>
                <w:sz w:val="21"/>
                <w:szCs w:val="21"/>
                <w:color w:val="auto"/>
              </w:rPr>
            </w:pPr>
          </w:p>
        </w:tc>
        <w:tc>
          <w:tcPr>
            <w:tcW w:w="2080" w:type="dxa"/>
            <w:vAlign w:val="bottom"/>
            <w:tcBorders>
              <w:bottom w:val="single" w:sz="8" w:color="E5E5E5"/>
            </w:tcBorders>
            <w:shd w:val="clear" w:color="auto" w:fill="E5E5E5"/>
          </w:tcPr>
          <w:p>
            <w:pPr>
              <w:spacing w:after="0"/>
              <w:rPr>
                <w:sz w:val="21"/>
                <w:szCs w:val="21"/>
                <w:color w:val="auto"/>
              </w:rPr>
            </w:pPr>
          </w:p>
        </w:tc>
        <w:tc>
          <w:tcPr>
            <w:tcW w:w="480" w:type="dxa"/>
            <w:vAlign w:val="bottom"/>
            <w:tcBorders>
              <w:bottom w:val="single" w:sz="8" w:color="E5E5E5"/>
            </w:tcBorders>
            <w:shd w:val="clear" w:color="auto" w:fill="E5E5E5"/>
          </w:tcPr>
          <w:p>
            <w:pPr>
              <w:spacing w:after="0"/>
              <w:rPr>
                <w:sz w:val="21"/>
                <w:szCs w:val="21"/>
                <w:color w:val="auto"/>
              </w:rPr>
            </w:pPr>
          </w:p>
        </w:tc>
        <w:tc>
          <w:tcPr>
            <w:tcW w:w="1100" w:type="dxa"/>
            <w:vAlign w:val="bottom"/>
            <w:tcBorders>
              <w:bottom w:val="single" w:sz="8" w:color="E5E5E5"/>
            </w:tcBorders>
            <w:shd w:val="clear" w:color="auto" w:fill="E5E5E5"/>
          </w:tcPr>
          <w:p>
            <w:pPr>
              <w:spacing w:after="0"/>
              <w:rPr>
                <w:sz w:val="21"/>
                <w:szCs w:val="21"/>
                <w:color w:val="auto"/>
              </w:rPr>
            </w:pPr>
          </w:p>
        </w:tc>
        <w:tc>
          <w:tcPr>
            <w:tcW w:w="3700" w:type="dxa"/>
            <w:vAlign w:val="bottom"/>
            <w:tcBorders>
              <w:bottom w:val="single" w:sz="8" w:color="E5E5E5"/>
            </w:tcBorders>
            <w:shd w:val="clear" w:color="auto" w:fill="E5E5E5"/>
          </w:tcPr>
          <w:p>
            <w:pPr>
              <w:spacing w:after="0"/>
              <w:rPr>
                <w:sz w:val="21"/>
                <w:szCs w:val="21"/>
                <w:color w:val="auto"/>
              </w:rPr>
            </w:pPr>
          </w:p>
        </w:tc>
        <w:tc>
          <w:tcPr>
            <w:tcW w:w="3860" w:type="dxa"/>
            <w:vAlign w:val="bottom"/>
            <w:tcBorders>
              <w:bottom w:val="single" w:sz="8" w:color="E5E5E5"/>
            </w:tcBorders>
            <w:shd w:val="clear" w:color="auto" w:fill="E5E5E5"/>
          </w:tcPr>
          <w:p>
            <w:pPr>
              <w:ind w:left="200"/>
              <w:spacing w:after="0"/>
              <w:rPr>
                <w:sz w:val="20"/>
                <w:szCs w:val="20"/>
                <w:color w:val="auto"/>
              </w:rPr>
            </w:pPr>
            <w:r>
              <w:rPr>
                <w:rFonts w:ascii="Arial" w:cs="Arial" w:eastAsia="Arial" w:hAnsi="Arial"/>
                <w:sz w:val="16"/>
                <w:szCs w:val="16"/>
                <w:color w:val="auto"/>
              </w:rPr>
              <w:t>termination or (ii) the remainder of the option term</w:t>
            </w:r>
          </w:p>
        </w:tc>
      </w:tr>
      <w:tr>
        <w:trPr>
          <w:trHeight w:val="182"/>
        </w:trPr>
        <w:tc>
          <w:tcPr>
            <w:tcW w:w="20" w:type="dxa"/>
            <w:vAlign w:val="bottom"/>
            <w:tcBorders>
              <w:top w:val="single" w:sz="8" w:color="auto"/>
            </w:tcBorders>
          </w:tcPr>
          <w:p>
            <w:pPr>
              <w:spacing w:after="0"/>
              <w:rPr>
                <w:sz w:val="15"/>
                <w:szCs w:val="15"/>
                <w:color w:val="auto"/>
              </w:rPr>
            </w:pPr>
          </w:p>
        </w:tc>
        <w:tc>
          <w:tcPr>
            <w:tcW w:w="3660" w:type="dxa"/>
            <w:vAlign w:val="bottom"/>
            <w:tcBorders>
              <w:top w:val="single" w:sz="8" w:color="auto"/>
            </w:tcBorders>
            <w:gridSpan w:val="3"/>
          </w:tcPr>
          <w:p>
            <w:pPr>
              <w:spacing w:after="0" w:line="181" w:lineRule="exact"/>
              <w:rPr>
                <w:sz w:val="20"/>
                <w:szCs w:val="20"/>
                <w:color w:val="auto"/>
              </w:rPr>
            </w:pPr>
            <w:r>
              <w:rPr>
                <w:rFonts w:ascii="Arial" w:cs="Arial" w:eastAsia="Arial" w:hAnsi="Arial"/>
                <w:sz w:val="16"/>
                <w:szCs w:val="16"/>
                <w:b w:val="1"/>
                <w:bCs w:val="1"/>
                <w:color w:val="003B71"/>
              </w:rPr>
              <w:t>July 15, 2025 &amp; later grants</w:t>
            </w:r>
          </w:p>
        </w:tc>
        <w:tc>
          <w:tcPr>
            <w:tcW w:w="3700" w:type="dxa"/>
            <w:vAlign w:val="bottom"/>
            <w:tcBorders>
              <w:top w:val="single" w:sz="8" w:color="003B71"/>
            </w:tcBorders>
          </w:tcPr>
          <w:p>
            <w:pPr>
              <w:spacing w:after="0"/>
              <w:rPr>
                <w:sz w:val="15"/>
                <w:szCs w:val="15"/>
                <w:color w:val="auto"/>
              </w:rPr>
            </w:pPr>
          </w:p>
        </w:tc>
        <w:tc>
          <w:tcPr>
            <w:tcW w:w="3860" w:type="dxa"/>
            <w:vAlign w:val="bottom"/>
            <w:tcBorders>
              <w:top w:val="single" w:sz="8" w:color="003B71"/>
            </w:tcBorders>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2080" w:type="dxa"/>
            <w:vAlign w:val="bottom"/>
            <w:tcBorders>
              <w:top w:val="single" w:sz="8" w:color="003B71"/>
            </w:tcBorders>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42"/>
        </w:trPr>
        <w:tc>
          <w:tcPr>
            <w:tcW w:w="20" w:type="dxa"/>
            <w:vAlign w:val="bottom"/>
            <w:shd w:val="clear" w:color="auto" w:fill="E5E5E5"/>
          </w:tcPr>
          <w:p>
            <w:pPr>
              <w:spacing w:after="0"/>
              <w:rPr>
                <w:sz w:val="21"/>
                <w:szCs w:val="21"/>
                <w:color w:val="auto"/>
              </w:rPr>
            </w:pPr>
          </w:p>
        </w:tc>
        <w:tc>
          <w:tcPr>
            <w:tcW w:w="3660" w:type="dxa"/>
            <w:vAlign w:val="bottom"/>
            <w:gridSpan w:val="3"/>
            <w:shd w:val="clear" w:color="auto" w:fill="E5E5E5"/>
          </w:tcPr>
          <w:p>
            <w:pPr>
              <w:spacing w:after="0"/>
              <w:rPr>
                <w:sz w:val="20"/>
                <w:szCs w:val="20"/>
                <w:color w:val="auto"/>
              </w:rPr>
            </w:pPr>
            <w:r>
              <w:rPr>
                <w:rFonts w:ascii="Arial" w:cs="Arial" w:eastAsia="Arial" w:hAnsi="Arial"/>
                <w:sz w:val="16"/>
                <w:szCs w:val="16"/>
                <w:color w:val="auto"/>
              </w:rPr>
              <w:t>For cause</w:t>
            </w: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Immediate forfeiture</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Immediate forfeiture</w:t>
            </w:r>
          </w:p>
        </w:tc>
      </w:tr>
      <w:tr>
        <w:trPr>
          <w:trHeight w:val="227"/>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Death or disability</w:t>
            </w:r>
          </w:p>
        </w:tc>
        <w:tc>
          <w:tcPr>
            <w:tcW w:w="3700" w:type="dxa"/>
            <w:vAlign w:val="bottom"/>
          </w:tcPr>
          <w:p>
            <w:pPr>
              <w:ind w:left="120"/>
              <w:spacing w:after="0"/>
              <w:rPr>
                <w:sz w:val="20"/>
                <w:szCs w:val="20"/>
                <w:color w:val="auto"/>
              </w:rPr>
            </w:pPr>
            <w:r>
              <w:rPr>
                <w:rFonts w:ascii="Arial" w:cs="Arial" w:eastAsia="Arial" w:hAnsi="Arial"/>
                <w:sz w:val="16"/>
                <w:szCs w:val="16"/>
                <w:color w:val="auto"/>
              </w:rPr>
              <w:t>Standard Option: Immediate vesting</w:t>
            </w:r>
          </w:p>
        </w:tc>
        <w:tc>
          <w:tcPr>
            <w:tcW w:w="3860" w:type="dxa"/>
            <w:vAlign w:val="bottom"/>
          </w:tcPr>
          <w:p>
            <w:pPr>
              <w:spacing w:after="0"/>
              <w:rPr>
                <w:sz w:val="19"/>
                <w:szCs w:val="19"/>
                <w:color w:val="auto"/>
              </w:rPr>
            </w:pPr>
          </w:p>
        </w:tc>
      </w:tr>
      <w:tr>
        <w:trPr>
          <w:trHeight w:val="350"/>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Investment Option: Immediate vesting</w:t>
            </w:r>
          </w:p>
        </w:tc>
        <w:tc>
          <w:tcPr>
            <w:tcW w:w="3860" w:type="dxa"/>
            <w:vAlign w:val="bottom"/>
          </w:tcPr>
          <w:p>
            <w:pPr>
              <w:ind w:left="200"/>
              <w:spacing w:after="0"/>
              <w:rPr>
                <w:sz w:val="20"/>
                <w:szCs w:val="20"/>
                <w:color w:val="auto"/>
              </w:rPr>
            </w:pPr>
            <w:r>
              <w:rPr>
                <w:rFonts w:ascii="Arial" w:cs="Arial" w:eastAsia="Arial" w:hAnsi="Arial"/>
                <w:sz w:val="16"/>
                <w:szCs w:val="16"/>
                <w:color w:val="auto"/>
              </w:rPr>
              <w:t>All three Options: Exercisable until earlier of (i) one</w:t>
            </w:r>
          </w:p>
        </w:tc>
      </w:tr>
      <w:tr>
        <w:trPr>
          <w:trHeight w:val="202"/>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860" w:type="dxa"/>
            <w:vAlign w:val="bottom"/>
          </w:tcPr>
          <w:p>
            <w:pPr>
              <w:ind w:left="200"/>
              <w:spacing w:after="0"/>
              <w:rPr>
                <w:sz w:val="20"/>
                <w:szCs w:val="20"/>
                <w:color w:val="auto"/>
              </w:rPr>
            </w:pPr>
            <w:r>
              <w:rPr>
                <w:rFonts w:ascii="Arial" w:cs="Arial" w:eastAsia="Arial" w:hAnsi="Arial"/>
                <w:sz w:val="16"/>
                <w:szCs w:val="16"/>
                <w:color w:val="auto"/>
              </w:rPr>
              <w:t>year after death or disability or (ii) the expiration of</w:t>
            </w:r>
          </w:p>
        </w:tc>
      </w:tr>
      <w:tr>
        <w:trPr>
          <w:trHeight w:val="188"/>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Performance Option: After initial performance,</w:t>
            </w:r>
          </w:p>
        </w:tc>
        <w:tc>
          <w:tcPr>
            <w:tcW w:w="3860" w:type="dxa"/>
            <w:vAlign w:val="bottom"/>
          </w:tcPr>
          <w:p>
            <w:pPr>
              <w:ind w:left="200"/>
              <w:spacing w:after="0"/>
              <w:rPr>
                <w:sz w:val="20"/>
                <w:szCs w:val="20"/>
                <w:color w:val="auto"/>
              </w:rPr>
            </w:pPr>
            <w:r>
              <w:rPr>
                <w:rFonts w:ascii="Arial" w:cs="Arial" w:eastAsia="Arial" w:hAnsi="Arial"/>
                <w:sz w:val="16"/>
                <w:szCs w:val="16"/>
                <w:color w:val="auto"/>
              </w:rPr>
              <w:t>option term</w:t>
            </w:r>
          </w:p>
        </w:tc>
      </w:tr>
      <w:tr>
        <w:trPr>
          <w:trHeight w:val="202"/>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immediate vesting; before initial performance,</w:t>
            </w:r>
          </w:p>
        </w:tc>
        <w:tc>
          <w:tcPr>
            <w:tcW w:w="38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immediate forfeiture</w:t>
            </w:r>
          </w:p>
        </w:tc>
        <w:tc>
          <w:tcPr>
            <w:tcW w:w="3860" w:type="dxa"/>
            <w:vAlign w:val="bottom"/>
          </w:tcPr>
          <w:p>
            <w:pPr>
              <w:spacing w:after="0"/>
              <w:rPr>
                <w:sz w:val="19"/>
                <w:szCs w:val="19"/>
                <w:color w:val="auto"/>
              </w:rPr>
            </w:pPr>
          </w:p>
        </w:tc>
      </w:tr>
      <w:tr>
        <w:trPr>
          <w:trHeight w:val="208"/>
        </w:trPr>
        <w:tc>
          <w:tcPr>
            <w:tcW w:w="20" w:type="dxa"/>
            <w:vAlign w:val="bottom"/>
            <w:shd w:val="clear" w:color="auto" w:fill="E5E5E5"/>
          </w:tcPr>
          <w:p>
            <w:pPr>
              <w:spacing w:after="0"/>
              <w:rPr>
                <w:sz w:val="18"/>
                <w:szCs w:val="18"/>
                <w:color w:val="auto"/>
              </w:rPr>
            </w:pPr>
          </w:p>
        </w:tc>
        <w:tc>
          <w:tcPr>
            <w:tcW w:w="3660" w:type="dxa"/>
            <w:vAlign w:val="bottom"/>
            <w:gridSpan w:val="3"/>
            <w:shd w:val="clear" w:color="auto" w:fill="E5E5E5"/>
          </w:tcPr>
          <w:p>
            <w:pPr>
              <w:spacing w:after="0" w:line="208" w:lineRule="exact"/>
              <w:rPr>
                <w:sz w:val="20"/>
                <w:szCs w:val="20"/>
                <w:color w:val="auto"/>
              </w:rPr>
            </w:pPr>
            <w:r>
              <w:rPr>
                <w:rFonts w:ascii="Arial" w:cs="Arial" w:eastAsia="Arial" w:hAnsi="Arial"/>
                <w:sz w:val="16"/>
                <w:szCs w:val="16"/>
                <w:color w:val="auto"/>
              </w:rPr>
              <w:t>Retirement</w:t>
            </w:r>
            <w:r>
              <w:rPr>
                <w:rFonts w:ascii="Arial" w:cs="Arial" w:eastAsia="Arial" w:hAnsi="Arial"/>
                <w:sz w:val="20"/>
                <w:szCs w:val="20"/>
                <w:color w:val="auto"/>
                <w:vertAlign w:val="superscript"/>
              </w:rPr>
              <w:t>(1)</w:t>
            </w: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Standard Option: Continued vesting per grant</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Standard Option: Continued vesting and</w:t>
            </w:r>
          </w:p>
        </w:tc>
      </w:tr>
      <w:tr>
        <w:trPr>
          <w:trHeight w:val="214"/>
        </w:trPr>
        <w:tc>
          <w:tcPr>
            <w:tcW w:w="20" w:type="dxa"/>
            <w:vAlign w:val="bottom"/>
            <w:shd w:val="clear" w:color="auto" w:fill="E5E5E5"/>
          </w:tcPr>
          <w:p>
            <w:pPr>
              <w:spacing w:after="0"/>
              <w:rPr>
                <w:sz w:val="18"/>
                <w:szCs w:val="18"/>
                <w:color w:val="auto"/>
              </w:rPr>
            </w:pPr>
          </w:p>
        </w:tc>
        <w:tc>
          <w:tcPr>
            <w:tcW w:w="20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terms</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exercisable for remainder of option term</w:t>
            </w:r>
          </w:p>
        </w:tc>
      </w:tr>
      <w:tr>
        <w:trPr>
          <w:trHeight w:val="364"/>
        </w:trPr>
        <w:tc>
          <w:tcPr>
            <w:tcW w:w="20" w:type="dxa"/>
            <w:vAlign w:val="bottom"/>
            <w:shd w:val="clear" w:color="auto" w:fill="E5E5E5"/>
          </w:tcPr>
          <w:p>
            <w:pPr>
              <w:spacing w:after="0"/>
              <w:rPr>
                <w:sz w:val="24"/>
                <w:szCs w:val="24"/>
                <w:color w:val="auto"/>
              </w:rPr>
            </w:pPr>
          </w:p>
        </w:tc>
        <w:tc>
          <w:tcPr>
            <w:tcW w:w="2080" w:type="dxa"/>
            <w:vAlign w:val="bottom"/>
            <w:shd w:val="clear" w:color="auto" w:fill="E5E5E5"/>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1100" w:type="dxa"/>
            <w:vAlign w:val="bottom"/>
            <w:shd w:val="clear" w:color="auto" w:fill="E5E5E5"/>
          </w:tcPr>
          <w:p>
            <w:pPr>
              <w:spacing w:after="0"/>
              <w:rPr>
                <w:sz w:val="24"/>
                <w:szCs w:val="24"/>
                <w:color w:val="auto"/>
              </w:rPr>
            </w:pP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Investment Option: Continued vesting per grant</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Investment Option: Continued vesting and</w:t>
            </w:r>
          </w:p>
        </w:tc>
      </w:tr>
      <w:tr>
        <w:trPr>
          <w:trHeight w:val="214"/>
        </w:trPr>
        <w:tc>
          <w:tcPr>
            <w:tcW w:w="20" w:type="dxa"/>
            <w:vAlign w:val="bottom"/>
            <w:shd w:val="clear" w:color="auto" w:fill="E5E5E5"/>
          </w:tcPr>
          <w:p>
            <w:pPr>
              <w:spacing w:after="0"/>
              <w:rPr>
                <w:sz w:val="18"/>
                <w:szCs w:val="18"/>
                <w:color w:val="auto"/>
              </w:rPr>
            </w:pPr>
          </w:p>
        </w:tc>
        <w:tc>
          <w:tcPr>
            <w:tcW w:w="20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terms</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exercisable for remainder of option term</w:t>
            </w:r>
          </w:p>
        </w:tc>
      </w:tr>
      <w:tr>
        <w:trPr>
          <w:trHeight w:val="364"/>
        </w:trPr>
        <w:tc>
          <w:tcPr>
            <w:tcW w:w="20" w:type="dxa"/>
            <w:vAlign w:val="bottom"/>
            <w:shd w:val="clear" w:color="auto" w:fill="E5E5E5"/>
          </w:tcPr>
          <w:p>
            <w:pPr>
              <w:spacing w:after="0"/>
              <w:rPr>
                <w:sz w:val="24"/>
                <w:szCs w:val="24"/>
                <w:color w:val="auto"/>
              </w:rPr>
            </w:pPr>
          </w:p>
        </w:tc>
        <w:tc>
          <w:tcPr>
            <w:tcW w:w="2080" w:type="dxa"/>
            <w:vAlign w:val="bottom"/>
            <w:shd w:val="clear" w:color="auto" w:fill="E5E5E5"/>
          </w:tcPr>
          <w:p>
            <w:pPr>
              <w:spacing w:after="0"/>
              <w:rPr>
                <w:sz w:val="24"/>
                <w:szCs w:val="24"/>
                <w:color w:val="auto"/>
              </w:rPr>
            </w:pPr>
          </w:p>
        </w:tc>
        <w:tc>
          <w:tcPr>
            <w:tcW w:w="480" w:type="dxa"/>
            <w:vAlign w:val="bottom"/>
            <w:shd w:val="clear" w:color="auto" w:fill="E5E5E5"/>
          </w:tcPr>
          <w:p>
            <w:pPr>
              <w:spacing w:after="0"/>
              <w:rPr>
                <w:sz w:val="24"/>
                <w:szCs w:val="24"/>
                <w:color w:val="auto"/>
              </w:rPr>
            </w:pPr>
          </w:p>
        </w:tc>
        <w:tc>
          <w:tcPr>
            <w:tcW w:w="1100" w:type="dxa"/>
            <w:vAlign w:val="bottom"/>
            <w:shd w:val="clear" w:color="auto" w:fill="E5E5E5"/>
          </w:tcPr>
          <w:p>
            <w:pPr>
              <w:spacing w:after="0"/>
              <w:rPr>
                <w:sz w:val="24"/>
                <w:szCs w:val="24"/>
                <w:color w:val="auto"/>
              </w:rPr>
            </w:pPr>
          </w:p>
        </w:tc>
        <w:tc>
          <w:tcPr>
            <w:tcW w:w="3700" w:type="dxa"/>
            <w:vAlign w:val="bottom"/>
            <w:shd w:val="clear" w:color="auto" w:fill="E5E5E5"/>
          </w:tcPr>
          <w:p>
            <w:pPr>
              <w:ind w:left="120"/>
              <w:spacing w:after="0"/>
              <w:rPr>
                <w:sz w:val="20"/>
                <w:szCs w:val="20"/>
                <w:color w:val="auto"/>
              </w:rPr>
            </w:pPr>
            <w:r>
              <w:rPr>
                <w:rFonts w:ascii="Arial" w:cs="Arial" w:eastAsia="Arial" w:hAnsi="Arial"/>
                <w:sz w:val="16"/>
                <w:szCs w:val="16"/>
                <w:color w:val="auto"/>
              </w:rPr>
              <w:t>Performance Option: Immediate forfeiture</w:t>
            </w: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Performance Option: After initial performance, full</w:t>
            </w:r>
          </w:p>
        </w:tc>
      </w:tr>
      <w:tr>
        <w:trPr>
          <w:trHeight w:val="229"/>
        </w:trPr>
        <w:tc>
          <w:tcPr>
            <w:tcW w:w="20" w:type="dxa"/>
            <w:vAlign w:val="bottom"/>
            <w:shd w:val="clear" w:color="auto" w:fill="E5E5E5"/>
          </w:tcPr>
          <w:p>
            <w:pPr>
              <w:spacing w:after="0"/>
              <w:rPr>
                <w:sz w:val="19"/>
                <w:szCs w:val="19"/>
                <w:color w:val="auto"/>
              </w:rPr>
            </w:pPr>
          </w:p>
        </w:tc>
        <w:tc>
          <w:tcPr>
            <w:tcW w:w="20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100" w:type="dxa"/>
            <w:vAlign w:val="bottom"/>
            <w:shd w:val="clear" w:color="auto" w:fill="E5E5E5"/>
          </w:tcPr>
          <w:p>
            <w:pPr>
              <w:spacing w:after="0"/>
              <w:rPr>
                <w:sz w:val="19"/>
                <w:szCs w:val="19"/>
                <w:color w:val="auto"/>
              </w:rPr>
            </w:pPr>
          </w:p>
        </w:tc>
        <w:tc>
          <w:tcPr>
            <w:tcW w:w="3700" w:type="dxa"/>
            <w:vAlign w:val="bottom"/>
            <w:shd w:val="clear" w:color="auto" w:fill="E5E5E5"/>
          </w:tcPr>
          <w:p>
            <w:pPr>
              <w:spacing w:after="0"/>
              <w:rPr>
                <w:sz w:val="19"/>
                <w:szCs w:val="19"/>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6"/>
                <w:szCs w:val="16"/>
                <w:color w:val="auto"/>
              </w:rPr>
              <w:t>vest with 90 days to exercise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71329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49</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0"/>
        </w:trPr>
        <w:tc>
          <w:tcPr>
            <w:tcW w:w="2620" w:type="dxa"/>
            <w:vAlign w:val="bottom"/>
          </w:tcPr>
          <w:p>
            <w:pPr>
              <w:ind w:left="20"/>
              <w:spacing w:after="0"/>
              <w:rPr>
                <w:sz w:val="20"/>
                <w:szCs w:val="20"/>
                <w:color w:val="auto"/>
              </w:rPr>
            </w:pPr>
            <w:r>
              <w:rPr>
                <w:rFonts w:ascii="Arial" w:cs="Arial" w:eastAsia="Arial" w:hAnsi="Arial"/>
                <w:sz w:val="16"/>
                <w:szCs w:val="16"/>
                <w:color w:val="auto"/>
              </w:rPr>
              <w:t>Change of control</w:t>
            </w:r>
            <w:r>
              <w:rPr>
                <w:rFonts w:ascii="Arial" w:cs="Arial" w:eastAsia="Arial" w:hAnsi="Arial"/>
                <w:sz w:val="20"/>
                <w:szCs w:val="20"/>
                <w:color w:val="auto"/>
                <w:vertAlign w:val="superscript"/>
              </w:rPr>
              <w:t>(2)</w:t>
            </w:r>
          </w:p>
        </w:tc>
        <w:tc>
          <w:tcPr>
            <w:tcW w:w="4860" w:type="dxa"/>
            <w:vAlign w:val="bottom"/>
          </w:tcPr>
          <w:p>
            <w:pPr>
              <w:ind w:left="1180"/>
              <w:spacing w:after="0"/>
              <w:rPr>
                <w:sz w:val="20"/>
                <w:szCs w:val="20"/>
                <w:color w:val="auto"/>
              </w:rPr>
            </w:pPr>
            <w:r>
              <w:rPr>
                <w:rFonts w:ascii="Arial" w:cs="Arial" w:eastAsia="Arial" w:hAnsi="Arial"/>
                <w:sz w:val="16"/>
                <w:szCs w:val="16"/>
                <w:color w:val="auto"/>
              </w:rPr>
              <w:t>Standard Option: Unless all outstanding options</w:t>
            </w:r>
          </w:p>
        </w:tc>
        <w:tc>
          <w:tcPr>
            <w:tcW w:w="3760" w:type="dxa"/>
            <w:vAlign w:val="bottom"/>
          </w:tcPr>
          <w:p>
            <w:pPr>
              <w:ind w:left="100"/>
              <w:spacing w:after="0"/>
              <w:rPr>
                <w:sz w:val="20"/>
                <w:szCs w:val="20"/>
                <w:color w:val="auto"/>
              </w:rPr>
            </w:pPr>
            <w:r>
              <w:rPr>
                <w:rFonts w:ascii="Arial" w:cs="Arial" w:eastAsia="Arial" w:hAnsi="Arial"/>
                <w:sz w:val="16"/>
                <w:szCs w:val="16"/>
                <w:color w:val="auto"/>
              </w:rPr>
              <w:t>Standard Option: Exercisable for remainder of</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4860" w:type="dxa"/>
            <w:vAlign w:val="bottom"/>
          </w:tcPr>
          <w:p>
            <w:pPr>
              <w:ind w:left="1180"/>
              <w:spacing w:after="0"/>
              <w:rPr>
                <w:sz w:val="20"/>
                <w:szCs w:val="20"/>
                <w:color w:val="auto"/>
              </w:rPr>
            </w:pPr>
            <w:r>
              <w:rPr>
                <w:rFonts w:ascii="Arial" w:cs="Arial" w:eastAsia="Arial" w:hAnsi="Arial"/>
                <w:sz w:val="16"/>
                <w:szCs w:val="16"/>
                <w:color w:val="auto"/>
              </w:rPr>
              <w:t>are terminated in connection with change of</w:t>
            </w:r>
          </w:p>
        </w:tc>
        <w:tc>
          <w:tcPr>
            <w:tcW w:w="3760" w:type="dxa"/>
            <w:vAlign w:val="bottom"/>
          </w:tcPr>
          <w:p>
            <w:pPr>
              <w:ind w:left="100"/>
              <w:spacing w:after="0"/>
              <w:rPr>
                <w:sz w:val="20"/>
                <w:szCs w:val="20"/>
                <w:color w:val="auto"/>
              </w:rPr>
            </w:pPr>
            <w:r>
              <w:rPr>
                <w:rFonts w:ascii="Arial" w:cs="Arial" w:eastAsia="Arial" w:hAnsi="Arial"/>
                <w:sz w:val="16"/>
                <w:szCs w:val="16"/>
                <w:color w:val="auto"/>
              </w:rPr>
              <w:t>option term, except when change of control</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4860" w:type="dxa"/>
            <w:vAlign w:val="bottom"/>
          </w:tcPr>
          <w:p>
            <w:pPr>
              <w:ind w:left="1180"/>
              <w:spacing w:after="0"/>
              <w:rPr>
                <w:sz w:val="20"/>
                <w:szCs w:val="20"/>
                <w:color w:val="auto"/>
              </w:rPr>
            </w:pPr>
            <w:r>
              <w:rPr>
                <w:rFonts w:ascii="Arial" w:cs="Arial" w:eastAsia="Arial" w:hAnsi="Arial"/>
                <w:sz w:val="16"/>
                <w:szCs w:val="16"/>
                <w:color w:val="auto"/>
              </w:rPr>
              <w:t>control, options continue vesting per grant terms</w:t>
            </w:r>
          </w:p>
        </w:tc>
        <w:tc>
          <w:tcPr>
            <w:tcW w:w="3760" w:type="dxa"/>
            <w:vAlign w:val="bottom"/>
          </w:tcPr>
          <w:p>
            <w:pPr>
              <w:ind w:left="100"/>
              <w:spacing w:after="0"/>
              <w:rPr>
                <w:sz w:val="20"/>
                <w:szCs w:val="20"/>
                <w:color w:val="auto"/>
              </w:rPr>
            </w:pPr>
            <w:r>
              <w:rPr>
                <w:rFonts w:ascii="Arial" w:cs="Arial" w:eastAsia="Arial" w:hAnsi="Arial"/>
                <w:sz w:val="16"/>
                <w:szCs w:val="16"/>
                <w:color w:val="auto"/>
              </w:rPr>
              <w:t>happens before (i) 90 days following termination or</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4860" w:type="dxa"/>
            <w:vAlign w:val="bottom"/>
          </w:tcPr>
          <w:p>
            <w:pPr>
              <w:ind w:left="1180"/>
              <w:spacing w:after="0"/>
              <w:rPr>
                <w:sz w:val="20"/>
                <w:szCs w:val="20"/>
                <w:color w:val="auto"/>
              </w:rPr>
            </w:pPr>
            <w:r>
              <w:rPr>
                <w:rFonts w:ascii="Arial" w:cs="Arial" w:eastAsia="Arial" w:hAnsi="Arial"/>
                <w:sz w:val="16"/>
                <w:szCs w:val="16"/>
                <w:color w:val="auto"/>
              </w:rPr>
              <w:t>for no cause terminations that occur up to 90 days</w:t>
            </w:r>
          </w:p>
        </w:tc>
        <w:tc>
          <w:tcPr>
            <w:tcW w:w="3760" w:type="dxa"/>
            <w:vAlign w:val="bottom"/>
          </w:tcPr>
          <w:p>
            <w:pPr>
              <w:ind w:left="100"/>
              <w:spacing w:after="0"/>
              <w:rPr>
                <w:sz w:val="20"/>
                <w:szCs w:val="20"/>
                <w:color w:val="auto"/>
              </w:rPr>
            </w:pPr>
            <w:r>
              <w:rPr>
                <w:rFonts w:ascii="Arial" w:cs="Arial" w:eastAsia="Arial" w:hAnsi="Arial"/>
                <w:sz w:val="16"/>
                <w:szCs w:val="16"/>
                <w:color w:val="auto"/>
              </w:rPr>
              <w:t>(ii) expiration of option term, then any portion of</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4860" w:type="dxa"/>
            <w:vAlign w:val="bottom"/>
          </w:tcPr>
          <w:p>
            <w:pPr>
              <w:ind w:left="1180"/>
              <w:spacing w:after="0"/>
              <w:rPr>
                <w:sz w:val="20"/>
                <w:szCs w:val="20"/>
                <w:color w:val="auto"/>
              </w:rPr>
            </w:pPr>
            <w:r>
              <w:rPr>
                <w:rFonts w:ascii="Arial" w:cs="Arial" w:eastAsia="Arial" w:hAnsi="Arial"/>
                <w:sz w:val="16"/>
                <w:szCs w:val="16"/>
                <w:color w:val="auto"/>
              </w:rPr>
              <w:t>before or 12 months after change of control</w:t>
            </w:r>
          </w:p>
        </w:tc>
        <w:tc>
          <w:tcPr>
            <w:tcW w:w="3760" w:type="dxa"/>
            <w:vAlign w:val="bottom"/>
          </w:tcPr>
          <w:p>
            <w:pPr>
              <w:ind w:left="100"/>
              <w:spacing w:after="0"/>
              <w:rPr>
                <w:sz w:val="20"/>
                <w:szCs w:val="20"/>
                <w:color w:val="auto"/>
              </w:rPr>
            </w:pPr>
            <w:r>
              <w:rPr>
                <w:rFonts w:ascii="Arial" w:cs="Arial" w:eastAsia="Arial" w:hAnsi="Arial"/>
                <w:sz w:val="16"/>
                <w:szCs w:val="16"/>
                <w:color w:val="auto"/>
              </w:rPr>
              <w:t>option that is vested as of termination date</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remains exercisable until earliest of (a) 90 days</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4860" w:type="dxa"/>
            <w:vAlign w:val="bottom"/>
          </w:tcPr>
          <w:p>
            <w:pPr>
              <w:ind w:left="1180"/>
              <w:spacing w:after="0"/>
              <w:rPr>
                <w:sz w:val="20"/>
                <w:szCs w:val="20"/>
                <w:color w:val="auto"/>
              </w:rPr>
            </w:pPr>
            <w:r>
              <w:rPr>
                <w:rFonts w:ascii="Arial" w:cs="Arial" w:eastAsia="Arial" w:hAnsi="Arial"/>
                <w:sz w:val="16"/>
                <w:szCs w:val="16"/>
                <w:color w:val="auto"/>
              </w:rPr>
              <w:t>Investment Option: Same as standard option</w:t>
            </w:r>
          </w:p>
        </w:tc>
        <w:tc>
          <w:tcPr>
            <w:tcW w:w="3760" w:type="dxa"/>
            <w:vAlign w:val="bottom"/>
          </w:tcPr>
          <w:p>
            <w:pPr>
              <w:ind w:left="100"/>
              <w:spacing w:after="0"/>
              <w:rPr>
                <w:sz w:val="20"/>
                <w:szCs w:val="20"/>
                <w:color w:val="auto"/>
              </w:rPr>
            </w:pPr>
            <w:r>
              <w:rPr>
                <w:rFonts w:ascii="Arial" w:cs="Arial" w:eastAsia="Arial" w:hAnsi="Arial"/>
                <w:sz w:val="16"/>
                <w:szCs w:val="16"/>
                <w:color w:val="auto"/>
              </w:rPr>
              <w:t>following termination, (b) expiration of option term,</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4860" w:type="dxa"/>
            <w:vAlign w:val="bottom"/>
            <w:vMerge w:val="restart"/>
          </w:tcPr>
          <w:p>
            <w:pPr>
              <w:ind w:left="1180"/>
              <w:spacing w:after="0"/>
              <w:rPr>
                <w:sz w:val="20"/>
                <w:szCs w:val="20"/>
                <w:color w:val="auto"/>
              </w:rPr>
            </w:pPr>
            <w:r>
              <w:rPr>
                <w:rFonts w:ascii="Arial" w:cs="Arial" w:eastAsia="Arial" w:hAnsi="Arial"/>
                <w:sz w:val="16"/>
                <w:szCs w:val="16"/>
                <w:color w:val="auto"/>
              </w:rPr>
              <w:t>Performance Option: Immediate forfeiture</w:t>
            </w:r>
          </w:p>
        </w:tc>
        <w:tc>
          <w:tcPr>
            <w:tcW w:w="3760" w:type="dxa"/>
            <w:vAlign w:val="bottom"/>
          </w:tcPr>
          <w:p>
            <w:pPr>
              <w:ind w:left="100"/>
              <w:spacing w:after="0"/>
              <w:rPr>
                <w:sz w:val="20"/>
                <w:szCs w:val="20"/>
                <w:color w:val="auto"/>
              </w:rPr>
            </w:pPr>
            <w:r>
              <w:rPr>
                <w:rFonts w:ascii="Arial" w:cs="Arial" w:eastAsia="Arial" w:hAnsi="Arial"/>
                <w:sz w:val="16"/>
                <w:szCs w:val="16"/>
                <w:color w:val="auto"/>
              </w:rPr>
              <w:t>or (c) consummation of change of control</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4860" w:type="dxa"/>
            <w:vAlign w:val="bottom"/>
            <w:vMerge w:val="continue"/>
          </w:tcPr>
          <w:p>
            <w:pPr>
              <w:spacing w:after="0"/>
              <w:rPr>
                <w:sz w:val="15"/>
                <w:szCs w:val="15"/>
                <w:color w:val="auto"/>
              </w:rPr>
            </w:pPr>
          </w:p>
        </w:tc>
        <w:tc>
          <w:tcPr>
            <w:tcW w:w="3760" w:type="dxa"/>
            <w:vAlign w:val="bottom"/>
            <w:vMerge w:val="restart"/>
          </w:tcPr>
          <w:p>
            <w:pPr>
              <w:ind w:left="100"/>
              <w:spacing w:after="0"/>
              <w:rPr>
                <w:sz w:val="20"/>
                <w:szCs w:val="20"/>
                <w:color w:val="auto"/>
              </w:rPr>
            </w:pPr>
            <w:r>
              <w:rPr>
                <w:rFonts w:ascii="Arial" w:cs="Arial" w:eastAsia="Arial" w:hAnsi="Arial"/>
                <w:sz w:val="16"/>
                <w:szCs w:val="16"/>
                <w:color w:val="auto"/>
              </w:rPr>
              <w:t>Investment Option: Same as standard option</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3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26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Performance Option: Exercisable for earlier of (i)</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90 days from date of termination or (ii) the</w:t>
            </w:r>
          </w:p>
        </w:tc>
        <w:tc>
          <w:tcPr>
            <w:tcW w:w="0" w:type="dxa"/>
            <w:vAlign w:val="bottom"/>
          </w:tcPr>
          <w:p>
            <w:pPr>
              <w:spacing w:after="0"/>
              <w:rPr>
                <w:sz w:val="1"/>
                <w:szCs w:val="1"/>
                <w:color w:val="auto"/>
              </w:rPr>
            </w:pPr>
          </w:p>
        </w:tc>
      </w:tr>
      <w:tr>
        <w:trPr>
          <w:trHeight w:val="214"/>
        </w:trPr>
        <w:tc>
          <w:tcPr>
            <w:tcW w:w="26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760" w:type="dxa"/>
            <w:vAlign w:val="bottom"/>
          </w:tcPr>
          <w:p>
            <w:pPr>
              <w:ind w:left="100"/>
              <w:spacing w:after="0"/>
              <w:rPr>
                <w:sz w:val="20"/>
                <w:szCs w:val="20"/>
                <w:color w:val="auto"/>
              </w:rPr>
            </w:pPr>
            <w:r>
              <w:rPr>
                <w:rFonts w:ascii="Arial" w:cs="Arial" w:eastAsia="Arial" w:hAnsi="Arial"/>
                <w:sz w:val="16"/>
                <w:szCs w:val="16"/>
                <w:color w:val="auto"/>
              </w:rPr>
              <w:t>remainder of the option term</w:t>
            </w:r>
          </w:p>
        </w:tc>
        <w:tc>
          <w:tcPr>
            <w:tcW w:w="0" w:type="dxa"/>
            <w:vAlign w:val="bottom"/>
          </w:tcPr>
          <w:p>
            <w:pPr>
              <w:spacing w:after="0"/>
              <w:rPr>
                <w:sz w:val="1"/>
                <w:szCs w:val="1"/>
                <w:color w:val="auto"/>
              </w:rPr>
            </w:pPr>
          </w:p>
        </w:tc>
      </w:tr>
      <w:tr>
        <w:trPr>
          <w:trHeight w:val="29"/>
        </w:trPr>
        <w:tc>
          <w:tcPr>
            <w:tcW w:w="26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Any other reason</w:t>
            </w:r>
          </w:p>
        </w:tc>
        <w:tc>
          <w:tcPr>
            <w:tcW w:w="48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Standard Option: Immediate forfeiture</w:t>
            </w:r>
          </w:p>
        </w:tc>
        <w:tc>
          <w:tcPr>
            <w:tcW w:w="3760" w:type="dxa"/>
            <w:vAlign w:val="bottom"/>
            <w:vMerge w:val="restart"/>
            <w:shd w:val="clear" w:color="auto" w:fill="E5E5E5"/>
          </w:tcPr>
          <w:p>
            <w:pPr>
              <w:ind w:left="100"/>
              <w:spacing w:after="0"/>
              <w:rPr>
                <w:sz w:val="20"/>
                <w:szCs w:val="20"/>
                <w:color w:val="auto"/>
              </w:rPr>
            </w:pPr>
            <w:r>
              <w:rPr>
                <w:rFonts w:ascii="Arial" w:cs="Arial" w:eastAsia="Arial" w:hAnsi="Arial"/>
                <w:sz w:val="16"/>
                <w:szCs w:val="16"/>
                <w:color w:val="auto"/>
              </w:rPr>
              <w:t>All three Options: Exercisable for earlier of (i) 90</w:t>
            </w:r>
          </w:p>
        </w:tc>
        <w:tc>
          <w:tcPr>
            <w:tcW w:w="0" w:type="dxa"/>
            <w:vAlign w:val="bottom"/>
          </w:tcPr>
          <w:p>
            <w:pPr>
              <w:spacing w:after="0"/>
              <w:rPr>
                <w:sz w:val="1"/>
                <w:szCs w:val="1"/>
                <w:color w:val="auto"/>
              </w:rPr>
            </w:pPr>
          </w:p>
        </w:tc>
      </w:tr>
      <w:tr>
        <w:trPr>
          <w:trHeight w:val="162"/>
        </w:trPr>
        <w:tc>
          <w:tcPr>
            <w:tcW w:w="2620" w:type="dxa"/>
            <w:vAlign w:val="bottom"/>
            <w:shd w:val="clear" w:color="auto" w:fill="E5E5E5"/>
          </w:tcPr>
          <w:p>
            <w:pPr>
              <w:spacing w:after="0"/>
              <w:rPr>
                <w:sz w:val="14"/>
                <w:szCs w:val="14"/>
                <w:color w:val="auto"/>
              </w:rPr>
            </w:pPr>
          </w:p>
        </w:tc>
        <w:tc>
          <w:tcPr>
            <w:tcW w:w="4860" w:type="dxa"/>
            <w:vAlign w:val="bottom"/>
            <w:shd w:val="clear" w:color="auto" w:fill="E5E5E5"/>
          </w:tcPr>
          <w:p>
            <w:pPr>
              <w:spacing w:after="0"/>
              <w:rPr>
                <w:sz w:val="14"/>
                <w:szCs w:val="14"/>
                <w:color w:val="auto"/>
              </w:rPr>
            </w:pPr>
          </w:p>
        </w:tc>
        <w:tc>
          <w:tcPr>
            <w:tcW w:w="3760" w:type="dxa"/>
            <w:vAlign w:val="bottom"/>
            <w:vMerge w:val="continue"/>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620" w:type="dxa"/>
            <w:vAlign w:val="bottom"/>
            <w:shd w:val="clear" w:color="auto" w:fill="E5E5E5"/>
          </w:tcPr>
          <w:p>
            <w:pPr>
              <w:spacing w:after="0"/>
              <w:rPr>
                <w:sz w:val="17"/>
                <w:szCs w:val="17"/>
                <w:color w:val="auto"/>
              </w:rPr>
            </w:pPr>
          </w:p>
        </w:tc>
        <w:tc>
          <w:tcPr>
            <w:tcW w:w="4860" w:type="dxa"/>
            <w:vAlign w:val="bottom"/>
            <w:shd w:val="clear" w:color="auto" w:fill="E5E5E5"/>
          </w:tcPr>
          <w:p>
            <w:pPr>
              <w:ind w:left="1180"/>
              <w:spacing w:after="0"/>
              <w:rPr>
                <w:sz w:val="20"/>
                <w:szCs w:val="20"/>
                <w:color w:val="auto"/>
              </w:rPr>
            </w:pPr>
            <w:r>
              <w:rPr>
                <w:rFonts w:ascii="Arial" w:cs="Arial" w:eastAsia="Arial" w:hAnsi="Arial"/>
                <w:sz w:val="16"/>
                <w:szCs w:val="16"/>
                <w:color w:val="auto"/>
              </w:rPr>
              <w:t>Investment Option: Immediate forfeiture</w:t>
            </w:r>
          </w:p>
        </w:tc>
        <w:tc>
          <w:tcPr>
            <w:tcW w:w="37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days from date of termination or (ii) the remainder</w:t>
            </w:r>
          </w:p>
        </w:tc>
        <w:tc>
          <w:tcPr>
            <w:tcW w:w="0" w:type="dxa"/>
            <w:vAlign w:val="bottom"/>
          </w:tcPr>
          <w:p>
            <w:pPr>
              <w:spacing w:after="0"/>
              <w:rPr>
                <w:sz w:val="1"/>
                <w:szCs w:val="1"/>
                <w:color w:val="auto"/>
              </w:rPr>
            </w:pPr>
          </w:p>
        </w:tc>
      </w:tr>
      <w:tr>
        <w:trPr>
          <w:trHeight w:val="214"/>
        </w:trPr>
        <w:tc>
          <w:tcPr>
            <w:tcW w:w="2620" w:type="dxa"/>
            <w:vAlign w:val="bottom"/>
            <w:shd w:val="clear" w:color="auto" w:fill="E5E5E5"/>
          </w:tcPr>
          <w:p>
            <w:pPr>
              <w:spacing w:after="0"/>
              <w:rPr>
                <w:sz w:val="18"/>
                <w:szCs w:val="18"/>
                <w:color w:val="auto"/>
              </w:rPr>
            </w:pPr>
          </w:p>
        </w:tc>
        <w:tc>
          <w:tcPr>
            <w:tcW w:w="4860" w:type="dxa"/>
            <w:vAlign w:val="bottom"/>
            <w:vMerge w:val="restart"/>
            <w:shd w:val="clear" w:color="auto" w:fill="E5E5E5"/>
          </w:tcPr>
          <w:p>
            <w:pPr>
              <w:ind w:left="1180"/>
              <w:spacing w:after="0"/>
              <w:rPr>
                <w:sz w:val="20"/>
                <w:szCs w:val="20"/>
                <w:color w:val="auto"/>
              </w:rPr>
            </w:pPr>
            <w:r>
              <w:rPr>
                <w:rFonts w:ascii="Arial" w:cs="Arial" w:eastAsia="Arial" w:hAnsi="Arial"/>
                <w:sz w:val="16"/>
                <w:szCs w:val="16"/>
                <w:color w:val="auto"/>
              </w:rPr>
              <w:t>Performance Option: Immediate forfeiture</w:t>
            </w:r>
          </w:p>
        </w:tc>
        <w:tc>
          <w:tcPr>
            <w:tcW w:w="3760" w:type="dxa"/>
            <w:vAlign w:val="bottom"/>
            <w:shd w:val="clear" w:color="auto" w:fill="E5E5E5"/>
          </w:tcPr>
          <w:p>
            <w:pPr>
              <w:ind w:left="100"/>
              <w:spacing w:after="0"/>
              <w:rPr>
                <w:sz w:val="20"/>
                <w:szCs w:val="20"/>
                <w:color w:val="auto"/>
              </w:rPr>
            </w:pPr>
            <w:r>
              <w:rPr>
                <w:rFonts w:ascii="Arial" w:cs="Arial" w:eastAsia="Arial" w:hAnsi="Arial"/>
                <w:sz w:val="16"/>
                <w:szCs w:val="16"/>
                <w:color w:val="auto"/>
              </w:rPr>
              <w:t>of the option term</w:t>
            </w:r>
          </w:p>
        </w:tc>
        <w:tc>
          <w:tcPr>
            <w:tcW w:w="0" w:type="dxa"/>
            <w:vAlign w:val="bottom"/>
          </w:tcPr>
          <w:p>
            <w:pPr>
              <w:spacing w:after="0"/>
              <w:rPr>
                <w:sz w:val="1"/>
                <w:szCs w:val="1"/>
                <w:color w:val="auto"/>
              </w:rPr>
            </w:pPr>
          </w:p>
        </w:tc>
      </w:tr>
      <w:tr>
        <w:trPr>
          <w:trHeight w:val="203"/>
        </w:trPr>
        <w:tc>
          <w:tcPr>
            <w:tcW w:w="2620" w:type="dxa"/>
            <w:vAlign w:val="bottom"/>
            <w:shd w:val="clear" w:color="auto" w:fill="E5E5E5"/>
          </w:tcPr>
          <w:p>
            <w:pPr>
              <w:spacing w:after="0"/>
              <w:rPr>
                <w:sz w:val="17"/>
                <w:szCs w:val="17"/>
                <w:color w:val="auto"/>
              </w:rPr>
            </w:pPr>
          </w:p>
        </w:tc>
        <w:tc>
          <w:tcPr>
            <w:tcW w:w="4860" w:type="dxa"/>
            <w:vAlign w:val="bottom"/>
            <w:vMerge w:val="continue"/>
            <w:shd w:val="clear" w:color="auto" w:fill="E5E5E5"/>
          </w:tcPr>
          <w:p>
            <w:pPr>
              <w:spacing w:after="0"/>
              <w:rPr>
                <w:sz w:val="17"/>
                <w:szCs w:val="17"/>
                <w:color w:val="auto"/>
              </w:rPr>
            </w:pPr>
          </w:p>
        </w:tc>
        <w:tc>
          <w:tcPr>
            <w:tcW w:w="376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00" w:hanging="393"/>
        <w:spacing w:after="0"/>
        <w:tabs>
          <w:tab w:leader="none" w:pos="4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Retirement is defined as termination other than for cause after obtaining either the age of 60 plus 10 years of service or age 65.</w:t>
      </w:r>
    </w:p>
    <w:p>
      <w:pPr>
        <w:spacing w:after="0" w:line="57" w:lineRule="exact"/>
        <w:rPr>
          <w:rFonts w:ascii="Arial" w:cs="Arial" w:eastAsia="Arial" w:hAnsi="Arial"/>
          <w:sz w:val="16"/>
          <w:szCs w:val="16"/>
          <w:color w:val="auto"/>
        </w:rPr>
      </w:pPr>
    </w:p>
    <w:p>
      <w:pPr>
        <w:jc w:val="both"/>
        <w:ind w:left="420" w:hanging="413"/>
        <w:spacing w:after="0" w:line="273" w:lineRule="auto"/>
        <w:tabs>
          <w:tab w:leader="none" w:pos="415" w:val="left"/>
        </w:tabs>
        <w:numPr>
          <w:ilvl w:val="0"/>
          <w:numId w:val="95"/>
        </w:numPr>
        <w:rPr>
          <w:rFonts w:ascii="Arial" w:cs="Arial" w:eastAsia="Arial" w:hAnsi="Arial"/>
          <w:sz w:val="16"/>
          <w:szCs w:val="16"/>
          <w:color w:val="auto"/>
        </w:rPr>
      </w:pPr>
      <w:r>
        <w:rPr>
          <w:rFonts w:ascii="Arial" w:cs="Arial" w:eastAsia="Arial" w:hAnsi="Arial"/>
          <w:sz w:val="16"/>
          <w:szCs w:val="16"/>
          <w:color w:val="auto"/>
        </w:rPr>
        <w:t>Change of control for these purposes is defined as a termination without cause or for good reason within the period commencing 90 days before and ending one year after a change of control in the Company. If all stock options issued under the 2014 Plan or 2025 Plan were terminated as part of the change of control of the Company, the above is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258445</wp:posOffset>
            </wp:positionV>
            <wp:extent cx="71329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50</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003B71"/>
        </w:rPr>
        <w:t>Performance Based RSUs and Cash, RSUs &amp; PSUs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20" w:type="dxa"/>
            <w:vAlign w:val="bottom"/>
          </w:tcPr>
          <w:p>
            <w:pPr>
              <w:ind w:left="680"/>
              <w:spacing w:after="0"/>
              <w:rPr>
                <w:sz w:val="20"/>
                <w:szCs w:val="20"/>
                <w:color w:val="auto"/>
              </w:rPr>
            </w:pPr>
            <w:r>
              <w:rPr>
                <w:rFonts w:ascii="Arial" w:cs="Arial" w:eastAsia="Arial" w:hAnsi="Arial"/>
                <w:sz w:val="14"/>
                <w:szCs w:val="14"/>
                <w:b w:val="1"/>
                <w:bCs w:val="1"/>
                <w:color w:val="003B71"/>
              </w:rPr>
              <w:t>Performance Based RSUs and</w:t>
            </w:r>
          </w:p>
        </w:tc>
        <w:tc>
          <w:tcPr>
            <w:tcW w:w="27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440" w:type="dxa"/>
            <w:vAlign w:val="bottom"/>
            <w:tcBorders>
              <w:bottom w:val="single" w:sz="8" w:color="003B71"/>
            </w:tcBorders>
            <w:gridSpan w:val="4"/>
          </w:tcPr>
          <w:p>
            <w:pPr>
              <w:ind w:left="20"/>
              <w:spacing w:after="0"/>
              <w:rPr>
                <w:sz w:val="20"/>
                <w:szCs w:val="20"/>
                <w:color w:val="auto"/>
              </w:rPr>
            </w:pPr>
            <w:r>
              <w:rPr>
                <w:rFonts w:ascii="Arial" w:cs="Arial" w:eastAsia="Arial" w:hAnsi="Arial"/>
                <w:sz w:val="14"/>
                <w:szCs w:val="14"/>
                <w:b w:val="1"/>
                <w:bCs w:val="1"/>
                <w:color w:val="003B71"/>
              </w:rPr>
              <w:t>Reason for Termination</w:t>
            </w:r>
          </w:p>
        </w:tc>
        <w:tc>
          <w:tcPr>
            <w:tcW w:w="3120" w:type="dxa"/>
            <w:vAlign w:val="bottom"/>
            <w:tcBorders>
              <w:bottom w:val="single" w:sz="8" w:color="003B71"/>
            </w:tcBorders>
          </w:tcPr>
          <w:p>
            <w:pPr>
              <w:ind w:left="1080"/>
              <w:spacing w:after="0"/>
              <w:rPr>
                <w:sz w:val="20"/>
                <w:szCs w:val="20"/>
                <w:color w:val="auto"/>
              </w:rPr>
            </w:pPr>
            <w:r>
              <w:rPr>
                <w:rFonts w:ascii="Arial" w:cs="Arial" w:eastAsia="Arial" w:hAnsi="Arial"/>
                <w:sz w:val="14"/>
                <w:szCs w:val="14"/>
                <w:b w:val="1"/>
                <w:bCs w:val="1"/>
                <w:color w:val="003B71"/>
              </w:rPr>
              <w:t>Performance Cash</w:t>
            </w:r>
          </w:p>
        </w:tc>
        <w:tc>
          <w:tcPr>
            <w:tcW w:w="2780" w:type="dxa"/>
            <w:vAlign w:val="bottom"/>
            <w:tcBorders>
              <w:bottom w:val="single" w:sz="8" w:color="003B71"/>
            </w:tcBorders>
          </w:tcPr>
          <w:p>
            <w:pPr>
              <w:ind w:left="800"/>
              <w:spacing w:after="0"/>
              <w:rPr>
                <w:sz w:val="20"/>
                <w:szCs w:val="20"/>
                <w:color w:val="auto"/>
              </w:rPr>
            </w:pPr>
            <w:r>
              <w:rPr>
                <w:rFonts w:ascii="Arial" w:cs="Arial" w:eastAsia="Arial" w:hAnsi="Arial"/>
                <w:sz w:val="14"/>
                <w:szCs w:val="14"/>
                <w:b w:val="1"/>
                <w:bCs w:val="1"/>
                <w:color w:val="003B71"/>
              </w:rPr>
              <w:t>Time Based RSUs</w:t>
            </w:r>
          </w:p>
        </w:tc>
        <w:tc>
          <w:tcPr>
            <w:tcW w:w="2820" w:type="dxa"/>
            <w:vAlign w:val="bottom"/>
            <w:tcBorders>
              <w:bottom w:val="single" w:sz="8" w:color="003B71"/>
            </w:tcBorders>
          </w:tcPr>
          <w:p>
            <w:pPr>
              <w:ind w:left="1260"/>
              <w:spacing w:after="0"/>
              <w:rPr>
                <w:sz w:val="20"/>
                <w:szCs w:val="20"/>
                <w:color w:val="auto"/>
              </w:rPr>
            </w:pPr>
            <w:r>
              <w:rPr>
                <w:rFonts w:ascii="Arial" w:cs="Arial" w:eastAsia="Arial" w:hAnsi="Arial"/>
                <w:sz w:val="14"/>
                <w:szCs w:val="14"/>
                <w:b w:val="1"/>
                <w:bCs w:val="1"/>
                <w:color w:val="003B71"/>
              </w:rPr>
              <w:t>PSUs</w:t>
            </w:r>
          </w:p>
        </w:tc>
        <w:tc>
          <w:tcPr>
            <w:tcW w:w="0" w:type="dxa"/>
            <w:vAlign w:val="bottom"/>
          </w:tcPr>
          <w:p>
            <w:pPr>
              <w:spacing w:after="0"/>
              <w:rPr>
                <w:sz w:val="1"/>
                <w:szCs w:val="1"/>
                <w:color w:val="auto"/>
              </w:rPr>
            </w:pPr>
          </w:p>
        </w:tc>
      </w:tr>
      <w:tr>
        <w:trPr>
          <w:trHeight w:val="188"/>
        </w:trPr>
        <w:tc>
          <w:tcPr>
            <w:tcW w:w="2440" w:type="dxa"/>
            <w:vAlign w:val="bottom"/>
            <w:gridSpan w:val="4"/>
          </w:tcPr>
          <w:p>
            <w:pPr>
              <w:ind w:left="20"/>
              <w:spacing w:after="0"/>
              <w:rPr>
                <w:sz w:val="20"/>
                <w:szCs w:val="20"/>
                <w:color w:val="auto"/>
              </w:rPr>
            </w:pPr>
            <w:r>
              <w:rPr>
                <w:rFonts w:ascii="Arial" w:cs="Arial" w:eastAsia="Arial" w:hAnsi="Arial"/>
                <w:sz w:val="16"/>
                <w:szCs w:val="16"/>
                <w:b w:val="1"/>
                <w:bCs w:val="1"/>
                <w:color w:val="003B71"/>
              </w:rPr>
              <w:t>Fiscal 2021 - July 14, 2025</w:t>
            </w:r>
          </w:p>
        </w:tc>
        <w:tc>
          <w:tcPr>
            <w:tcW w:w="3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top w:val="single" w:sz="8" w:color="003B71"/>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440" w:type="dxa"/>
            <w:vAlign w:val="bottom"/>
            <w:gridSpan w:val="4"/>
            <w:shd w:val="clear" w:color="auto" w:fill="DBDBDB"/>
          </w:tcPr>
          <w:p>
            <w:pPr>
              <w:ind w:left="20"/>
              <w:spacing w:after="0"/>
              <w:rPr>
                <w:sz w:val="20"/>
                <w:szCs w:val="20"/>
                <w:color w:val="auto"/>
              </w:rPr>
            </w:pPr>
            <w:r>
              <w:rPr>
                <w:rFonts w:ascii="Arial" w:cs="Arial" w:eastAsia="Arial" w:hAnsi="Arial"/>
                <w:sz w:val="16"/>
                <w:szCs w:val="16"/>
                <w:color w:val="auto"/>
              </w:rPr>
              <w:t>For cause</w:t>
            </w: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Immediate forfeiture</w:t>
            </w:r>
          </w:p>
        </w:tc>
        <w:tc>
          <w:tcPr>
            <w:tcW w:w="2780" w:type="dxa"/>
            <w:vAlign w:val="bottom"/>
            <w:shd w:val="clear" w:color="auto" w:fill="DBDBDB"/>
          </w:tcPr>
          <w:p>
            <w:pPr>
              <w:ind w:left="60"/>
              <w:spacing w:after="0"/>
              <w:rPr>
                <w:sz w:val="20"/>
                <w:szCs w:val="20"/>
                <w:color w:val="auto"/>
              </w:rPr>
            </w:pPr>
            <w:r>
              <w:rPr>
                <w:rFonts w:ascii="Arial" w:cs="Arial" w:eastAsia="Arial" w:hAnsi="Arial"/>
                <w:sz w:val="16"/>
                <w:szCs w:val="16"/>
                <w:color w:val="auto"/>
              </w:rPr>
              <w:t>Immediate forfeiture of unvested</w:t>
            </w: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Immediate forfeiture</w:t>
            </w:r>
          </w:p>
        </w:tc>
        <w:tc>
          <w:tcPr>
            <w:tcW w:w="0" w:type="dxa"/>
            <w:vAlign w:val="bottom"/>
          </w:tcPr>
          <w:p>
            <w:pPr>
              <w:spacing w:after="0"/>
              <w:rPr>
                <w:sz w:val="1"/>
                <w:szCs w:val="1"/>
                <w:color w:val="auto"/>
              </w:rPr>
            </w:pPr>
          </w:p>
        </w:tc>
      </w:tr>
      <w:tr>
        <w:trPr>
          <w:trHeight w:val="223"/>
        </w:trPr>
        <w:tc>
          <w:tcPr>
            <w:tcW w:w="20" w:type="dxa"/>
            <w:vAlign w:val="bottom"/>
            <w:tcBorders>
              <w:bottom w:val="single" w:sz="8" w:color="DBDBDB"/>
            </w:tcBorders>
            <w:shd w:val="clear" w:color="auto" w:fill="DBDBDB"/>
          </w:tcPr>
          <w:p>
            <w:pPr>
              <w:spacing w:after="0"/>
              <w:rPr>
                <w:sz w:val="19"/>
                <w:szCs w:val="19"/>
                <w:color w:val="auto"/>
              </w:rPr>
            </w:pPr>
          </w:p>
        </w:tc>
        <w:tc>
          <w:tcPr>
            <w:tcW w:w="20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DBDBDB"/>
            </w:tcBorders>
            <w:shd w:val="clear" w:color="auto" w:fill="DBDBDB"/>
          </w:tcPr>
          <w:p>
            <w:pPr>
              <w:spacing w:after="0"/>
              <w:rPr>
                <w:sz w:val="19"/>
                <w:szCs w:val="19"/>
                <w:color w:val="auto"/>
              </w:rPr>
            </w:pPr>
          </w:p>
        </w:tc>
        <w:tc>
          <w:tcPr>
            <w:tcW w:w="3120" w:type="dxa"/>
            <w:vAlign w:val="bottom"/>
            <w:tcBorders>
              <w:bottom w:val="single" w:sz="8" w:color="DBDBDB"/>
            </w:tcBorders>
            <w:shd w:val="clear" w:color="auto" w:fill="DBDBDB"/>
          </w:tcPr>
          <w:p>
            <w:pPr>
              <w:spacing w:after="0"/>
              <w:rPr>
                <w:sz w:val="19"/>
                <w:szCs w:val="19"/>
                <w:color w:val="auto"/>
              </w:rPr>
            </w:pPr>
          </w:p>
        </w:tc>
        <w:tc>
          <w:tcPr>
            <w:tcW w:w="278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RSUs</w:t>
            </w:r>
          </w:p>
        </w:tc>
        <w:tc>
          <w:tcPr>
            <w:tcW w:w="28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440" w:type="dxa"/>
            <w:vAlign w:val="bottom"/>
            <w:gridSpan w:val="4"/>
          </w:tcPr>
          <w:p>
            <w:pPr>
              <w:ind w:left="20"/>
              <w:spacing w:after="0"/>
              <w:rPr>
                <w:sz w:val="20"/>
                <w:szCs w:val="20"/>
                <w:color w:val="auto"/>
              </w:rPr>
            </w:pPr>
            <w:r>
              <w:rPr>
                <w:rFonts w:ascii="Arial" w:cs="Arial" w:eastAsia="Arial" w:hAnsi="Arial"/>
                <w:sz w:val="16"/>
                <w:szCs w:val="16"/>
                <w:color w:val="auto"/>
              </w:rPr>
              <w:t>Death or disability</w:t>
            </w:r>
          </w:p>
        </w:tc>
        <w:tc>
          <w:tcPr>
            <w:tcW w:w="3120" w:type="dxa"/>
            <w:vAlign w:val="bottom"/>
          </w:tcPr>
          <w:p>
            <w:pPr>
              <w:ind w:left="380"/>
              <w:spacing w:after="0"/>
              <w:rPr>
                <w:sz w:val="20"/>
                <w:szCs w:val="20"/>
                <w:color w:val="auto"/>
              </w:rPr>
            </w:pPr>
            <w:r>
              <w:rPr>
                <w:rFonts w:ascii="Arial" w:cs="Arial" w:eastAsia="Arial" w:hAnsi="Arial"/>
                <w:sz w:val="16"/>
                <w:szCs w:val="16"/>
                <w:color w:val="auto"/>
              </w:rPr>
              <w:t>Immediate vesting and settlement</w:t>
            </w:r>
          </w:p>
        </w:tc>
        <w:tc>
          <w:tcPr>
            <w:tcW w:w="2780" w:type="dxa"/>
            <w:vAlign w:val="bottom"/>
          </w:tcPr>
          <w:p>
            <w:pPr>
              <w:ind w:left="60"/>
              <w:spacing w:after="0"/>
              <w:rPr>
                <w:sz w:val="20"/>
                <w:szCs w:val="20"/>
                <w:color w:val="auto"/>
              </w:rPr>
            </w:pPr>
            <w:r>
              <w:rPr>
                <w:rFonts w:ascii="Arial" w:cs="Arial" w:eastAsia="Arial" w:hAnsi="Arial"/>
                <w:sz w:val="16"/>
                <w:szCs w:val="16"/>
                <w:color w:val="auto"/>
              </w:rPr>
              <w:t>Immediate vesting and settlement</w:t>
            </w:r>
          </w:p>
        </w:tc>
        <w:tc>
          <w:tcPr>
            <w:tcW w:w="2820" w:type="dxa"/>
            <w:vAlign w:val="bottom"/>
          </w:tcPr>
          <w:p>
            <w:pPr>
              <w:ind w:left="120"/>
              <w:spacing w:after="0"/>
              <w:rPr>
                <w:sz w:val="20"/>
                <w:szCs w:val="20"/>
                <w:color w:val="auto"/>
              </w:rPr>
            </w:pPr>
            <w:r>
              <w:rPr>
                <w:rFonts w:ascii="Arial" w:cs="Arial" w:eastAsia="Arial" w:hAnsi="Arial"/>
                <w:sz w:val="16"/>
                <w:szCs w:val="16"/>
                <w:color w:val="auto"/>
              </w:rPr>
              <w:t>Settlement based on target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based on target performance for full</w:t>
            </w:r>
          </w:p>
        </w:tc>
        <w:tc>
          <w:tcPr>
            <w:tcW w:w="2780" w:type="dxa"/>
            <w:vAlign w:val="bottom"/>
          </w:tcPr>
          <w:p>
            <w:pPr>
              <w:spacing w:after="0"/>
              <w:rPr>
                <w:sz w:val="17"/>
                <w:szCs w:val="17"/>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performance for full performance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performance period notwithstanding</w:t>
            </w:r>
          </w:p>
        </w:tc>
        <w:tc>
          <w:tcPr>
            <w:tcW w:w="278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period, if prior to end of full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termination of service</w:t>
            </w:r>
          </w:p>
        </w:tc>
        <w:tc>
          <w:tcPr>
            <w:tcW w:w="2780" w:type="dxa"/>
            <w:vAlign w:val="bottom"/>
          </w:tcPr>
          <w:p>
            <w:pPr>
              <w:spacing w:after="0"/>
              <w:rPr>
                <w:sz w:val="17"/>
                <w:szCs w:val="17"/>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performance period, notwithstanding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termination of service</w:t>
            </w:r>
          </w:p>
        </w:tc>
        <w:tc>
          <w:tcPr>
            <w:tcW w:w="0" w:type="dxa"/>
            <w:vAlign w:val="bottom"/>
          </w:tcPr>
          <w:p>
            <w:pPr>
              <w:spacing w:after="0"/>
              <w:rPr>
                <w:sz w:val="1"/>
                <w:szCs w:val="1"/>
                <w:color w:val="auto"/>
              </w:rPr>
            </w:pPr>
          </w:p>
        </w:tc>
      </w:tr>
      <w:tr>
        <w:trPr>
          <w:trHeight w:val="208"/>
        </w:trPr>
        <w:tc>
          <w:tcPr>
            <w:tcW w:w="2440" w:type="dxa"/>
            <w:vAlign w:val="bottom"/>
            <w:gridSpan w:val="4"/>
            <w:shd w:val="clear" w:color="auto" w:fill="DBDBDB"/>
          </w:tcPr>
          <w:p>
            <w:pPr>
              <w:ind w:left="20"/>
              <w:spacing w:after="0"/>
              <w:rPr>
                <w:sz w:val="20"/>
                <w:szCs w:val="20"/>
                <w:color w:val="auto"/>
              </w:rPr>
            </w:pPr>
            <w:r>
              <w:rPr>
                <w:rFonts w:ascii="Arial" w:cs="Arial" w:eastAsia="Arial" w:hAnsi="Arial"/>
                <w:sz w:val="16"/>
                <w:szCs w:val="16"/>
                <w:color w:val="auto"/>
              </w:rPr>
              <w:t>Retirement(1)</w:t>
            </w: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Settlement based on actual</w:t>
            </w:r>
          </w:p>
        </w:tc>
        <w:tc>
          <w:tcPr>
            <w:tcW w:w="2780" w:type="dxa"/>
            <w:vAlign w:val="bottom"/>
            <w:shd w:val="clear" w:color="auto" w:fill="DBDBDB"/>
          </w:tcPr>
          <w:p>
            <w:pPr>
              <w:ind w:left="60"/>
              <w:spacing w:after="0"/>
              <w:rPr>
                <w:sz w:val="20"/>
                <w:szCs w:val="20"/>
                <w:color w:val="auto"/>
              </w:rPr>
            </w:pPr>
            <w:r>
              <w:rPr>
                <w:rFonts w:ascii="Arial" w:cs="Arial" w:eastAsia="Arial" w:hAnsi="Arial"/>
                <w:sz w:val="16"/>
                <w:szCs w:val="16"/>
                <w:color w:val="auto"/>
              </w:rPr>
              <w:t>Continued vesting per grant terms</w:t>
            </w: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Settlement based on actual</w:t>
            </w: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performance for full performance</w:t>
            </w:r>
          </w:p>
        </w:tc>
        <w:tc>
          <w:tcPr>
            <w:tcW w:w="2780" w:type="dxa"/>
            <w:vAlign w:val="bottom"/>
            <w:shd w:val="clear" w:color="auto" w:fill="DBDBDB"/>
          </w:tcPr>
          <w:p>
            <w:pPr>
              <w:spacing w:after="0"/>
              <w:rPr>
                <w:sz w:val="17"/>
                <w:szCs w:val="17"/>
                <w:color w:val="auto"/>
              </w:rPr>
            </w:pP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performance for full performance</w:t>
            </w:r>
          </w:p>
        </w:tc>
        <w:tc>
          <w:tcPr>
            <w:tcW w:w="0" w:type="dxa"/>
            <w:vAlign w:val="bottom"/>
          </w:tcPr>
          <w:p>
            <w:pPr>
              <w:spacing w:after="0"/>
              <w:rPr>
                <w:sz w:val="1"/>
                <w:szCs w:val="1"/>
                <w:color w:val="auto"/>
              </w:rPr>
            </w:pPr>
          </w:p>
        </w:tc>
      </w:tr>
      <w:tr>
        <w:trPr>
          <w:trHeight w:val="188"/>
        </w:trPr>
        <w:tc>
          <w:tcPr>
            <w:tcW w:w="20" w:type="dxa"/>
            <w:vAlign w:val="bottom"/>
            <w:shd w:val="clear" w:color="auto" w:fill="DBDBDB"/>
          </w:tcPr>
          <w:p>
            <w:pPr>
              <w:spacing w:after="0"/>
              <w:rPr>
                <w:sz w:val="16"/>
                <w:szCs w:val="16"/>
                <w:color w:val="auto"/>
              </w:rPr>
            </w:pPr>
          </w:p>
        </w:tc>
        <w:tc>
          <w:tcPr>
            <w:tcW w:w="20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period notwithstanding termination of</w:t>
            </w:r>
          </w:p>
        </w:tc>
        <w:tc>
          <w:tcPr>
            <w:tcW w:w="2780" w:type="dxa"/>
            <w:vAlign w:val="bottom"/>
            <w:shd w:val="clear" w:color="auto" w:fill="DBDBDB"/>
          </w:tcPr>
          <w:p>
            <w:pPr>
              <w:spacing w:after="0"/>
              <w:rPr>
                <w:sz w:val="16"/>
                <w:szCs w:val="16"/>
                <w:color w:val="auto"/>
              </w:rPr>
            </w:pP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period notwithstanding termination of</w:t>
            </w: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service, prorated for term of service</w:t>
            </w:r>
          </w:p>
        </w:tc>
        <w:tc>
          <w:tcPr>
            <w:tcW w:w="2780" w:type="dxa"/>
            <w:vAlign w:val="bottom"/>
            <w:shd w:val="clear" w:color="auto" w:fill="DBDBDB"/>
          </w:tcPr>
          <w:p>
            <w:pPr>
              <w:spacing w:after="0"/>
              <w:rPr>
                <w:sz w:val="17"/>
                <w:szCs w:val="17"/>
                <w:color w:val="auto"/>
              </w:rPr>
            </w:pP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service, prorated for term of service</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2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during performance period</w:t>
            </w:r>
          </w:p>
        </w:tc>
        <w:tc>
          <w:tcPr>
            <w:tcW w:w="2780" w:type="dxa"/>
            <w:vAlign w:val="bottom"/>
            <w:shd w:val="clear" w:color="auto" w:fill="DBDBDB"/>
          </w:tcPr>
          <w:p>
            <w:pPr>
              <w:spacing w:after="0"/>
              <w:rPr>
                <w:sz w:val="19"/>
                <w:szCs w:val="19"/>
                <w:color w:val="auto"/>
              </w:rPr>
            </w:pP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during performance period</w:t>
            </w:r>
          </w:p>
        </w:tc>
        <w:tc>
          <w:tcPr>
            <w:tcW w:w="0" w:type="dxa"/>
            <w:vAlign w:val="bottom"/>
          </w:tcPr>
          <w:p>
            <w:pPr>
              <w:spacing w:after="0"/>
              <w:rPr>
                <w:sz w:val="1"/>
                <w:szCs w:val="1"/>
                <w:color w:val="auto"/>
              </w:rPr>
            </w:pPr>
          </w:p>
        </w:tc>
      </w:tr>
      <w:tr>
        <w:trPr>
          <w:trHeight w:val="201"/>
        </w:trPr>
        <w:tc>
          <w:tcPr>
            <w:tcW w:w="2440" w:type="dxa"/>
            <w:vAlign w:val="bottom"/>
            <w:gridSpan w:val="4"/>
          </w:tcPr>
          <w:p>
            <w:pPr>
              <w:ind w:left="20"/>
              <w:spacing w:after="0"/>
              <w:rPr>
                <w:sz w:val="20"/>
                <w:szCs w:val="20"/>
                <w:color w:val="auto"/>
              </w:rPr>
            </w:pPr>
            <w:r>
              <w:rPr>
                <w:rFonts w:ascii="Arial" w:cs="Arial" w:eastAsia="Arial" w:hAnsi="Arial"/>
                <w:sz w:val="16"/>
                <w:szCs w:val="16"/>
                <w:color w:val="auto"/>
              </w:rPr>
              <w:t>Change of control(2)(3)</w:t>
            </w:r>
          </w:p>
        </w:tc>
        <w:tc>
          <w:tcPr>
            <w:tcW w:w="3120" w:type="dxa"/>
            <w:vAlign w:val="bottom"/>
          </w:tcPr>
          <w:p>
            <w:pPr>
              <w:ind w:left="380"/>
              <w:spacing w:after="0"/>
              <w:rPr>
                <w:sz w:val="20"/>
                <w:szCs w:val="20"/>
                <w:color w:val="auto"/>
              </w:rPr>
            </w:pPr>
            <w:r>
              <w:rPr>
                <w:rFonts w:ascii="Arial" w:cs="Arial" w:eastAsia="Arial" w:hAnsi="Arial"/>
                <w:sz w:val="16"/>
                <w:szCs w:val="16"/>
                <w:color w:val="auto"/>
              </w:rPr>
              <w:t>Convert to RSUs based on target</w:t>
            </w:r>
          </w:p>
        </w:tc>
        <w:tc>
          <w:tcPr>
            <w:tcW w:w="2780" w:type="dxa"/>
            <w:vAlign w:val="bottom"/>
          </w:tcPr>
          <w:p>
            <w:pPr>
              <w:ind w:left="60"/>
              <w:spacing w:after="0"/>
              <w:rPr>
                <w:sz w:val="20"/>
                <w:szCs w:val="20"/>
                <w:color w:val="auto"/>
              </w:rPr>
            </w:pPr>
            <w:r>
              <w:rPr>
                <w:rFonts w:ascii="Arial" w:cs="Arial" w:eastAsia="Arial" w:hAnsi="Arial"/>
                <w:sz w:val="16"/>
                <w:szCs w:val="16"/>
                <w:color w:val="auto"/>
              </w:rPr>
              <w:t>Immediate vesting upon termination</w:t>
            </w:r>
          </w:p>
        </w:tc>
        <w:tc>
          <w:tcPr>
            <w:tcW w:w="2820" w:type="dxa"/>
            <w:vAlign w:val="bottom"/>
          </w:tcPr>
          <w:p>
            <w:pPr>
              <w:ind w:left="120"/>
              <w:spacing w:after="0"/>
              <w:rPr>
                <w:sz w:val="20"/>
                <w:szCs w:val="20"/>
                <w:color w:val="auto"/>
              </w:rPr>
            </w:pPr>
            <w:r>
              <w:rPr>
                <w:rFonts w:ascii="Arial" w:cs="Arial" w:eastAsia="Arial" w:hAnsi="Arial"/>
                <w:sz w:val="16"/>
                <w:szCs w:val="16"/>
                <w:color w:val="auto"/>
              </w:rPr>
              <w:t>Convert to RSUs based on actual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performance for full performance</w:t>
            </w:r>
          </w:p>
        </w:tc>
        <w:tc>
          <w:tcPr>
            <w:tcW w:w="2780" w:type="dxa"/>
            <w:vAlign w:val="bottom"/>
          </w:tcPr>
          <w:p>
            <w:pPr>
              <w:spacing w:after="0"/>
              <w:rPr>
                <w:sz w:val="17"/>
                <w:szCs w:val="17"/>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performance for full performance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period; continued vesting per grant</w:t>
            </w:r>
          </w:p>
        </w:tc>
        <w:tc>
          <w:tcPr>
            <w:tcW w:w="278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period; continued vesting per grant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terms; settlement to occur upon</w:t>
            </w:r>
          </w:p>
        </w:tc>
        <w:tc>
          <w:tcPr>
            <w:tcW w:w="2780" w:type="dxa"/>
            <w:vAlign w:val="bottom"/>
          </w:tcPr>
          <w:p>
            <w:pPr>
              <w:spacing w:after="0"/>
              <w:rPr>
                <w:sz w:val="17"/>
                <w:szCs w:val="17"/>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terms; settlement to occur upon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earlier of termination or original</w:t>
            </w:r>
          </w:p>
        </w:tc>
        <w:tc>
          <w:tcPr>
            <w:tcW w:w="2780" w:type="dxa"/>
            <w:vAlign w:val="bottom"/>
          </w:tcPr>
          <w:p>
            <w:pPr>
              <w:spacing w:after="0"/>
              <w:rPr>
                <w:sz w:val="16"/>
                <w:szCs w:val="16"/>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earlier of termination or original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vesting schedule</w:t>
            </w:r>
          </w:p>
        </w:tc>
        <w:tc>
          <w:tcPr>
            <w:tcW w:w="2780" w:type="dxa"/>
            <w:vAlign w:val="bottom"/>
          </w:tcPr>
          <w:p>
            <w:pPr>
              <w:spacing w:after="0"/>
              <w:rPr>
                <w:sz w:val="19"/>
                <w:szCs w:val="19"/>
                <w:color w:val="auto"/>
              </w:rPr>
            </w:pPr>
          </w:p>
        </w:tc>
        <w:tc>
          <w:tcPr>
            <w:tcW w:w="2820" w:type="dxa"/>
            <w:vAlign w:val="bottom"/>
          </w:tcPr>
          <w:p>
            <w:pPr>
              <w:ind w:left="120"/>
              <w:spacing w:after="0"/>
              <w:rPr>
                <w:sz w:val="20"/>
                <w:szCs w:val="20"/>
                <w:color w:val="auto"/>
              </w:rPr>
            </w:pPr>
            <w:r>
              <w:rPr>
                <w:rFonts w:ascii="Arial" w:cs="Arial" w:eastAsia="Arial" w:hAnsi="Arial"/>
                <w:sz w:val="16"/>
                <w:szCs w:val="16"/>
                <w:color w:val="auto"/>
              </w:rPr>
              <w:t>vesting schedule</w:t>
            </w:r>
          </w:p>
        </w:tc>
        <w:tc>
          <w:tcPr>
            <w:tcW w:w="0" w:type="dxa"/>
            <w:vAlign w:val="bottom"/>
          </w:tcPr>
          <w:p>
            <w:pPr>
              <w:spacing w:after="0"/>
              <w:rPr>
                <w:sz w:val="1"/>
                <w:szCs w:val="1"/>
                <w:color w:val="auto"/>
              </w:rPr>
            </w:pPr>
          </w:p>
        </w:tc>
      </w:tr>
      <w:tr>
        <w:trPr>
          <w:trHeight w:val="208"/>
        </w:trPr>
        <w:tc>
          <w:tcPr>
            <w:tcW w:w="2440" w:type="dxa"/>
            <w:vAlign w:val="bottom"/>
            <w:gridSpan w:val="4"/>
            <w:shd w:val="clear" w:color="auto" w:fill="DBDBDB"/>
          </w:tcPr>
          <w:p>
            <w:pPr>
              <w:ind w:left="20"/>
              <w:spacing w:after="0"/>
              <w:rPr>
                <w:sz w:val="20"/>
                <w:szCs w:val="20"/>
                <w:color w:val="auto"/>
              </w:rPr>
            </w:pPr>
            <w:r>
              <w:rPr>
                <w:rFonts w:ascii="Arial" w:cs="Arial" w:eastAsia="Arial" w:hAnsi="Arial"/>
                <w:sz w:val="16"/>
                <w:szCs w:val="16"/>
                <w:color w:val="auto"/>
              </w:rPr>
              <w:t>Without cause</w:t>
            </w: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Settlement based on actual</w:t>
            </w:r>
          </w:p>
        </w:tc>
        <w:tc>
          <w:tcPr>
            <w:tcW w:w="2780" w:type="dxa"/>
            <w:vAlign w:val="bottom"/>
            <w:shd w:val="clear" w:color="auto" w:fill="DBDBDB"/>
          </w:tcPr>
          <w:p>
            <w:pPr>
              <w:ind w:left="60"/>
              <w:spacing w:after="0"/>
              <w:rPr>
                <w:sz w:val="20"/>
                <w:szCs w:val="20"/>
                <w:color w:val="auto"/>
              </w:rPr>
            </w:pPr>
            <w:r>
              <w:rPr>
                <w:rFonts w:ascii="Arial" w:cs="Arial" w:eastAsia="Arial" w:hAnsi="Arial"/>
                <w:sz w:val="16"/>
                <w:szCs w:val="16"/>
                <w:color w:val="auto"/>
              </w:rPr>
              <w:t>Settlement prorated for term of</w:t>
            </w: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Settlement based on actual</w:t>
            </w: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performance for full performance</w:t>
            </w:r>
          </w:p>
        </w:tc>
        <w:tc>
          <w:tcPr>
            <w:tcW w:w="2780" w:type="dxa"/>
            <w:vAlign w:val="bottom"/>
            <w:shd w:val="clear" w:color="auto" w:fill="DBDBDB"/>
          </w:tcPr>
          <w:p>
            <w:pPr>
              <w:ind w:left="60"/>
              <w:spacing w:after="0"/>
              <w:rPr>
                <w:sz w:val="20"/>
                <w:szCs w:val="20"/>
                <w:color w:val="auto"/>
              </w:rPr>
            </w:pPr>
            <w:r>
              <w:rPr>
                <w:rFonts w:ascii="Arial" w:cs="Arial" w:eastAsia="Arial" w:hAnsi="Arial"/>
                <w:sz w:val="16"/>
                <w:szCs w:val="16"/>
                <w:color w:val="auto"/>
              </w:rPr>
              <w:t>service between immediately</w:t>
            </w: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performance for full performance</w:t>
            </w:r>
          </w:p>
        </w:tc>
        <w:tc>
          <w:tcPr>
            <w:tcW w:w="0" w:type="dxa"/>
            <w:vAlign w:val="bottom"/>
          </w:tcPr>
          <w:p>
            <w:pPr>
              <w:spacing w:after="0"/>
              <w:rPr>
                <w:sz w:val="1"/>
                <w:szCs w:val="1"/>
                <w:color w:val="auto"/>
              </w:rPr>
            </w:pPr>
          </w:p>
        </w:tc>
      </w:tr>
      <w:tr>
        <w:trPr>
          <w:trHeight w:val="188"/>
        </w:trPr>
        <w:tc>
          <w:tcPr>
            <w:tcW w:w="20" w:type="dxa"/>
            <w:vAlign w:val="bottom"/>
            <w:shd w:val="clear" w:color="auto" w:fill="DBDBDB"/>
          </w:tcPr>
          <w:p>
            <w:pPr>
              <w:spacing w:after="0"/>
              <w:rPr>
                <w:sz w:val="16"/>
                <w:szCs w:val="16"/>
                <w:color w:val="auto"/>
              </w:rPr>
            </w:pPr>
          </w:p>
        </w:tc>
        <w:tc>
          <w:tcPr>
            <w:tcW w:w="20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period notwithstanding termination of</w:t>
            </w:r>
          </w:p>
        </w:tc>
        <w:tc>
          <w:tcPr>
            <w:tcW w:w="2780" w:type="dxa"/>
            <w:vAlign w:val="bottom"/>
            <w:shd w:val="clear" w:color="auto" w:fill="DBDBDB"/>
          </w:tcPr>
          <w:p>
            <w:pPr>
              <w:ind w:left="60"/>
              <w:spacing w:after="0"/>
              <w:rPr>
                <w:sz w:val="20"/>
                <w:szCs w:val="20"/>
                <w:color w:val="auto"/>
              </w:rPr>
            </w:pPr>
            <w:r>
              <w:rPr>
                <w:rFonts w:ascii="Arial" w:cs="Arial" w:eastAsia="Arial" w:hAnsi="Arial"/>
                <w:sz w:val="16"/>
                <w:szCs w:val="16"/>
                <w:color w:val="auto"/>
              </w:rPr>
              <w:t>preceding vesting date and</w:t>
            </w: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period notwithstanding termination of</w:t>
            </w: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service, prorated for term of service</w:t>
            </w:r>
          </w:p>
        </w:tc>
        <w:tc>
          <w:tcPr>
            <w:tcW w:w="2780" w:type="dxa"/>
            <w:vAlign w:val="bottom"/>
            <w:shd w:val="clear" w:color="auto" w:fill="DBDBDB"/>
          </w:tcPr>
          <w:p>
            <w:pPr>
              <w:ind w:left="60"/>
              <w:spacing w:after="0"/>
              <w:rPr>
                <w:sz w:val="20"/>
                <w:szCs w:val="20"/>
                <w:color w:val="auto"/>
              </w:rPr>
            </w:pPr>
            <w:r>
              <w:rPr>
                <w:rFonts w:ascii="Arial" w:cs="Arial" w:eastAsia="Arial" w:hAnsi="Arial"/>
                <w:sz w:val="16"/>
                <w:szCs w:val="16"/>
                <w:color w:val="auto"/>
              </w:rPr>
              <w:t>termination of service</w:t>
            </w: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service, prorated for term of service</w:t>
            </w: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2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during performance period</w:t>
            </w:r>
          </w:p>
        </w:tc>
        <w:tc>
          <w:tcPr>
            <w:tcW w:w="2780" w:type="dxa"/>
            <w:vAlign w:val="bottom"/>
            <w:shd w:val="clear" w:color="auto" w:fill="DBDBDB"/>
          </w:tcPr>
          <w:p>
            <w:pPr>
              <w:spacing w:after="0"/>
              <w:rPr>
                <w:sz w:val="19"/>
                <w:szCs w:val="19"/>
                <w:color w:val="auto"/>
              </w:rPr>
            </w:pP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during performance period</w:t>
            </w:r>
          </w:p>
        </w:tc>
        <w:tc>
          <w:tcPr>
            <w:tcW w:w="0" w:type="dxa"/>
            <w:vAlign w:val="bottom"/>
          </w:tcPr>
          <w:p>
            <w:pPr>
              <w:spacing w:after="0"/>
              <w:rPr>
                <w:sz w:val="1"/>
                <w:szCs w:val="1"/>
                <w:color w:val="auto"/>
              </w:rPr>
            </w:pPr>
          </w:p>
        </w:tc>
      </w:tr>
      <w:tr>
        <w:trPr>
          <w:trHeight w:val="201"/>
        </w:trPr>
        <w:tc>
          <w:tcPr>
            <w:tcW w:w="2440" w:type="dxa"/>
            <w:vAlign w:val="bottom"/>
            <w:gridSpan w:val="4"/>
          </w:tcPr>
          <w:p>
            <w:pPr>
              <w:ind w:left="20"/>
              <w:spacing w:after="0"/>
              <w:rPr>
                <w:sz w:val="20"/>
                <w:szCs w:val="20"/>
                <w:color w:val="auto"/>
              </w:rPr>
            </w:pPr>
            <w:r>
              <w:rPr>
                <w:rFonts w:ascii="Arial" w:cs="Arial" w:eastAsia="Arial" w:hAnsi="Arial"/>
                <w:sz w:val="16"/>
                <w:szCs w:val="16"/>
                <w:color w:val="auto"/>
              </w:rPr>
              <w:t>Any other cause</w:t>
            </w:r>
          </w:p>
        </w:tc>
        <w:tc>
          <w:tcPr>
            <w:tcW w:w="3120" w:type="dxa"/>
            <w:vAlign w:val="bottom"/>
          </w:tcPr>
          <w:p>
            <w:pPr>
              <w:ind w:left="380"/>
              <w:spacing w:after="0"/>
              <w:rPr>
                <w:sz w:val="20"/>
                <w:szCs w:val="20"/>
                <w:color w:val="auto"/>
              </w:rPr>
            </w:pPr>
            <w:r>
              <w:rPr>
                <w:rFonts w:ascii="Arial" w:cs="Arial" w:eastAsia="Arial" w:hAnsi="Arial"/>
                <w:sz w:val="16"/>
                <w:szCs w:val="16"/>
                <w:color w:val="auto"/>
              </w:rPr>
              <w:t>Immediate forfeiture</w:t>
            </w:r>
          </w:p>
        </w:tc>
        <w:tc>
          <w:tcPr>
            <w:tcW w:w="2780" w:type="dxa"/>
            <w:vAlign w:val="bottom"/>
          </w:tcPr>
          <w:p>
            <w:pPr>
              <w:ind w:left="60"/>
              <w:spacing w:after="0"/>
              <w:rPr>
                <w:sz w:val="20"/>
                <w:szCs w:val="20"/>
                <w:color w:val="auto"/>
              </w:rPr>
            </w:pPr>
            <w:r>
              <w:rPr>
                <w:rFonts w:ascii="Arial" w:cs="Arial" w:eastAsia="Arial" w:hAnsi="Arial"/>
                <w:sz w:val="16"/>
                <w:szCs w:val="16"/>
                <w:color w:val="auto"/>
              </w:rPr>
              <w:t>Immediate forfeiture of unvested</w:t>
            </w:r>
          </w:p>
        </w:tc>
        <w:tc>
          <w:tcPr>
            <w:tcW w:w="2820" w:type="dxa"/>
            <w:vAlign w:val="bottom"/>
          </w:tcPr>
          <w:p>
            <w:pPr>
              <w:ind w:left="120"/>
              <w:spacing w:after="0"/>
              <w:rPr>
                <w:sz w:val="20"/>
                <w:szCs w:val="20"/>
                <w:color w:val="auto"/>
              </w:rPr>
            </w:pPr>
            <w:r>
              <w:rPr>
                <w:rFonts w:ascii="Arial" w:cs="Arial" w:eastAsia="Arial" w:hAnsi="Arial"/>
                <w:sz w:val="16"/>
                <w:szCs w:val="16"/>
                <w:color w:val="auto"/>
              </w:rPr>
              <w:t>Immediate forfeiture</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780" w:type="dxa"/>
            <w:vAlign w:val="bottom"/>
          </w:tcPr>
          <w:p>
            <w:pPr>
              <w:ind w:left="60"/>
              <w:spacing w:after="0"/>
              <w:rPr>
                <w:sz w:val="20"/>
                <w:szCs w:val="20"/>
                <w:color w:val="auto"/>
              </w:rPr>
            </w:pPr>
            <w:r>
              <w:rPr>
                <w:rFonts w:ascii="Arial" w:cs="Arial" w:eastAsia="Arial" w:hAnsi="Arial"/>
                <w:sz w:val="16"/>
                <w:szCs w:val="16"/>
                <w:color w:val="auto"/>
              </w:rPr>
              <w:t>RSUs</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0" w:type="dxa"/>
            <w:vAlign w:val="bottom"/>
            <w:tcBorders>
              <w:bottom w:val="single" w:sz="8" w:color="00497F"/>
            </w:tcBorders>
          </w:tcPr>
          <w:p>
            <w:pPr>
              <w:spacing w:after="0"/>
              <w:rPr>
                <w:sz w:val="2"/>
                <w:szCs w:val="2"/>
                <w:color w:val="auto"/>
              </w:rPr>
            </w:pPr>
          </w:p>
        </w:tc>
        <w:tc>
          <w:tcPr>
            <w:tcW w:w="2000" w:type="dxa"/>
            <w:vAlign w:val="bottom"/>
            <w:tcBorders>
              <w:bottom w:val="single" w:sz="8" w:color="00497F"/>
            </w:tcBorders>
          </w:tcPr>
          <w:p>
            <w:pPr>
              <w:spacing w:after="0"/>
              <w:rPr>
                <w:sz w:val="2"/>
                <w:szCs w:val="2"/>
                <w:color w:val="auto"/>
              </w:rPr>
            </w:pPr>
          </w:p>
        </w:tc>
        <w:tc>
          <w:tcPr>
            <w:tcW w:w="20" w:type="dxa"/>
            <w:vAlign w:val="bottom"/>
            <w:tcBorders>
              <w:bottom w:val="single" w:sz="8" w:color="00497F"/>
            </w:tcBorders>
          </w:tcPr>
          <w:p>
            <w:pPr>
              <w:spacing w:after="0"/>
              <w:rPr>
                <w:sz w:val="2"/>
                <w:szCs w:val="2"/>
                <w:color w:val="auto"/>
              </w:rPr>
            </w:pPr>
          </w:p>
        </w:tc>
        <w:tc>
          <w:tcPr>
            <w:tcW w:w="400" w:type="dxa"/>
            <w:vAlign w:val="bottom"/>
            <w:tcBorders>
              <w:bottom w:val="single" w:sz="8" w:color="00497F"/>
            </w:tcBorders>
          </w:tcPr>
          <w:p>
            <w:pPr>
              <w:spacing w:after="0"/>
              <w:rPr>
                <w:sz w:val="2"/>
                <w:szCs w:val="2"/>
                <w:color w:val="auto"/>
              </w:rPr>
            </w:pPr>
          </w:p>
        </w:tc>
        <w:tc>
          <w:tcPr>
            <w:tcW w:w="3120" w:type="dxa"/>
            <w:vAlign w:val="bottom"/>
            <w:tcBorders>
              <w:bottom w:val="single" w:sz="8" w:color="00497F"/>
            </w:tcBorders>
          </w:tcPr>
          <w:p>
            <w:pPr>
              <w:spacing w:after="0"/>
              <w:rPr>
                <w:sz w:val="2"/>
                <w:szCs w:val="2"/>
                <w:color w:val="auto"/>
              </w:rPr>
            </w:pPr>
          </w:p>
        </w:tc>
        <w:tc>
          <w:tcPr>
            <w:tcW w:w="2780" w:type="dxa"/>
            <w:vAlign w:val="bottom"/>
            <w:tcBorders>
              <w:bottom w:val="single" w:sz="8" w:color="00497F"/>
            </w:tcBorders>
          </w:tcPr>
          <w:p>
            <w:pPr>
              <w:spacing w:after="0"/>
              <w:rPr>
                <w:sz w:val="2"/>
                <w:szCs w:val="2"/>
                <w:color w:val="auto"/>
              </w:rPr>
            </w:pPr>
          </w:p>
        </w:tc>
        <w:tc>
          <w:tcPr>
            <w:tcW w:w="2820" w:type="dxa"/>
            <w:vAlign w:val="bottom"/>
            <w:tcBorders>
              <w:bottom w:val="single" w:sz="8" w:color="00497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440" w:type="dxa"/>
            <w:vAlign w:val="bottom"/>
            <w:gridSpan w:val="4"/>
          </w:tcPr>
          <w:p>
            <w:pPr>
              <w:ind w:left="20"/>
              <w:spacing w:after="0" w:line="181" w:lineRule="exact"/>
              <w:rPr>
                <w:sz w:val="20"/>
                <w:szCs w:val="20"/>
                <w:color w:val="auto"/>
              </w:rPr>
            </w:pPr>
            <w:r>
              <w:rPr>
                <w:rFonts w:ascii="Arial" w:cs="Arial" w:eastAsia="Arial" w:hAnsi="Arial"/>
                <w:sz w:val="16"/>
                <w:szCs w:val="16"/>
                <w:b w:val="1"/>
                <w:bCs w:val="1"/>
                <w:color w:val="003B71"/>
              </w:rPr>
              <w:t>July 15, 2025 - later grants</w:t>
            </w:r>
          </w:p>
        </w:tc>
        <w:tc>
          <w:tcPr>
            <w:tcW w:w="3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00" w:type="dxa"/>
            <w:vAlign w:val="bottom"/>
            <w:tcBorders>
              <w:top w:val="single" w:sz="8" w:color="003B71"/>
            </w:tcBorders>
          </w:tcPr>
          <w:p>
            <w:pPr>
              <w:spacing w:after="0"/>
              <w:rPr>
                <w:sz w:val="2"/>
                <w:szCs w:val="2"/>
                <w:color w:val="auto"/>
              </w:rPr>
            </w:pPr>
          </w:p>
        </w:tc>
        <w:tc>
          <w:tcPr>
            <w:tcW w:w="20" w:type="dxa"/>
            <w:vAlign w:val="bottom"/>
            <w:tcBorders>
              <w:top w:val="single" w:sz="8" w:color="003B71"/>
            </w:tcBorders>
          </w:tcPr>
          <w:p>
            <w:pPr>
              <w:spacing w:after="0"/>
              <w:rPr>
                <w:sz w:val="2"/>
                <w:szCs w:val="2"/>
                <w:color w:val="auto"/>
              </w:rPr>
            </w:pPr>
          </w:p>
        </w:tc>
        <w:tc>
          <w:tcPr>
            <w:tcW w:w="4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440" w:type="dxa"/>
            <w:vAlign w:val="bottom"/>
            <w:gridSpan w:val="4"/>
            <w:shd w:val="clear" w:color="auto" w:fill="DBDBDB"/>
          </w:tcPr>
          <w:p>
            <w:pPr>
              <w:ind w:left="20"/>
              <w:spacing w:after="0"/>
              <w:rPr>
                <w:sz w:val="20"/>
                <w:szCs w:val="20"/>
                <w:color w:val="auto"/>
              </w:rPr>
            </w:pPr>
            <w:r>
              <w:rPr>
                <w:rFonts w:ascii="Arial" w:cs="Arial" w:eastAsia="Arial" w:hAnsi="Arial"/>
                <w:sz w:val="16"/>
                <w:szCs w:val="16"/>
                <w:color w:val="auto"/>
              </w:rPr>
              <w:t>For cause</w:t>
            </w: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Immediate forfeiture of unvested</w:t>
            </w:r>
          </w:p>
        </w:tc>
        <w:tc>
          <w:tcPr>
            <w:tcW w:w="2780" w:type="dxa"/>
            <w:vAlign w:val="bottom"/>
            <w:shd w:val="clear" w:color="auto" w:fill="DBDBDB"/>
          </w:tcPr>
          <w:p>
            <w:pPr>
              <w:ind w:left="60"/>
              <w:spacing w:after="0"/>
              <w:rPr>
                <w:sz w:val="20"/>
                <w:szCs w:val="20"/>
                <w:color w:val="auto"/>
              </w:rPr>
            </w:pPr>
            <w:r>
              <w:rPr>
                <w:rFonts w:ascii="Arial" w:cs="Arial" w:eastAsia="Arial" w:hAnsi="Arial"/>
                <w:sz w:val="16"/>
                <w:szCs w:val="16"/>
                <w:color w:val="auto"/>
              </w:rPr>
              <w:t>Immediate forfeiture of unvested</w:t>
            </w: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Immediate forfeiture of unvested</w:t>
            </w:r>
          </w:p>
        </w:tc>
        <w:tc>
          <w:tcPr>
            <w:tcW w:w="0" w:type="dxa"/>
            <w:vAlign w:val="bottom"/>
          </w:tcPr>
          <w:p>
            <w:pPr>
              <w:spacing w:after="0"/>
              <w:rPr>
                <w:sz w:val="1"/>
                <w:szCs w:val="1"/>
                <w:color w:val="auto"/>
              </w:rPr>
            </w:pPr>
          </w:p>
        </w:tc>
      </w:tr>
      <w:tr>
        <w:trPr>
          <w:trHeight w:val="223"/>
        </w:trPr>
        <w:tc>
          <w:tcPr>
            <w:tcW w:w="20" w:type="dxa"/>
            <w:vAlign w:val="bottom"/>
            <w:tcBorders>
              <w:bottom w:val="single" w:sz="8" w:color="DBDBDB"/>
            </w:tcBorders>
            <w:shd w:val="clear" w:color="auto" w:fill="DBDBDB"/>
          </w:tcPr>
          <w:p>
            <w:pPr>
              <w:spacing w:after="0"/>
              <w:rPr>
                <w:sz w:val="19"/>
                <w:szCs w:val="19"/>
                <w:color w:val="auto"/>
              </w:rPr>
            </w:pPr>
          </w:p>
        </w:tc>
        <w:tc>
          <w:tcPr>
            <w:tcW w:w="20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DBDBDB"/>
            </w:tcBorders>
            <w:shd w:val="clear" w:color="auto" w:fill="DBDBDB"/>
          </w:tcPr>
          <w:p>
            <w:pPr>
              <w:spacing w:after="0"/>
              <w:rPr>
                <w:sz w:val="19"/>
                <w:szCs w:val="19"/>
                <w:color w:val="auto"/>
              </w:rPr>
            </w:pPr>
          </w:p>
        </w:tc>
        <w:tc>
          <w:tcPr>
            <w:tcW w:w="3120" w:type="dxa"/>
            <w:vAlign w:val="bottom"/>
            <w:tcBorders>
              <w:bottom w:val="single" w:sz="8" w:color="DBDBDB"/>
            </w:tcBorders>
            <w:shd w:val="clear" w:color="auto" w:fill="DBDBDB"/>
          </w:tcPr>
          <w:p>
            <w:pPr>
              <w:ind w:left="380"/>
              <w:spacing w:after="0"/>
              <w:rPr>
                <w:sz w:val="20"/>
                <w:szCs w:val="20"/>
                <w:color w:val="auto"/>
              </w:rPr>
            </w:pPr>
            <w:r>
              <w:rPr>
                <w:rFonts w:ascii="Arial" w:cs="Arial" w:eastAsia="Arial" w:hAnsi="Arial"/>
                <w:sz w:val="16"/>
                <w:szCs w:val="16"/>
                <w:color w:val="auto"/>
              </w:rPr>
              <w:t>RSUs</w:t>
            </w:r>
          </w:p>
        </w:tc>
        <w:tc>
          <w:tcPr>
            <w:tcW w:w="278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RSUs</w:t>
            </w:r>
          </w:p>
        </w:tc>
        <w:tc>
          <w:tcPr>
            <w:tcW w:w="282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RSUs</w:t>
            </w:r>
          </w:p>
        </w:tc>
        <w:tc>
          <w:tcPr>
            <w:tcW w:w="0" w:type="dxa"/>
            <w:vAlign w:val="bottom"/>
          </w:tcPr>
          <w:p>
            <w:pPr>
              <w:spacing w:after="0"/>
              <w:rPr>
                <w:sz w:val="1"/>
                <w:szCs w:val="1"/>
                <w:color w:val="auto"/>
              </w:rPr>
            </w:pPr>
          </w:p>
        </w:tc>
      </w:tr>
      <w:tr>
        <w:trPr>
          <w:trHeight w:val="201"/>
        </w:trPr>
        <w:tc>
          <w:tcPr>
            <w:tcW w:w="2440" w:type="dxa"/>
            <w:vAlign w:val="bottom"/>
            <w:gridSpan w:val="4"/>
          </w:tcPr>
          <w:p>
            <w:pPr>
              <w:ind w:left="20"/>
              <w:spacing w:after="0"/>
              <w:rPr>
                <w:sz w:val="20"/>
                <w:szCs w:val="20"/>
                <w:color w:val="auto"/>
              </w:rPr>
            </w:pPr>
            <w:r>
              <w:rPr>
                <w:rFonts w:ascii="Arial" w:cs="Arial" w:eastAsia="Arial" w:hAnsi="Arial"/>
                <w:sz w:val="16"/>
                <w:szCs w:val="16"/>
                <w:color w:val="auto"/>
              </w:rPr>
              <w:t>Death or disability</w:t>
            </w:r>
          </w:p>
        </w:tc>
        <w:tc>
          <w:tcPr>
            <w:tcW w:w="3120" w:type="dxa"/>
            <w:vAlign w:val="bottom"/>
          </w:tcPr>
          <w:p>
            <w:pPr>
              <w:ind w:left="380"/>
              <w:spacing w:after="0"/>
              <w:rPr>
                <w:sz w:val="20"/>
                <w:szCs w:val="20"/>
                <w:color w:val="auto"/>
              </w:rPr>
            </w:pPr>
            <w:r>
              <w:rPr>
                <w:rFonts w:ascii="Arial" w:cs="Arial" w:eastAsia="Arial" w:hAnsi="Arial"/>
                <w:sz w:val="16"/>
                <w:szCs w:val="16"/>
                <w:color w:val="auto"/>
              </w:rPr>
              <w:t>After performance period – if there</w:t>
            </w:r>
          </w:p>
        </w:tc>
        <w:tc>
          <w:tcPr>
            <w:tcW w:w="2780" w:type="dxa"/>
            <w:vAlign w:val="bottom"/>
          </w:tcPr>
          <w:p>
            <w:pPr>
              <w:ind w:left="60"/>
              <w:spacing w:after="0"/>
              <w:rPr>
                <w:sz w:val="20"/>
                <w:szCs w:val="20"/>
                <w:color w:val="auto"/>
              </w:rPr>
            </w:pPr>
            <w:r>
              <w:rPr>
                <w:rFonts w:ascii="Arial" w:cs="Arial" w:eastAsia="Arial" w:hAnsi="Arial"/>
                <w:sz w:val="16"/>
                <w:szCs w:val="16"/>
                <w:color w:val="auto"/>
              </w:rPr>
              <w:t>Settlement based on target</w:t>
            </w:r>
          </w:p>
        </w:tc>
        <w:tc>
          <w:tcPr>
            <w:tcW w:w="2820" w:type="dxa"/>
            <w:vAlign w:val="bottom"/>
          </w:tcPr>
          <w:p>
            <w:pPr>
              <w:ind w:left="120"/>
              <w:spacing w:after="0"/>
              <w:rPr>
                <w:sz w:val="20"/>
                <w:szCs w:val="20"/>
                <w:color w:val="auto"/>
              </w:rPr>
            </w:pPr>
            <w:r>
              <w:rPr>
                <w:rFonts w:ascii="Arial" w:cs="Arial" w:eastAsia="Arial" w:hAnsi="Arial"/>
                <w:sz w:val="16"/>
                <w:szCs w:val="16"/>
                <w:color w:val="auto"/>
              </w:rPr>
              <w:t>Settlement based on target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are Earned RSUs, then full vest and</w:t>
            </w:r>
          </w:p>
        </w:tc>
        <w:tc>
          <w:tcPr>
            <w:tcW w:w="2780" w:type="dxa"/>
            <w:vAlign w:val="bottom"/>
          </w:tcPr>
          <w:p>
            <w:pPr>
              <w:ind w:left="60"/>
              <w:spacing w:after="0"/>
              <w:rPr>
                <w:sz w:val="20"/>
                <w:szCs w:val="20"/>
                <w:color w:val="auto"/>
              </w:rPr>
            </w:pPr>
            <w:r>
              <w:rPr>
                <w:rFonts w:ascii="Arial" w:cs="Arial" w:eastAsia="Arial" w:hAnsi="Arial"/>
                <w:sz w:val="16"/>
                <w:szCs w:val="16"/>
                <w:color w:val="auto"/>
              </w:rPr>
              <w:t>performance for full performance</w:t>
            </w:r>
          </w:p>
        </w:tc>
        <w:tc>
          <w:tcPr>
            <w:tcW w:w="2820" w:type="dxa"/>
            <w:vAlign w:val="bottom"/>
          </w:tcPr>
          <w:p>
            <w:pPr>
              <w:ind w:left="120"/>
              <w:spacing w:after="0"/>
              <w:rPr>
                <w:sz w:val="20"/>
                <w:szCs w:val="20"/>
                <w:color w:val="auto"/>
              </w:rPr>
            </w:pPr>
            <w:r>
              <w:rPr>
                <w:rFonts w:ascii="Arial" w:cs="Arial" w:eastAsia="Arial" w:hAnsi="Arial"/>
                <w:sz w:val="16"/>
                <w:szCs w:val="16"/>
                <w:color w:val="auto"/>
              </w:rPr>
              <w:t>performance for full performance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settle within 30 days</w:t>
            </w:r>
          </w:p>
        </w:tc>
        <w:tc>
          <w:tcPr>
            <w:tcW w:w="2780" w:type="dxa"/>
            <w:vAlign w:val="bottom"/>
          </w:tcPr>
          <w:p>
            <w:pPr>
              <w:ind w:left="60"/>
              <w:spacing w:after="0"/>
              <w:rPr>
                <w:sz w:val="20"/>
                <w:szCs w:val="20"/>
                <w:color w:val="auto"/>
              </w:rPr>
            </w:pPr>
            <w:r>
              <w:rPr>
                <w:rFonts w:ascii="Arial" w:cs="Arial" w:eastAsia="Arial" w:hAnsi="Arial"/>
                <w:sz w:val="16"/>
                <w:szCs w:val="16"/>
                <w:color w:val="auto"/>
              </w:rPr>
              <w:t>period, if prior to end of full</w:t>
            </w:r>
          </w:p>
        </w:tc>
        <w:tc>
          <w:tcPr>
            <w:tcW w:w="2820" w:type="dxa"/>
            <w:vAlign w:val="bottom"/>
          </w:tcPr>
          <w:p>
            <w:pPr>
              <w:ind w:left="120"/>
              <w:spacing w:after="0"/>
              <w:rPr>
                <w:sz w:val="20"/>
                <w:szCs w:val="20"/>
                <w:color w:val="auto"/>
              </w:rPr>
            </w:pPr>
            <w:r>
              <w:rPr>
                <w:rFonts w:ascii="Arial" w:cs="Arial" w:eastAsia="Arial" w:hAnsi="Arial"/>
                <w:sz w:val="16"/>
                <w:szCs w:val="16"/>
                <w:color w:val="auto"/>
              </w:rPr>
              <w:t>period, if prior to end of full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20" w:type="dxa"/>
            <w:vAlign w:val="bottom"/>
            <w:vMerge w:val="restart"/>
          </w:tcPr>
          <w:p>
            <w:pPr>
              <w:ind w:left="380"/>
              <w:spacing w:after="0"/>
              <w:rPr>
                <w:sz w:val="20"/>
                <w:szCs w:val="20"/>
                <w:color w:val="auto"/>
              </w:rPr>
            </w:pPr>
            <w:r>
              <w:rPr>
                <w:rFonts w:ascii="Arial" w:cs="Arial" w:eastAsia="Arial" w:hAnsi="Arial"/>
                <w:sz w:val="16"/>
                <w:szCs w:val="16"/>
                <w:color w:val="auto"/>
              </w:rPr>
              <w:t>Before close of performance period –</w:t>
            </w:r>
          </w:p>
        </w:tc>
        <w:tc>
          <w:tcPr>
            <w:tcW w:w="2780" w:type="dxa"/>
            <w:vAlign w:val="bottom"/>
          </w:tcPr>
          <w:p>
            <w:pPr>
              <w:ind w:left="60"/>
              <w:spacing w:after="0"/>
              <w:rPr>
                <w:sz w:val="20"/>
                <w:szCs w:val="20"/>
                <w:color w:val="auto"/>
              </w:rPr>
            </w:pPr>
            <w:r>
              <w:rPr>
                <w:rFonts w:ascii="Arial" w:cs="Arial" w:eastAsia="Arial" w:hAnsi="Arial"/>
                <w:sz w:val="16"/>
                <w:szCs w:val="16"/>
                <w:color w:val="auto"/>
              </w:rPr>
              <w:t>performance period, notwithstanding</w:t>
            </w:r>
          </w:p>
        </w:tc>
        <w:tc>
          <w:tcPr>
            <w:tcW w:w="2820" w:type="dxa"/>
            <w:vAlign w:val="bottom"/>
          </w:tcPr>
          <w:p>
            <w:pPr>
              <w:ind w:left="120"/>
              <w:spacing w:after="0"/>
              <w:rPr>
                <w:sz w:val="20"/>
                <w:szCs w:val="20"/>
                <w:color w:val="auto"/>
              </w:rPr>
            </w:pPr>
            <w:r>
              <w:rPr>
                <w:rFonts w:ascii="Arial" w:cs="Arial" w:eastAsia="Arial" w:hAnsi="Arial"/>
                <w:sz w:val="16"/>
                <w:szCs w:val="16"/>
                <w:color w:val="auto"/>
              </w:rPr>
              <w:t>performance period, notwithstanding</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vMerge w:val="continue"/>
          </w:tcPr>
          <w:p>
            <w:pPr>
              <w:spacing w:after="0"/>
              <w:rPr>
                <w:sz w:val="16"/>
                <w:szCs w:val="16"/>
                <w:color w:val="auto"/>
              </w:rPr>
            </w:pPr>
          </w:p>
        </w:tc>
        <w:tc>
          <w:tcPr>
            <w:tcW w:w="2780" w:type="dxa"/>
            <w:vAlign w:val="bottom"/>
          </w:tcPr>
          <w:p>
            <w:pPr>
              <w:ind w:left="60"/>
              <w:spacing w:after="0"/>
              <w:rPr>
                <w:sz w:val="20"/>
                <w:szCs w:val="20"/>
                <w:color w:val="auto"/>
              </w:rPr>
            </w:pPr>
            <w:r>
              <w:rPr>
                <w:rFonts w:ascii="Arial" w:cs="Arial" w:eastAsia="Arial" w:hAnsi="Arial"/>
                <w:sz w:val="16"/>
                <w:szCs w:val="16"/>
                <w:color w:val="auto"/>
              </w:rPr>
              <w:t>termination of service</w:t>
            </w:r>
          </w:p>
        </w:tc>
        <w:tc>
          <w:tcPr>
            <w:tcW w:w="2820" w:type="dxa"/>
            <w:vAlign w:val="bottom"/>
          </w:tcPr>
          <w:p>
            <w:pPr>
              <w:ind w:left="120"/>
              <w:spacing w:after="0"/>
              <w:rPr>
                <w:sz w:val="20"/>
                <w:szCs w:val="20"/>
                <w:color w:val="auto"/>
              </w:rPr>
            </w:pPr>
            <w:r>
              <w:rPr>
                <w:rFonts w:ascii="Arial" w:cs="Arial" w:eastAsia="Arial" w:hAnsi="Arial"/>
                <w:sz w:val="16"/>
                <w:szCs w:val="16"/>
                <w:color w:val="auto"/>
              </w:rPr>
              <w:t>termination of service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20" w:type="dxa"/>
            <w:vAlign w:val="bottom"/>
          </w:tcPr>
          <w:p>
            <w:pPr>
              <w:ind w:left="380"/>
              <w:spacing w:after="0"/>
              <w:rPr>
                <w:sz w:val="20"/>
                <w:szCs w:val="20"/>
                <w:color w:val="auto"/>
              </w:rPr>
            </w:pPr>
            <w:r>
              <w:rPr>
                <w:rFonts w:ascii="Arial" w:cs="Arial" w:eastAsia="Arial" w:hAnsi="Arial"/>
                <w:sz w:val="16"/>
                <w:szCs w:val="16"/>
                <w:color w:val="auto"/>
              </w:rPr>
              <w:t>full vest and settle within 60 days</w:t>
            </w:r>
          </w:p>
        </w:tc>
        <w:tc>
          <w:tcPr>
            <w:tcW w:w="2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440" w:type="dxa"/>
            <w:vAlign w:val="bottom"/>
            <w:gridSpan w:val="4"/>
            <w:shd w:val="clear" w:color="auto" w:fill="DBDBDB"/>
          </w:tcPr>
          <w:p>
            <w:pPr>
              <w:ind w:left="20"/>
              <w:spacing w:after="0" w:line="208" w:lineRule="exact"/>
              <w:rPr>
                <w:sz w:val="20"/>
                <w:szCs w:val="20"/>
                <w:color w:val="auto"/>
              </w:rPr>
            </w:pPr>
            <w:r>
              <w:rPr>
                <w:rFonts w:ascii="Arial" w:cs="Arial" w:eastAsia="Arial" w:hAnsi="Arial"/>
                <w:sz w:val="16"/>
                <w:szCs w:val="16"/>
                <w:color w:val="auto"/>
              </w:rPr>
              <w:t>Retirement</w:t>
            </w:r>
            <w:r>
              <w:rPr>
                <w:rFonts w:ascii="Arial" w:cs="Arial" w:eastAsia="Arial" w:hAnsi="Arial"/>
                <w:sz w:val="20"/>
                <w:szCs w:val="20"/>
                <w:color w:val="auto"/>
                <w:vertAlign w:val="superscript"/>
              </w:rPr>
              <w:t>(1)</w:t>
            </w: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After performance period, if there are</w:t>
            </w:r>
          </w:p>
        </w:tc>
        <w:tc>
          <w:tcPr>
            <w:tcW w:w="2780" w:type="dxa"/>
            <w:vAlign w:val="bottom"/>
            <w:shd w:val="clear" w:color="auto" w:fill="DBDBDB"/>
          </w:tcPr>
          <w:p>
            <w:pPr>
              <w:spacing w:after="0"/>
              <w:rPr>
                <w:sz w:val="18"/>
                <w:szCs w:val="18"/>
                <w:color w:val="auto"/>
              </w:rPr>
            </w:pPr>
          </w:p>
        </w:tc>
        <w:tc>
          <w:tcPr>
            <w:tcW w:w="28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Earned RSUs, then full vest and</w:t>
            </w:r>
          </w:p>
        </w:tc>
        <w:tc>
          <w:tcPr>
            <w:tcW w:w="2780" w:type="dxa"/>
            <w:vAlign w:val="bottom"/>
            <w:shd w:val="clear" w:color="auto" w:fill="DBDBDB"/>
          </w:tcPr>
          <w:p>
            <w:pPr>
              <w:spacing w:after="0"/>
              <w:rPr>
                <w:sz w:val="17"/>
                <w:szCs w:val="17"/>
                <w:color w:val="auto"/>
              </w:rPr>
            </w:pPr>
          </w:p>
        </w:tc>
        <w:tc>
          <w:tcPr>
            <w:tcW w:w="28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DBDBDB"/>
          </w:tcPr>
          <w:p>
            <w:pPr>
              <w:spacing w:after="0"/>
              <w:rPr>
                <w:sz w:val="18"/>
                <w:szCs w:val="18"/>
                <w:color w:val="auto"/>
              </w:rPr>
            </w:pPr>
          </w:p>
        </w:tc>
        <w:tc>
          <w:tcPr>
            <w:tcW w:w="20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settle within 30 days</w:t>
            </w:r>
          </w:p>
        </w:tc>
        <w:tc>
          <w:tcPr>
            <w:tcW w:w="2780" w:type="dxa"/>
            <w:vAlign w:val="bottom"/>
            <w:shd w:val="clear" w:color="auto" w:fill="DBDBDB"/>
          </w:tcPr>
          <w:p>
            <w:pPr>
              <w:spacing w:after="0"/>
              <w:rPr>
                <w:sz w:val="18"/>
                <w:szCs w:val="18"/>
                <w:color w:val="auto"/>
              </w:rPr>
            </w:pPr>
          </w:p>
        </w:tc>
        <w:tc>
          <w:tcPr>
            <w:tcW w:w="28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shd w:val="clear" w:color="auto" w:fill="DBDBDB"/>
          </w:tcPr>
          <w:p>
            <w:pPr>
              <w:spacing w:after="0"/>
              <w:rPr>
                <w:sz w:val="24"/>
                <w:szCs w:val="24"/>
                <w:color w:val="auto"/>
              </w:rPr>
            </w:pPr>
          </w:p>
        </w:tc>
        <w:tc>
          <w:tcPr>
            <w:tcW w:w="2000" w:type="dxa"/>
            <w:vAlign w:val="bottom"/>
            <w:shd w:val="clear" w:color="auto" w:fill="DBDBDB"/>
          </w:tcPr>
          <w:p>
            <w:pPr>
              <w:spacing w:after="0"/>
              <w:rPr>
                <w:sz w:val="24"/>
                <w:szCs w:val="24"/>
                <w:color w:val="auto"/>
              </w:rPr>
            </w:pPr>
          </w:p>
        </w:tc>
        <w:tc>
          <w:tcPr>
            <w:tcW w:w="20" w:type="dxa"/>
            <w:vAlign w:val="bottom"/>
            <w:shd w:val="clear" w:color="auto" w:fill="DBDBDB"/>
          </w:tcPr>
          <w:p>
            <w:pPr>
              <w:spacing w:after="0"/>
              <w:rPr>
                <w:sz w:val="24"/>
                <w:szCs w:val="24"/>
                <w:color w:val="auto"/>
              </w:rPr>
            </w:pPr>
          </w:p>
        </w:tc>
        <w:tc>
          <w:tcPr>
            <w:tcW w:w="400" w:type="dxa"/>
            <w:vAlign w:val="bottom"/>
            <w:shd w:val="clear" w:color="auto" w:fill="DBDBDB"/>
          </w:tcPr>
          <w:p>
            <w:pPr>
              <w:spacing w:after="0"/>
              <w:rPr>
                <w:sz w:val="24"/>
                <w:szCs w:val="24"/>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Before close of performance period,</w:t>
            </w:r>
          </w:p>
        </w:tc>
        <w:tc>
          <w:tcPr>
            <w:tcW w:w="2780" w:type="dxa"/>
            <w:vAlign w:val="bottom"/>
            <w:shd w:val="clear" w:color="auto" w:fill="DBDBDB"/>
          </w:tcPr>
          <w:p>
            <w:pPr>
              <w:ind w:left="60"/>
              <w:spacing w:after="0"/>
              <w:rPr>
                <w:sz w:val="20"/>
                <w:szCs w:val="20"/>
                <w:color w:val="auto"/>
              </w:rPr>
            </w:pPr>
            <w:r>
              <w:rPr>
                <w:rFonts w:ascii="Arial" w:cs="Arial" w:eastAsia="Arial" w:hAnsi="Arial"/>
                <w:sz w:val="16"/>
                <w:szCs w:val="16"/>
                <w:color w:val="auto"/>
              </w:rPr>
              <w:t>Immediate forfeiture</w:t>
            </w:r>
          </w:p>
        </w:tc>
        <w:tc>
          <w:tcPr>
            <w:tcW w:w="2820" w:type="dxa"/>
            <w:vAlign w:val="bottom"/>
            <w:shd w:val="clear" w:color="auto" w:fill="DBDBDB"/>
          </w:tcPr>
          <w:p>
            <w:pPr>
              <w:ind w:left="120"/>
              <w:spacing w:after="0"/>
              <w:rPr>
                <w:sz w:val="20"/>
                <w:szCs w:val="20"/>
                <w:color w:val="auto"/>
              </w:rPr>
            </w:pPr>
            <w:r>
              <w:rPr>
                <w:rFonts w:ascii="Arial" w:cs="Arial" w:eastAsia="Arial" w:hAnsi="Arial"/>
                <w:sz w:val="16"/>
                <w:szCs w:val="16"/>
                <w:color w:val="auto"/>
              </w:rPr>
              <w:t>Immediate forfeiture</w:t>
            </w:r>
          </w:p>
        </w:tc>
        <w:tc>
          <w:tcPr>
            <w:tcW w:w="0" w:type="dxa"/>
            <w:vAlign w:val="bottom"/>
          </w:tcPr>
          <w:p>
            <w:pPr>
              <w:spacing w:after="0"/>
              <w:rPr>
                <w:sz w:val="1"/>
                <w:szCs w:val="1"/>
                <w:color w:val="auto"/>
              </w:rPr>
            </w:pPr>
          </w:p>
        </w:tc>
      </w:tr>
      <w:tr>
        <w:trPr>
          <w:trHeight w:val="188"/>
        </w:trPr>
        <w:tc>
          <w:tcPr>
            <w:tcW w:w="20" w:type="dxa"/>
            <w:vAlign w:val="bottom"/>
            <w:shd w:val="clear" w:color="auto" w:fill="DBDBDB"/>
          </w:tcPr>
          <w:p>
            <w:pPr>
              <w:spacing w:after="0"/>
              <w:rPr>
                <w:sz w:val="16"/>
                <w:szCs w:val="16"/>
                <w:color w:val="auto"/>
              </w:rPr>
            </w:pPr>
          </w:p>
        </w:tc>
        <w:tc>
          <w:tcPr>
            <w:tcW w:w="20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wait for performance and settle if</w:t>
            </w:r>
          </w:p>
        </w:tc>
        <w:tc>
          <w:tcPr>
            <w:tcW w:w="2780" w:type="dxa"/>
            <w:vAlign w:val="bottom"/>
            <w:shd w:val="clear" w:color="auto" w:fill="DBDBDB"/>
          </w:tcPr>
          <w:p>
            <w:pPr>
              <w:spacing w:after="0"/>
              <w:rPr>
                <w:sz w:val="16"/>
                <w:szCs w:val="16"/>
                <w:color w:val="auto"/>
              </w:rPr>
            </w:pPr>
          </w:p>
        </w:tc>
        <w:tc>
          <w:tcPr>
            <w:tcW w:w="2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DBDBDB"/>
          </w:tcPr>
          <w:p>
            <w:pPr>
              <w:spacing w:after="0"/>
              <w:rPr>
                <w:sz w:val="16"/>
                <w:szCs w:val="16"/>
                <w:color w:val="auto"/>
              </w:rPr>
            </w:pPr>
          </w:p>
        </w:tc>
        <w:tc>
          <w:tcPr>
            <w:tcW w:w="200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Earned RSUs on a pro rata basis</w:t>
            </w:r>
          </w:p>
        </w:tc>
        <w:tc>
          <w:tcPr>
            <w:tcW w:w="2780" w:type="dxa"/>
            <w:vAlign w:val="bottom"/>
            <w:shd w:val="clear" w:color="auto" w:fill="DBDBDB"/>
          </w:tcPr>
          <w:p>
            <w:pPr>
              <w:spacing w:after="0"/>
              <w:rPr>
                <w:sz w:val="16"/>
                <w:szCs w:val="16"/>
                <w:color w:val="auto"/>
              </w:rPr>
            </w:pPr>
          </w:p>
        </w:tc>
        <w:tc>
          <w:tcPr>
            <w:tcW w:w="28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DBDBDB"/>
          </w:tcPr>
          <w:p>
            <w:pPr>
              <w:spacing w:after="0"/>
              <w:rPr>
                <w:sz w:val="17"/>
                <w:szCs w:val="17"/>
                <w:color w:val="auto"/>
              </w:rPr>
            </w:pPr>
          </w:p>
        </w:tc>
        <w:tc>
          <w:tcPr>
            <w:tcW w:w="200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within 60 days after performance</w:t>
            </w:r>
          </w:p>
        </w:tc>
        <w:tc>
          <w:tcPr>
            <w:tcW w:w="2780" w:type="dxa"/>
            <w:vAlign w:val="bottom"/>
            <w:shd w:val="clear" w:color="auto" w:fill="DBDBDB"/>
          </w:tcPr>
          <w:p>
            <w:pPr>
              <w:spacing w:after="0"/>
              <w:rPr>
                <w:sz w:val="17"/>
                <w:szCs w:val="17"/>
                <w:color w:val="auto"/>
              </w:rPr>
            </w:pPr>
          </w:p>
        </w:tc>
        <w:tc>
          <w:tcPr>
            <w:tcW w:w="28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20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400" w:type="dxa"/>
            <w:vAlign w:val="bottom"/>
            <w:shd w:val="clear" w:color="auto" w:fill="DBDBDB"/>
          </w:tcPr>
          <w:p>
            <w:pPr>
              <w:spacing w:after="0"/>
              <w:rPr>
                <w:sz w:val="19"/>
                <w:szCs w:val="19"/>
                <w:color w:val="auto"/>
              </w:rPr>
            </w:pPr>
          </w:p>
        </w:tc>
        <w:tc>
          <w:tcPr>
            <w:tcW w:w="3120" w:type="dxa"/>
            <w:vAlign w:val="bottom"/>
            <w:shd w:val="clear" w:color="auto" w:fill="DBDBDB"/>
          </w:tcPr>
          <w:p>
            <w:pPr>
              <w:ind w:left="380"/>
              <w:spacing w:after="0"/>
              <w:rPr>
                <w:sz w:val="20"/>
                <w:szCs w:val="20"/>
                <w:color w:val="auto"/>
              </w:rPr>
            </w:pPr>
            <w:r>
              <w:rPr>
                <w:rFonts w:ascii="Arial" w:cs="Arial" w:eastAsia="Arial" w:hAnsi="Arial"/>
                <w:sz w:val="16"/>
                <w:szCs w:val="16"/>
                <w:color w:val="auto"/>
              </w:rPr>
              <w:t>period</w:t>
            </w:r>
          </w:p>
        </w:tc>
        <w:tc>
          <w:tcPr>
            <w:tcW w:w="2780" w:type="dxa"/>
            <w:vAlign w:val="bottom"/>
            <w:shd w:val="clear" w:color="auto" w:fill="DBDBDB"/>
          </w:tcPr>
          <w:p>
            <w:pPr>
              <w:spacing w:after="0"/>
              <w:rPr>
                <w:sz w:val="19"/>
                <w:szCs w:val="19"/>
                <w:color w:val="auto"/>
              </w:rPr>
            </w:pPr>
          </w:p>
        </w:tc>
        <w:tc>
          <w:tcPr>
            <w:tcW w:w="28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332740</wp:posOffset>
            </wp:positionV>
            <wp:extent cx="71329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51</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57" w:name="page58"/>
    <w:bookmarkEnd w:id="57"/>
    <w:tbl>
      <w:tblPr>
        <w:tblLayout w:type="fixed"/>
        <w:tblInd w:w="6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6"/>
                <w:szCs w:val="16"/>
                <w:color w:val="auto"/>
              </w:rPr>
              <w:t>Change of control</w:t>
            </w:r>
            <w:r>
              <w:rPr>
                <w:rFonts w:ascii="Arial" w:cs="Arial" w:eastAsia="Arial" w:hAnsi="Arial"/>
                <w:sz w:val="20"/>
                <w:szCs w:val="20"/>
                <w:color w:val="auto"/>
                <w:vertAlign w:val="superscript"/>
              </w:rPr>
              <w:t>(2)</w:t>
            </w:r>
          </w:p>
        </w:tc>
        <w:tc>
          <w:tcPr>
            <w:tcW w:w="3400" w:type="dxa"/>
            <w:vAlign w:val="bottom"/>
          </w:tcPr>
          <w:p>
            <w:pPr>
              <w:ind w:left="700"/>
              <w:spacing w:after="0"/>
              <w:rPr>
                <w:sz w:val="20"/>
                <w:szCs w:val="20"/>
                <w:color w:val="auto"/>
              </w:rPr>
            </w:pPr>
            <w:r>
              <w:rPr>
                <w:rFonts w:ascii="Arial" w:cs="Arial" w:eastAsia="Arial" w:hAnsi="Arial"/>
                <w:sz w:val="16"/>
                <w:szCs w:val="16"/>
                <w:color w:val="auto"/>
              </w:rPr>
              <w:t>After performance period – if there</w:t>
            </w:r>
          </w:p>
        </w:tc>
        <w:tc>
          <w:tcPr>
            <w:tcW w:w="2780" w:type="dxa"/>
            <w:vAlign w:val="bottom"/>
          </w:tcPr>
          <w:p>
            <w:pPr>
              <w:ind w:left="100"/>
              <w:spacing w:after="0"/>
              <w:rPr>
                <w:sz w:val="20"/>
                <w:szCs w:val="20"/>
                <w:color w:val="auto"/>
              </w:rPr>
            </w:pPr>
            <w:r>
              <w:rPr>
                <w:rFonts w:ascii="Arial" w:cs="Arial" w:eastAsia="Arial" w:hAnsi="Arial"/>
                <w:sz w:val="16"/>
                <w:szCs w:val="16"/>
                <w:color w:val="auto"/>
              </w:rPr>
              <w:t>Full vesting, must be settled within 60</w:t>
            </w:r>
          </w:p>
        </w:tc>
        <w:tc>
          <w:tcPr>
            <w:tcW w:w="0" w:type="dxa"/>
            <w:vAlign w:val="bottom"/>
          </w:tcPr>
          <w:p>
            <w:pPr>
              <w:spacing w:after="0"/>
              <w:rPr>
                <w:sz w:val="1"/>
                <w:szCs w:val="1"/>
                <w:color w:val="auto"/>
              </w:rPr>
            </w:pPr>
          </w:p>
        </w:tc>
      </w:tr>
      <w:tr>
        <w:trPr>
          <w:trHeight w:val="202"/>
        </w:trPr>
        <w:tc>
          <w:tcPr>
            <w:tcW w:w="2100" w:type="dxa"/>
            <w:vAlign w:val="bottom"/>
          </w:tcPr>
          <w:p>
            <w:pPr>
              <w:spacing w:after="0"/>
              <w:rPr>
                <w:sz w:val="17"/>
                <w:szCs w:val="17"/>
                <w:color w:val="auto"/>
              </w:rPr>
            </w:pPr>
          </w:p>
        </w:tc>
        <w:tc>
          <w:tcPr>
            <w:tcW w:w="3400" w:type="dxa"/>
            <w:vAlign w:val="bottom"/>
          </w:tcPr>
          <w:p>
            <w:pPr>
              <w:ind w:left="700"/>
              <w:spacing w:after="0"/>
              <w:rPr>
                <w:sz w:val="20"/>
                <w:szCs w:val="20"/>
                <w:color w:val="auto"/>
              </w:rPr>
            </w:pPr>
            <w:r>
              <w:rPr>
                <w:rFonts w:ascii="Arial" w:cs="Arial" w:eastAsia="Arial" w:hAnsi="Arial"/>
                <w:sz w:val="16"/>
                <w:szCs w:val="16"/>
                <w:color w:val="auto"/>
              </w:rPr>
              <w:t>are Earned RSUs, then full vest and</w:t>
            </w:r>
          </w:p>
        </w:tc>
        <w:tc>
          <w:tcPr>
            <w:tcW w:w="2780" w:type="dxa"/>
            <w:vAlign w:val="bottom"/>
          </w:tcPr>
          <w:p>
            <w:pPr>
              <w:ind w:left="100"/>
              <w:spacing w:after="0"/>
              <w:rPr>
                <w:sz w:val="20"/>
                <w:szCs w:val="20"/>
                <w:color w:val="auto"/>
              </w:rPr>
            </w:pPr>
            <w:r>
              <w:rPr>
                <w:rFonts w:ascii="Arial" w:cs="Arial" w:eastAsia="Arial" w:hAnsi="Arial"/>
                <w:sz w:val="16"/>
                <w:szCs w:val="16"/>
                <w:color w:val="auto"/>
              </w:rPr>
              <w:t>days after termination; but if</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3400" w:type="dxa"/>
            <w:vAlign w:val="bottom"/>
          </w:tcPr>
          <w:p>
            <w:pPr>
              <w:ind w:left="700"/>
              <w:spacing w:after="0"/>
              <w:rPr>
                <w:sz w:val="20"/>
                <w:szCs w:val="20"/>
                <w:color w:val="auto"/>
              </w:rPr>
            </w:pPr>
            <w:r>
              <w:rPr>
                <w:rFonts w:ascii="Arial" w:cs="Arial" w:eastAsia="Arial" w:hAnsi="Arial"/>
                <w:sz w:val="16"/>
                <w:szCs w:val="16"/>
                <w:color w:val="auto"/>
              </w:rPr>
              <w:t>settle within 10 days</w:t>
            </w:r>
          </w:p>
        </w:tc>
        <w:tc>
          <w:tcPr>
            <w:tcW w:w="2780" w:type="dxa"/>
            <w:vAlign w:val="bottom"/>
          </w:tcPr>
          <w:p>
            <w:pPr>
              <w:ind w:left="100"/>
              <w:spacing w:after="0"/>
              <w:rPr>
                <w:sz w:val="20"/>
                <w:szCs w:val="20"/>
                <w:color w:val="auto"/>
              </w:rPr>
            </w:pPr>
            <w:r>
              <w:rPr>
                <w:rFonts w:ascii="Arial" w:cs="Arial" w:eastAsia="Arial" w:hAnsi="Arial"/>
                <w:sz w:val="16"/>
                <w:szCs w:val="16"/>
                <w:color w:val="auto"/>
              </w:rPr>
              <w:t>termination occurs before change of</w:t>
            </w:r>
          </w:p>
        </w:tc>
        <w:tc>
          <w:tcPr>
            <w:tcW w:w="0" w:type="dxa"/>
            <w:vAlign w:val="bottom"/>
          </w:tcPr>
          <w:p>
            <w:pPr>
              <w:spacing w:after="0"/>
              <w:rPr>
                <w:sz w:val="1"/>
                <w:szCs w:val="1"/>
                <w:color w:val="auto"/>
              </w:rPr>
            </w:pPr>
          </w:p>
        </w:tc>
      </w:tr>
      <w:tr>
        <w:trPr>
          <w:trHeight w:val="202"/>
        </w:trPr>
        <w:tc>
          <w:tcPr>
            <w:tcW w:w="2100" w:type="dxa"/>
            <w:vAlign w:val="bottom"/>
          </w:tcPr>
          <w:p>
            <w:pPr>
              <w:spacing w:after="0"/>
              <w:rPr>
                <w:sz w:val="17"/>
                <w:szCs w:val="17"/>
                <w:color w:val="auto"/>
              </w:rPr>
            </w:pPr>
          </w:p>
        </w:tc>
        <w:tc>
          <w:tcPr>
            <w:tcW w:w="3400" w:type="dxa"/>
            <w:vAlign w:val="bottom"/>
            <w:vMerge w:val="restart"/>
          </w:tcPr>
          <w:p>
            <w:pPr>
              <w:ind w:left="700"/>
              <w:spacing w:after="0"/>
              <w:rPr>
                <w:sz w:val="20"/>
                <w:szCs w:val="20"/>
                <w:color w:val="auto"/>
              </w:rPr>
            </w:pPr>
            <w:r>
              <w:rPr>
                <w:rFonts w:ascii="Arial" w:cs="Arial" w:eastAsia="Arial" w:hAnsi="Arial"/>
                <w:sz w:val="16"/>
                <w:szCs w:val="16"/>
                <w:color w:val="auto"/>
              </w:rPr>
              <w:t>Before close of performance period,</w:t>
            </w:r>
          </w:p>
        </w:tc>
        <w:tc>
          <w:tcPr>
            <w:tcW w:w="2780" w:type="dxa"/>
            <w:vAlign w:val="bottom"/>
          </w:tcPr>
          <w:p>
            <w:pPr>
              <w:ind w:left="100"/>
              <w:spacing w:after="0"/>
              <w:rPr>
                <w:sz w:val="20"/>
                <w:szCs w:val="20"/>
                <w:color w:val="auto"/>
              </w:rPr>
            </w:pPr>
            <w:r>
              <w:rPr>
                <w:rFonts w:ascii="Arial" w:cs="Arial" w:eastAsia="Arial" w:hAnsi="Arial"/>
                <w:sz w:val="16"/>
                <w:szCs w:val="16"/>
                <w:color w:val="auto"/>
              </w:rPr>
              <w:t>control, award remains outstanding</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780" w:type="dxa"/>
            <w:vAlign w:val="bottom"/>
          </w:tcPr>
          <w:p>
            <w:pPr>
              <w:ind w:left="100"/>
              <w:spacing w:after="0"/>
              <w:rPr>
                <w:sz w:val="20"/>
                <w:szCs w:val="20"/>
                <w:color w:val="auto"/>
              </w:rPr>
            </w:pPr>
            <w:r>
              <w:rPr>
                <w:rFonts w:ascii="Arial" w:cs="Arial" w:eastAsia="Arial" w:hAnsi="Arial"/>
                <w:sz w:val="16"/>
                <w:szCs w:val="16"/>
                <w:color w:val="auto"/>
              </w:rPr>
              <w:t>for 90 days to determine whether</w:t>
            </w:r>
          </w:p>
        </w:tc>
        <w:tc>
          <w:tcPr>
            <w:tcW w:w="0" w:type="dxa"/>
            <w:vAlign w:val="bottom"/>
          </w:tcPr>
          <w:p>
            <w:pPr>
              <w:spacing w:after="0"/>
              <w:rPr>
                <w:sz w:val="1"/>
                <w:szCs w:val="1"/>
                <w:color w:val="auto"/>
              </w:rPr>
            </w:pPr>
          </w:p>
        </w:tc>
      </w:tr>
      <w:tr>
        <w:trPr>
          <w:trHeight w:val="188"/>
        </w:trPr>
        <w:tc>
          <w:tcPr>
            <w:tcW w:w="2100" w:type="dxa"/>
            <w:vAlign w:val="bottom"/>
          </w:tcPr>
          <w:p>
            <w:pPr>
              <w:spacing w:after="0"/>
              <w:rPr>
                <w:sz w:val="16"/>
                <w:szCs w:val="16"/>
                <w:color w:val="auto"/>
              </w:rPr>
            </w:pPr>
          </w:p>
        </w:tc>
        <w:tc>
          <w:tcPr>
            <w:tcW w:w="3400" w:type="dxa"/>
            <w:vAlign w:val="bottom"/>
          </w:tcPr>
          <w:p>
            <w:pPr>
              <w:ind w:left="700"/>
              <w:spacing w:after="0"/>
              <w:rPr>
                <w:sz w:val="20"/>
                <w:szCs w:val="20"/>
                <w:color w:val="auto"/>
              </w:rPr>
            </w:pPr>
            <w:r>
              <w:rPr>
                <w:rFonts w:ascii="Arial" w:cs="Arial" w:eastAsia="Arial" w:hAnsi="Arial"/>
                <w:sz w:val="16"/>
                <w:szCs w:val="16"/>
                <w:color w:val="auto"/>
              </w:rPr>
              <w:t>award converts to RSUs, full vest</w:t>
            </w:r>
          </w:p>
        </w:tc>
        <w:tc>
          <w:tcPr>
            <w:tcW w:w="2780" w:type="dxa"/>
            <w:vAlign w:val="bottom"/>
          </w:tcPr>
          <w:p>
            <w:pPr>
              <w:ind w:left="100"/>
              <w:spacing w:after="0"/>
              <w:rPr>
                <w:sz w:val="20"/>
                <w:szCs w:val="20"/>
                <w:color w:val="auto"/>
              </w:rPr>
            </w:pPr>
            <w:r>
              <w:rPr>
                <w:rFonts w:ascii="Arial" w:cs="Arial" w:eastAsia="Arial" w:hAnsi="Arial"/>
                <w:sz w:val="16"/>
                <w:szCs w:val="16"/>
                <w:color w:val="auto"/>
              </w:rPr>
              <w:t>award is eligible for settlement</w:t>
            </w:r>
          </w:p>
        </w:tc>
        <w:tc>
          <w:tcPr>
            <w:tcW w:w="0" w:type="dxa"/>
            <w:vAlign w:val="bottom"/>
          </w:tcPr>
          <w:p>
            <w:pPr>
              <w:spacing w:after="0"/>
              <w:rPr>
                <w:sz w:val="1"/>
                <w:szCs w:val="1"/>
                <w:color w:val="auto"/>
              </w:rPr>
            </w:pPr>
          </w:p>
        </w:tc>
      </w:tr>
      <w:tr>
        <w:trPr>
          <w:trHeight w:val="214"/>
        </w:trPr>
        <w:tc>
          <w:tcPr>
            <w:tcW w:w="2100" w:type="dxa"/>
            <w:vAlign w:val="bottom"/>
          </w:tcPr>
          <w:p>
            <w:pPr>
              <w:spacing w:after="0"/>
              <w:rPr>
                <w:sz w:val="18"/>
                <w:szCs w:val="18"/>
                <w:color w:val="auto"/>
              </w:rPr>
            </w:pPr>
          </w:p>
        </w:tc>
        <w:tc>
          <w:tcPr>
            <w:tcW w:w="3400" w:type="dxa"/>
            <w:vAlign w:val="bottom"/>
          </w:tcPr>
          <w:p>
            <w:pPr>
              <w:ind w:left="700"/>
              <w:spacing w:after="0"/>
              <w:rPr>
                <w:sz w:val="20"/>
                <w:szCs w:val="20"/>
                <w:color w:val="auto"/>
              </w:rPr>
            </w:pPr>
            <w:r>
              <w:rPr>
                <w:rFonts w:ascii="Arial" w:cs="Arial" w:eastAsia="Arial" w:hAnsi="Arial"/>
                <w:sz w:val="16"/>
                <w:szCs w:val="16"/>
                <w:color w:val="auto"/>
              </w:rPr>
              <w:t>and settle within 30 days</w:t>
            </w: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Convert to RSUs based on actual performance for full performance period; continued vesting per grant terms; settlement to occur upon earlier of termination or original vesting schedule; but if termination occurs before change of control, award remains outstanding for 90 days to determine whether award is eligible for settlement</w:t>
      </w:r>
    </w:p>
    <w:p>
      <w:pPr>
        <w:spacing w:after="0" w:line="11" w:lineRule="exact"/>
        <w:rPr>
          <w:sz w:val="20"/>
          <w:szCs w:val="20"/>
          <w:color w:val="auto"/>
        </w:rPr>
      </w:pPr>
    </w:p>
    <w:p>
      <w:pPr>
        <w:sectPr>
          <w:pgSz w:w="11900" w:h="16838" w:orient="portrait"/>
          <w:cols w:equalWidth="0" w:num="2">
            <w:col w:w="8340" w:space="160"/>
            <w:col w:w="2740"/>
          </w:cols>
          <w:pgMar w:left="320" w:top="1158" w:right="339" w:bottom="1440" w:gutter="0" w:footer="0" w:header="0"/>
        </w:sectPr>
      </w:pPr>
    </w:p>
    <w:tbl>
      <w:tblPr>
        <w:tblLayout w:type="fixed"/>
        <w:tblInd w:w="40" w:type="dxa"/>
        <w:tblCellMar>
          <w:top w:w="0" w:type="dxa"/>
          <w:left w:w="0" w:type="dxa"/>
          <w:bottom w:w="0" w:type="dxa"/>
          <w:right w:w="0" w:type="dxa"/>
        </w:tblCellMar>
      </w:tblPr>
      <w:tr>
        <w:trPr>
          <w:trHeight w:val="196"/>
        </w:trPr>
        <w:tc>
          <w:tcPr>
            <w:tcW w:w="2000" w:type="dxa"/>
            <w:vAlign w:val="bottom"/>
            <w:shd w:val="clear" w:color="auto" w:fill="DBDBDB"/>
          </w:tcPr>
          <w:p>
            <w:pPr>
              <w:ind w:left="20"/>
              <w:spacing w:after="0"/>
              <w:rPr>
                <w:sz w:val="20"/>
                <w:szCs w:val="20"/>
                <w:color w:val="auto"/>
              </w:rPr>
            </w:pPr>
            <w:r>
              <w:rPr>
                <w:rFonts w:ascii="Arial" w:cs="Arial" w:eastAsia="Arial" w:hAnsi="Arial"/>
                <w:sz w:val="16"/>
                <w:szCs w:val="16"/>
                <w:color w:val="auto"/>
              </w:rPr>
              <w:t>Without cause</w:t>
            </w:r>
          </w:p>
        </w:tc>
        <w:tc>
          <w:tcPr>
            <w:tcW w:w="3540" w:type="dxa"/>
            <w:vAlign w:val="bottom"/>
            <w:shd w:val="clear" w:color="auto" w:fill="DBDBDB"/>
          </w:tcPr>
          <w:p>
            <w:pPr>
              <w:ind w:left="820"/>
              <w:spacing w:after="0"/>
              <w:rPr>
                <w:sz w:val="20"/>
                <w:szCs w:val="20"/>
                <w:color w:val="auto"/>
              </w:rPr>
            </w:pPr>
            <w:r>
              <w:rPr>
                <w:rFonts w:ascii="Arial" w:cs="Arial" w:eastAsia="Arial" w:hAnsi="Arial"/>
                <w:sz w:val="16"/>
                <w:szCs w:val="16"/>
                <w:color w:val="auto"/>
              </w:rPr>
              <w:t>After performance period, if there are</w:t>
            </w:r>
          </w:p>
        </w:tc>
        <w:tc>
          <w:tcPr>
            <w:tcW w:w="2600" w:type="dxa"/>
            <w:vAlign w:val="bottom"/>
            <w:shd w:val="clear" w:color="auto" w:fill="DBDBDB"/>
          </w:tcPr>
          <w:p>
            <w:pPr>
              <w:ind w:left="80"/>
              <w:spacing w:after="0"/>
              <w:rPr>
                <w:sz w:val="20"/>
                <w:szCs w:val="20"/>
                <w:color w:val="auto"/>
              </w:rPr>
            </w:pPr>
            <w:r>
              <w:rPr>
                <w:rFonts w:ascii="Arial" w:cs="Arial" w:eastAsia="Arial" w:hAnsi="Arial"/>
                <w:sz w:val="16"/>
                <w:szCs w:val="16"/>
                <w:color w:val="auto"/>
              </w:rPr>
              <w:t>Settlement prorated for term of</w:t>
            </w:r>
          </w:p>
        </w:tc>
        <w:tc>
          <w:tcPr>
            <w:tcW w:w="3020" w:type="dxa"/>
            <w:vAlign w:val="bottom"/>
            <w:shd w:val="clear" w:color="auto" w:fill="DBDBDB"/>
          </w:tcPr>
          <w:p>
            <w:pPr>
              <w:ind w:left="320"/>
              <w:spacing w:after="0"/>
              <w:rPr>
                <w:sz w:val="20"/>
                <w:szCs w:val="20"/>
                <w:color w:val="auto"/>
              </w:rPr>
            </w:pPr>
            <w:r>
              <w:rPr>
                <w:rFonts w:ascii="Arial" w:cs="Arial" w:eastAsia="Arial" w:hAnsi="Arial"/>
                <w:sz w:val="16"/>
                <w:szCs w:val="16"/>
                <w:color w:val="auto"/>
              </w:rPr>
              <w:t>Settlement based on actual</w:t>
            </w:r>
          </w:p>
        </w:tc>
      </w:tr>
      <w:tr>
        <w:trPr>
          <w:trHeight w:val="202"/>
        </w:trPr>
        <w:tc>
          <w:tcPr>
            <w:tcW w:w="2000" w:type="dxa"/>
            <w:vAlign w:val="bottom"/>
            <w:shd w:val="clear" w:color="auto" w:fill="DBDBDB"/>
          </w:tcPr>
          <w:p>
            <w:pPr>
              <w:spacing w:after="0"/>
              <w:rPr>
                <w:sz w:val="17"/>
                <w:szCs w:val="17"/>
                <w:color w:val="auto"/>
              </w:rPr>
            </w:pPr>
          </w:p>
        </w:tc>
        <w:tc>
          <w:tcPr>
            <w:tcW w:w="3540" w:type="dxa"/>
            <w:vAlign w:val="bottom"/>
            <w:shd w:val="clear" w:color="auto" w:fill="DBDBDB"/>
          </w:tcPr>
          <w:p>
            <w:pPr>
              <w:ind w:left="820"/>
              <w:spacing w:after="0"/>
              <w:rPr>
                <w:sz w:val="20"/>
                <w:szCs w:val="20"/>
                <w:color w:val="auto"/>
              </w:rPr>
            </w:pPr>
            <w:r>
              <w:rPr>
                <w:rFonts w:ascii="Arial" w:cs="Arial" w:eastAsia="Arial" w:hAnsi="Arial"/>
                <w:sz w:val="16"/>
                <w:szCs w:val="16"/>
                <w:color w:val="auto"/>
              </w:rPr>
              <w:t>Earned RSUs, then settle within 30</w:t>
            </w:r>
          </w:p>
        </w:tc>
        <w:tc>
          <w:tcPr>
            <w:tcW w:w="2600" w:type="dxa"/>
            <w:vAlign w:val="bottom"/>
            <w:shd w:val="clear" w:color="auto" w:fill="DBDBDB"/>
          </w:tcPr>
          <w:p>
            <w:pPr>
              <w:ind w:left="80"/>
              <w:spacing w:after="0"/>
              <w:rPr>
                <w:sz w:val="20"/>
                <w:szCs w:val="20"/>
                <w:color w:val="auto"/>
              </w:rPr>
            </w:pPr>
            <w:r>
              <w:rPr>
                <w:rFonts w:ascii="Arial" w:cs="Arial" w:eastAsia="Arial" w:hAnsi="Arial"/>
                <w:sz w:val="16"/>
                <w:szCs w:val="16"/>
                <w:color w:val="auto"/>
              </w:rPr>
              <w:t>service between immediately</w:t>
            </w:r>
          </w:p>
        </w:tc>
        <w:tc>
          <w:tcPr>
            <w:tcW w:w="3020" w:type="dxa"/>
            <w:vAlign w:val="bottom"/>
            <w:shd w:val="clear" w:color="auto" w:fill="DBDBDB"/>
          </w:tcPr>
          <w:p>
            <w:pPr>
              <w:ind w:left="320"/>
              <w:spacing w:after="0"/>
              <w:rPr>
                <w:sz w:val="20"/>
                <w:szCs w:val="20"/>
                <w:color w:val="auto"/>
              </w:rPr>
            </w:pPr>
            <w:r>
              <w:rPr>
                <w:rFonts w:ascii="Arial" w:cs="Arial" w:eastAsia="Arial" w:hAnsi="Arial"/>
                <w:sz w:val="16"/>
                <w:szCs w:val="16"/>
                <w:color w:val="auto"/>
              </w:rPr>
              <w:t>performance for full performance</w:t>
            </w:r>
          </w:p>
        </w:tc>
      </w:tr>
      <w:tr>
        <w:trPr>
          <w:trHeight w:val="188"/>
        </w:trPr>
        <w:tc>
          <w:tcPr>
            <w:tcW w:w="2000" w:type="dxa"/>
            <w:vAlign w:val="bottom"/>
            <w:shd w:val="clear" w:color="auto" w:fill="DBDBDB"/>
          </w:tcPr>
          <w:p>
            <w:pPr>
              <w:spacing w:after="0"/>
              <w:rPr>
                <w:sz w:val="16"/>
                <w:szCs w:val="16"/>
                <w:color w:val="auto"/>
              </w:rPr>
            </w:pPr>
          </w:p>
        </w:tc>
        <w:tc>
          <w:tcPr>
            <w:tcW w:w="3540" w:type="dxa"/>
            <w:vAlign w:val="bottom"/>
            <w:shd w:val="clear" w:color="auto" w:fill="DBDBDB"/>
          </w:tcPr>
          <w:p>
            <w:pPr>
              <w:ind w:left="820"/>
              <w:spacing w:after="0"/>
              <w:rPr>
                <w:sz w:val="20"/>
                <w:szCs w:val="20"/>
                <w:color w:val="auto"/>
              </w:rPr>
            </w:pPr>
            <w:r>
              <w:rPr>
                <w:rFonts w:ascii="Arial" w:cs="Arial" w:eastAsia="Arial" w:hAnsi="Arial"/>
                <w:sz w:val="16"/>
                <w:szCs w:val="16"/>
                <w:color w:val="auto"/>
              </w:rPr>
              <w:t>days.</w:t>
            </w:r>
          </w:p>
        </w:tc>
        <w:tc>
          <w:tcPr>
            <w:tcW w:w="2600" w:type="dxa"/>
            <w:vAlign w:val="bottom"/>
            <w:shd w:val="clear" w:color="auto" w:fill="DBDBDB"/>
          </w:tcPr>
          <w:p>
            <w:pPr>
              <w:ind w:left="80"/>
              <w:spacing w:after="0"/>
              <w:rPr>
                <w:sz w:val="20"/>
                <w:szCs w:val="20"/>
                <w:color w:val="auto"/>
              </w:rPr>
            </w:pPr>
            <w:r>
              <w:rPr>
                <w:rFonts w:ascii="Arial" w:cs="Arial" w:eastAsia="Arial" w:hAnsi="Arial"/>
                <w:sz w:val="16"/>
                <w:szCs w:val="16"/>
                <w:color w:val="auto"/>
              </w:rPr>
              <w:t>preceding vesting date and</w:t>
            </w:r>
          </w:p>
        </w:tc>
        <w:tc>
          <w:tcPr>
            <w:tcW w:w="3020" w:type="dxa"/>
            <w:vAlign w:val="bottom"/>
            <w:shd w:val="clear" w:color="auto" w:fill="DBDBDB"/>
          </w:tcPr>
          <w:p>
            <w:pPr>
              <w:ind w:left="320"/>
              <w:spacing w:after="0"/>
              <w:rPr>
                <w:sz w:val="20"/>
                <w:szCs w:val="20"/>
                <w:color w:val="auto"/>
              </w:rPr>
            </w:pPr>
            <w:r>
              <w:rPr>
                <w:rFonts w:ascii="Arial" w:cs="Arial" w:eastAsia="Arial" w:hAnsi="Arial"/>
                <w:sz w:val="16"/>
                <w:szCs w:val="16"/>
                <w:color w:val="auto"/>
              </w:rPr>
              <w:t>period notwithstanding termination of</w:t>
            </w:r>
          </w:p>
        </w:tc>
      </w:tr>
      <w:tr>
        <w:trPr>
          <w:trHeight w:val="202"/>
        </w:trPr>
        <w:tc>
          <w:tcPr>
            <w:tcW w:w="2000" w:type="dxa"/>
            <w:vAlign w:val="bottom"/>
            <w:shd w:val="clear" w:color="auto" w:fill="DBDBDB"/>
          </w:tcPr>
          <w:p>
            <w:pPr>
              <w:spacing w:after="0"/>
              <w:rPr>
                <w:sz w:val="17"/>
                <w:szCs w:val="17"/>
                <w:color w:val="auto"/>
              </w:rPr>
            </w:pPr>
          </w:p>
        </w:tc>
        <w:tc>
          <w:tcPr>
            <w:tcW w:w="3540" w:type="dxa"/>
            <w:vAlign w:val="bottom"/>
            <w:shd w:val="clear" w:color="auto" w:fill="DBDBDB"/>
          </w:tcPr>
          <w:p>
            <w:pPr>
              <w:ind w:left="820"/>
              <w:spacing w:after="0"/>
              <w:rPr>
                <w:sz w:val="20"/>
                <w:szCs w:val="20"/>
                <w:color w:val="auto"/>
              </w:rPr>
            </w:pPr>
            <w:r>
              <w:rPr>
                <w:rFonts w:ascii="Arial" w:cs="Arial" w:eastAsia="Arial" w:hAnsi="Arial"/>
                <w:sz w:val="16"/>
                <w:szCs w:val="16"/>
                <w:color w:val="auto"/>
              </w:rPr>
              <w:t>Before close of performance period,</w:t>
            </w:r>
          </w:p>
        </w:tc>
        <w:tc>
          <w:tcPr>
            <w:tcW w:w="2600" w:type="dxa"/>
            <w:vAlign w:val="bottom"/>
            <w:shd w:val="clear" w:color="auto" w:fill="DBDBDB"/>
          </w:tcPr>
          <w:p>
            <w:pPr>
              <w:ind w:left="80"/>
              <w:spacing w:after="0"/>
              <w:rPr>
                <w:sz w:val="20"/>
                <w:szCs w:val="20"/>
                <w:color w:val="auto"/>
              </w:rPr>
            </w:pPr>
            <w:r>
              <w:rPr>
                <w:rFonts w:ascii="Arial" w:cs="Arial" w:eastAsia="Arial" w:hAnsi="Arial"/>
                <w:sz w:val="16"/>
                <w:szCs w:val="16"/>
                <w:color w:val="auto"/>
              </w:rPr>
              <w:t>termination of service</w:t>
            </w:r>
          </w:p>
        </w:tc>
        <w:tc>
          <w:tcPr>
            <w:tcW w:w="3020" w:type="dxa"/>
            <w:vAlign w:val="bottom"/>
            <w:shd w:val="clear" w:color="auto" w:fill="DBDBDB"/>
          </w:tcPr>
          <w:p>
            <w:pPr>
              <w:ind w:left="320"/>
              <w:spacing w:after="0"/>
              <w:rPr>
                <w:sz w:val="20"/>
                <w:szCs w:val="20"/>
                <w:color w:val="auto"/>
              </w:rPr>
            </w:pPr>
            <w:r>
              <w:rPr>
                <w:rFonts w:ascii="Arial" w:cs="Arial" w:eastAsia="Arial" w:hAnsi="Arial"/>
                <w:sz w:val="16"/>
                <w:szCs w:val="16"/>
                <w:color w:val="auto"/>
              </w:rPr>
              <w:t>service, prorated for term of service</w:t>
            </w:r>
          </w:p>
        </w:tc>
      </w:tr>
      <w:tr>
        <w:trPr>
          <w:trHeight w:val="188"/>
        </w:trPr>
        <w:tc>
          <w:tcPr>
            <w:tcW w:w="2000" w:type="dxa"/>
            <w:vAlign w:val="bottom"/>
            <w:shd w:val="clear" w:color="auto" w:fill="DBDBDB"/>
          </w:tcPr>
          <w:p>
            <w:pPr>
              <w:spacing w:after="0"/>
              <w:rPr>
                <w:sz w:val="16"/>
                <w:szCs w:val="16"/>
                <w:color w:val="auto"/>
              </w:rPr>
            </w:pPr>
          </w:p>
        </w:tc>
        <w:tc>
          <w:tcPr>
            <w:tcW w:w="3540" w:type="dxa"/>
            <w:vAlign w:val="bottom"/>
            <w:shd w:val="clear" w:color="auto" w:fill="DBDBDB"/>
          </w:tcPr>
          <w:p>
            <w:pPr>
              <w:ind w:left="820"/>
              <w:spacing w:after="0"/>
              <w:rPr>
                <w:sz w:val="20"/>
                <w:szCs w:val="20"/>
                <w:color w:val="auto"/>
              </w:rPr>
            </w:pPr>
            <w:r>
              <w:rPr>
                <w:rFonts w:ascii="Arial" w:cs="Arial" w:eastAsia="Arial" w:hAnsi="Arial"/>
                <w:sz w:val="16"/>
                <w:szCs w:val="16"/>
                <w:color w:val="auto"/>
              </w:rPr>
              <w:t>wait for performance and settle if</w:t>
            </w:r>
          </w:p>
        </w:tc>
        <w:tc>
          <w:tcPr>
            <w:tcW w:w="2600" w:type="dxa"/>
            <w:vAlign w:val="bottom"/>
            <w:shd w:val="clear" w:color="auto" w:fill="DBDBDB"/>
          </w:tcPr>
          <w:p>
            <w:pPr>
              <w:spacing w:after="0"/>
              <w:rPr>
                <w:sz w:val="16"/>
                <w:szCs w:val="16"/>
                <w:color w:val="auto"/>
              </w:rPr>
            </w:pPr>
          </w:p>
        </w:tc>
        <w:tc>
          <w:tcPr>
            <w:tcW w:w="3020" w:type="dxa"/>
            <w:vAlign w:val="bottom"/>
            <w:shd w:val="clear" w:color="auto" w:fill="DBDBDB"/>
          </w:tcPr>
          <w:p>
            <w:pPr>
              <w:ind w:left="320"/>
              <w:spacing w:after="0"/>
              <w:rPr>
                <w:sz w:val="20"/>
                <w:szCs w:val="20"/>
                <w:color w:val="auto"/>
              </w:rPr>
            </w:pPr>
            <w:r>
              <w:rPr>
                <w:rFonts w:ascii="Arial" w:cs="Arial" w:eastAsia="Arial" w:hAnsi="Arial"/>
                <w:sz w:val="16"/>
                <w:szCs w:val="16"/>
                <w:color w:val="auto"/>
              </w:rPr>
              <w:t>during performance period; but if</w:t>
            </w:r>
          </w:p>
        </w:tc>
      </w:tr>
      <w:tr>
        <w:trPr>
          <w:trHeight w:val="188"/>
        </w:trPr>
        <w:tc>
          <w:tcPr>
            <w:tcW w:w="2000" w:type="dxa"/>
            <w:vAlign w:val="bottom"/>
            <w:shd w:val="clear" w:color="auto" w:fill="DBDBDB"/>
          </w:tcPr>
          <w:p>
            <w:pPr>
              <w:spacing w:after="0"/>
              <w:rPr>
                <w:sz w:val="16"/>
                <w:szCs w:val="16"/>
                <w:color w:val="auto"/>
              </w:rPr>
            </w:pPr>
          </w:p>
        </w:tc>
        <w:tc>
          <w:tcPr>
            <w:tcW w:w="3540" w:type="dxa"/>
            <w:vAlign w:val="bottom"/>
            <w:shd w:val="clear" w:color="auto" w:fill="DBDBDB"/>
          </w:tcPr>
          <w:p>
            <w:pPr>
              <w:ind w:left="820"/>
              <w:spacing w:after="0"/>
              <w:rPr>
                <w:sz w:val="20"/>
                <w:szCs w:val="20"/>
                <w:color w:val="auto"/>
              </w:rPr>
            </w:pPr>
            <w:r>
              <w:rPr>
                <w:rFonts w:ascii="Arial" w:cs="Arial" w:eastAsia="Arial" w:hAnsi="Arial"/>
                <w:sz w:val="16"/>
                <w:szCs w:val="16"/>
                <w:color w:val="auto"/>
              </w:rPr>
              <w:t>there are Earned RSUs within 30</w:t>
            </w:r>
          </w:p>
        </w:tc>
        <w:tc>
          <w:tcPr>
            <w:tcW w:w="2600" w:type="dxa"/>
            <w:vAlign w:val="bottom"/>
            <w:shd w:val="clear" w:color="auto" w:fill="DBDBDB"/>
          </w:tcPr>
          <w:p>
            <w:pPr>
              <w:spacing w:after="0"/>
              <w:rPr>
                <w:sz w:val="16"/>
                <w:szCs w:val="16"/>
                <w:color w:val="auto"/>
              </w:rPr>
            </w:pPr>
          </w:p>
        </w:tc>
        <w:tc>
          <w:tcPr>
            <w:tcW w:w="3020" w:type="dxa"/>
            <w:vAlign w:val="bottom"/>
            <w:shd w:val="clear" w:color="auto" w:fill="DBDBDB"/>
          </w:tcPr>
          <w:p>
            <w:pPr>
              <w:ind w:left="320"/>
              <w:spacing w:after="0"/>
              <w:rPr>
                <w:sz w:val="20"/>
                <w:szCs w:val="20"/>
                <w:color w:val="auto"/>
              </w:rPr>
            </w:pPr>
            <w:r>
              <w:rPr>
                <w:rFonts w:ascii="Arial" w:cs="Arial" w:eastAsia="Arial" w:hAnsi="Arial"/>
                <w:sz w:val="16"/>
                <w:szCs w:val="16"/>
                <w:color w:val="auto"/>
              </w:rPr>
              <w:t>termination occurs after performance</w:t>
            </w:r>
          </w:p>
        </w:tc>
      </w:tr>
      <w:tr>
        <w:trPr>
          <w:trHeight w:val="202"/>
        </w:trPr>
        <w:tc>
          <w:tcPr>
            <w:tcW w:w="2000" w:type="dxa"/>
            <w:vAlign w:val="bottom"/>
            <w:shd w:val="clear" w:color="auto" w:fill="DBDBDB"/>
          </w:tcPr>
          <w:p>
            <w:pPr>
              <w:spacing w:after="0"/>
              <w:rPr>
                <w:sz w:val="17"/>
                <w:szCs w:val="17"/>
                <w:color w:val="auto"/>
              </w:rPr>
            </w:pPr>
          </w:p>
        </w:tc>
        <w:tc>
          <w:tcPr>
            <w:tcW w:w="3540" w:type="dxa"/>
            <w:vAlign w:val="bottom"/>
            <w:shd w:val="clear" w:color="auto" w:fill="DBDBDB"/>
          </w:tcPr>
          <w:p>
            <w:pPr>
              <w:ind w:left="820"/>
              <w:spacing w:after="0"/>
              <w:rPr>
                <w:sz w:val="20"/>
                <w:szCs w:val="20"/>
                <w:color w:val="auto"/>
              </w:rPr>
            </w:pPr>
            <w:r>
              <w:rPr>
                <w:rFonts w:ascii="Arial" w:cs="Arial" w:eastAsia="Arial" w:hAnsi="Arial"/>
                <w:sz w:val="16"/>
                <w:szCs w:val="16"/>
                <w:color w:val="auto"/>
              </w:rPr>
              <w:t>days after conclusion of performance</w:t>
            </w:r>
          </w:p>
        </w:tc>
        <w:tc>
          <w:tcPr>
            <w:tcW w:w="2600" w:type="dxa"/>
            <w:vAlign w:val="bottom"/>
            <w:shd w:val="clear" w:color="auto" w:fill="DBDBDB"/>
          </w:tcPr>
          <w:p>
            <w:pPr>
              <w:spacing w:after="0"/>
              <w:rPr>
                <w:sz w:val="17"/>
                <w:szCs w:val="17"/>
                <w:color w:val="auto"/>
              </w:rPr>
            </w:pPr>
          </w:p>
        </w:tc>
        <w:tc>
          <w:tcPr>
            <w:tcW w:w="3020" w:type="dxa"/>
            <w:vAlign w:val="bottom"/>
            <w:shd w:val="clear" w:color="auto" w:fill="DBDBDB"/>
          </w:tcPr>
          <w:p>
            <w:pPr>
              <w:ind w:left="320"/>
              <w:spacing w:after="0"/>
              <w:rPr>
                <w:sz w:val="20"/>
                <w:szCs w:val="20"/>
                <w:color w:val="auto"/>
              </w:rPr>
            </w:pPr>
            <w:r>
              <w:rPr>
                <w:rFonts w:ascii="Arial" w:cs="Arial" w:eastAsia="Arial" w:hAnsi="Arial"/>
                <w:sz w:val="16"/>
                <w:szCs w:val="16"/>
                <w:color w:val="auto"/>
              </w:rPr>
              <w:t>period but before settlement date,</w:t>
            </w:r>
          </w:p>
        </w:tc>
      </w:tr>
      <w:tr>
        <w:trPr>
          <w:trHeight w:val="229"/>
        </w:trPr>
        <w:tc>
          <w:tcPr>
            <w:tcW w:w="2000" w:type="dxa"/>
            <w:vAlign w:val="bottom"/>
            <w:shd w:val="clear" w:color="auto" w:fill="DBDBDB"/>
          </w:tcPr>
          <w:p>
            <w:pPr>
              <w:spacing w:after="0"/>
              <w:rPr>
                <w:sz w:val="19"/>
                <w:szCs w:val="19"/>
                <w:color w:val="auto"/>
              </w:rPr>
            </w:pPr>
          </w:p>
        </w:tc>
        <w:tc>
          <w:tcPr>
            <w:tcW w:w="3540" w:type="dxa"/>
            <w:vAlign w:val="bottom"/>
            <w:shd w:val="clear" w:color="auto" w:fill="DBDBDB"/>
          </w:tcPr>
          <w:p>
            <w:pPr>
              <w:ind w:left="820"/>
              <w:spacing w:after="0"/>
              <w:rPr>
                <w:sz w:val="20"/>
                <w:szCs w:val="20"/>
                <w:color w:val="auto"/>
              </w:rPr>
            </w:pPr>
            <w:r>
              <w:rPr>
                <w:rFonts w:ascii="Arial" w:cs="Arial" w:eastAsia="Arial" w:hAnsi="Arial"/>
                <w:sz w:val="16"/>
                <w:szCs w:val="16"/>
                <w:color w:val="auto"/>
              </w:rPr>
              <w:t>period</w:t>
            </w:r>
          </w:p>
        </w:tc>
        <w:tc>
          <w:tcPr>
            <w:tcW w:w="2600" w:type="dxa"/>
            <w:vAlign w:val="bottom"/>
            <w:shd w:val="clear" w:color="auto" w:fill="DBDBDB"/>
          </w:tcPr>
          <w:p>
            <w:pPr>
              <w:spacing w:after="0"/>
              <w:rPr>
                <w:sz w:val="19"/>
                <w:szCs w:val="19"/>
                <w:color w:val="auto"/>
              </w:rPr>
            </w:pPr>
          </w:p>
        </w:tc>
        <w:tc>
          <w:tcPr>
            <w:tcW w:w="3020" w:type="dxa"/>
            <w:vAlign w:val="bottom"/>
            <w:shd w:val="clear" w:color="auto" w:fill="DBDBDB"/>
          </w:tcPr>
          <w:p>
            <w:pPr>
              <w:ind w:left="320"/>
              <w:spacing w:after="0"/>
              <w:rPr>
                <w:sz w:val="20"/>
                <w:szCs w:val="20"/>
                <w:color w:val="auto"/>
              </w:rPr>
            </w:pPr>
            <w:r>
              <w:rPr>
                <w:rFonts w:ascii="Arial" w:cs="Arial" w:eastAsia="Arial" w:hAnsi="Arial"/>
                <w:sz w:val="16"/>
                <w:szCs w:val="16"/>
                <w:color w:val="auto"/>
              </w:rPr>
              <w:t>immediate settlement allowed</w:t>
            </w:r>
          </w:p>
        </w:tc>
      </w:tr>
      <w:tr>
        <w:trPr>
          <w:trHeight w:val="201"/>
        </w:trPr>
        <w:tc>
          <w:tcPr>
            <w:tcW w:w="2000" w:type="dxa"/>
            <w:vAlign w:val="bottom"/>
          </w:tcPr>
          <w:p>
            <w:pPr>
              <w:ind w:left="20"/>
              <w:spacing w:after="0"/>
              <w:rPr>
                <w:sz w:val="20"/>
                <w:szCs w:val="20"/>
                <w:color w:val="auto"/>
              </w:rPr>
            </w:pPr>
            <w:r>
              <w:rPr>
                <w:rFonts w:ascii="Arial" w:cs="Arial" w:eastAsia="Arial" w:hAnsi="Arial"/>
                <w:sz w:val="16"/>
                <w:szCs w:val="16"/>
                <w:color w:val="auto"/>
              </w:rPr>
              <w:t>Any other cause</w:t>
            </w:r>
          </w:p>
        </w:tc>
        <w:tc>
          <w:tcPr>
            <w:tcW w:w="3540" w:type="dxa"/>
            <w:vAlign w:val="bottom"/>
          </w:tcPr>
          <w:p>
            <w:pPr>
              <w:ind w:left="820"/>
              <w:spacing w:after="0"/>
              <w:rPr>
                <w:sz w:val="20"/>
                <w:szCs w:val="20"/>
                <w:color w:val="auto"/>
              </w:rPr>
            </w:pPr>
            <w:r>
              <w:rPr>
                <w:rFonts w:ascii="Arial" w:cs="Arial" w:eastAsia="Arial" w:hAnsi="Arial"/>
                <w:sz w:val="16"/>
                <w:szCs w:val="16"/>
                <w:color w:val="auto"/>
              </w:rPr>
              <w:t>After performance period, if there are</w:t>
            </w:r>
          </w:p>
        </w:tc>
        <w:tc>
          <w:tcPr>
            <w:tcW w:w="2600" w:type="dxa"/>
            <w:vAlign w:val="bottom"/>
          </w:tcPr>
          <w:p>
            <w:pPr>
              <w:ind w:left="80"/>
              <w:spacing w:after="0"/>
              <w:rPr>
                <w:sz w:val="20"/>
                <w:szCs w:val="20"/>
                <w:color w:val="auto"/>
              </w:rPr>
            </w:pPr>
            <w:r>
              <w:rPr>
                <w:rFonts w:ascii="Arial" w:cs="Arial" w:eastAsia="Arial" w:hAnsi="Arial"/>
                <w:sz w:val="16"/>
                <w:szCs w:val="16"/>
                <w:color w:val="auto"/>
              </w:rPr>
              <w:t>Immediate forfeiture</w:t>
            </w:r>
          </w:p>
        </w:tc>
        <w:tc>
          <w:tcPr>
            <w:tcW w:w="3020" w:type="dxa"/>
            <w:vAlign w:val="bottom"/>
          </w:tcPr>
          <w:p>
            <w:pPr>
              <w:ind w:left="320"/>
              <w:spacing w:after="0"/>
              <w:rPr>
                <w:sz w:val="20"/>
                <w:szCs w:val="20"/>
                <w:color w:val="auto"/>
              </w:rPr>
            </w:pPr>
            <w:r>
              <w:rPr>
                <w:rFonts w:ascii="Arial" w:cs="Arial" w:eastAsia="Arial" w:hAnsi="Arial"/>
                <w:sz w:val="16"/>
                <w:szCs w:val="16"/>
                <w:color w:val="auto"/>
              </w:rPr>
              <w:t>Immediate forfeiture</w:t>
            </w:r>
          </w:p>
        </w:tc>
      </w:tr>
      <w:tr>
        <w:trPr>
          <w:trHeight w:val="202"/>
        </w:trPr>
        <w:tc>
          <w:tcPr>
            <w:tcW w:w="2000" w:type="dxa"/>
            <w:vAlign w:val="bottom"/>
          </w:tcPr>
          <w:p>
            <w:pPr>
              <w:spacing w:after="0"/>
              <w:rPr>
                <w:sz w:val="17"/>
                <w:szCs w:val="17"/>
                <w:color w:val="auto"/>
              </w:rPr>
            </w:pPr>
          </w:p>
        </w:tc>
        <w:tc>
          <w:tcPr>
            <w:tcW w:w="3540" w:type="dxa"/>
            <w:vAlign w:val="bottom"/>
          </w:tcPr>
          <w:p>
            <w:pPr>
              <w:ind w:left="820"/>
              <w:spacing w:after="0"/>
              <w:rPr>
                <w:sz w:val="20"/>
                <w:szCs w:val="20"/>
                <w:color w:val="auto"/>
              </w:rPr>
            </w:pPr>
            <w:r>
              <w:rPr>
                <w:rFonts w:ascii="Arial" w:cs="Arial" w:eastAsia="Arial" w:hAnsi="Arial"/>
                <w:sz w:val="16"/>
                <w:szCs w:val="16"/>
                <w:color w:val="auto"/>
              </w:rPr>
              <w:t>Earned RSUs, then settle within 30</w:t>
            </w:r>
          </w:p>
        </w:tc>
        <w:tc>
          <w:tcPr>
            <w:tcW w:w="260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188"/>
        </w:trPr>
        <w:tc>
          <w:tcPr>
            <w:tcW w:w="2000" w:type="dxa"/>
            <w:vAlign w:val="bottom"/>
          </w:tcPr>
          <w:p>
            <w:pPr>
              <w:spacing w:after="0"/>
              <w:rPr>
                <w:sz w:val="16"/>
                <w:szCs w:val="16"/>
                <w:color w:val="auto"/>
              </w:rPr>
            </w:pPr>
          </w:p>
        </w:tc>
        <w:tc>
          <w:tcPr>
            <w:tcW w:w="3540" w:type="dxa"/>
            <w:vAlign w:val="bottom"/>
          </w:tcPr>
          <w:p>
            <w:pPr>
              <w:ind w:left="820"/>
              <w:spacing w:after="0"/>
              <w:rPr>
                <w:sz w:val="20"/>
                <w:szCs w:val="20"/>
                <w:color w:val="auto"/>
              </w:rPr>
            </w:pPr>
            <w:r>
              <w:rPr>
                <w:rFonts w:ascii="Arial" w:cs="Arial" w:eastAsia="Arial" w:hAnsi="Arial"/>
                <w:sz w:val="16"/>
                <w:szCs w:val="16"/>
                <w:color w:val="auto"/>
              </w:rPr>
              <w:t>days.</w:t>
            </w:r>
          </w:p>
        </w:tc>
        <w:tc>
          <w:tcPr>
            <w:tcW w:w="26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02"/>
        </w:trPr>
        <w:tc>
          <w:tcPr>
            <w:tcW w:w="2000" w:type="dxa"/>
            <w:vAlign w:val="bottom"/>
          </w:tcPr>
          <w:p>
            <w:pPr>
              <w:spacing w:after="0"/>
              <w:rPr>
                <w:sz w:val="17"/>
                <w:szCs w:val="17"/>
                <w:color w:val="auto"/>
              </w:rPr>
            </w:pPr>
          </w:p>
        </w:tc>
        <w:tc>
          <w:tcPr>
            <w:tcW w:w="3540" w:type="dxa"/>
            <w:vAlign w:val="bottom"/>
          </w:tcPr>
          <w:p>
            <w:pPr>
              <w:ind w:left="820"/>
              <w:spacing w:after="0"/>
              <w:rPr>
                <w:sz w:val="20"/>
                <w:szCs w:val="20"/>
                <w:color w:val="auto"/>
              </w:rPr>
            </w:pPr>
            <w:r>
              <w:rPr>
                <w:rFonts w:ascii="Arial" w:cs="Arial" w:eastAsia="Arial" w:hAnsi="Arial"/>
                <w:sz w:val="16"/>
                <w:szCs w:val="16"/>
                <w:color w:val="auto"/>
              </w:rPr>
              <w:t>Before close of performance period,</w:t>
            </w:r>
          </w:p>
        </w:tc>
        <w:tc>
          <w:tcPr>
            <w:tcW w:w="260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188"/>
        </w:trPr>
        <w:tc>
          <w:tcPr>
            <w:tcW w:w="2000" w:type="dxa"/>
            <w:vAlign w:val="bottom"/>
          </w:tcPr>
          <w:p>
            <w:pPr>
              <w:spacing w:after="0"/>
              <w:rPr>
                <w:sz w:val="16"/>
                <w:szCs w:val="16"/>
                <w:color w:val="auto"/>
              </w:rPr>
            </w:pPr>
          </w:p>
        </w:tc>
        <w:tc>
          <w:tcPr>
            <w:tcW w:w="3540" w:type="dxa"/>
            <w:vAlign w:val="bottom"/>
          </w:tcPr>
          <w:p>
            <w:pPr>
              <w:ind w:left="820"/>
              <w:spacing w:after="0"/>
              <w:rPr>
                <w:sz w:val="20"/>
                <w:szCs w:val="20"/>
                <w:color w:val="auto"/>
              </w:rPr>
            </w:pPr>
            <w:r>
              <w:rPr>
                <w:rFonts w:ascii="Arial" w:cs="Arial" w:eastAsia="Arial" w:hAnsi="Arial"/>
                <w:sz w:val="16"/>
                <w:szCs w:val="16"/>
                <w:color w:val="auto"/>
              </w:rPr>
              <w:t>wait for performance and settle if</w:t>
            </w:r>
          </w:p>
        </w:tc>
        <w:tc>
          <w:tcPr>
            <w:tcW w:w="26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188"/>
        </w:trPr>
        <w:tc>
          <w:tcPr>
            <w:tcW w:w="2000" w:type="dxa"/>
            <w:vAlign w:val="bottom"/>
          </w:tcPr>
          <w:p>
            <w:pPr>
              <w:spacing w:after="0"/>
              <w:rPr>
                <w:sz w:val="16"/>
                <w:szCs w:val="16"/>
                <w:color w:val="auto"/>
              </w:rPr>
            </w:pPr>
          </w:p>
        </w:tc>
        <w:tc>
          <w:tcPr>
            <w:tcW w:w="3540" w:type="dxa"/>
            <w:vAlign w:val="bottom"/>
          </w:tcPr>
          <w:p>
            <w:pPr>
              <w:ind w:left="820"/>
              <w:spacing w:after="0"/>
              <w:rPr>
                <w:sz w:val="20"/>
                <w:szCs w:val="20"/>
                <w:color w:val="auto"/>
              </w:rPr>
            </w:pPr>
            <w:r>
              <w:rPr>
                <w:rFonts w:ascii="Arial" w:cs="Arial" w:eastAsia="Arial" w:hAnsi="Arial"/>
                <w:sz w:val="16"/>
                <w:szCs w:val="16"/>
                <w:color w:val="auto"/>
              </w:rPr>
              <w:t>there are Earned RSUs within 30</w:t>
            </w:r>
          </w:p>
        </w:tc>
        <w:tc>
          <w:tcPr>
            <w:tcW w:w="260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02"/>
        </w:trPr>
        <w:tc>
          <w:tcPr>
            <w:tcW w:w="2000" w:type="dxa"/>
            <w:vAlign w:val="bottom"/>
          </w:tcPr>
          <w:p>
            <w:pPr>
              <w:spacing w:after="0"/>
              <w:rPr>
                <w:sz w:val="17"/>
                <w:szCs w:val="17"/>
                <w:color w:val="auto"/>
              </w:rPr>
            </w:pPr>
          </w:p>
        </w:tc>
        <w:tc>
          <w:tcPr>
            <w:tcW w:w="3540" w:type="dxa"/>
            <w:vAlign w:val="bottom"/>
          </w:tcPr>
          <w:p>
            <w:pPr>
              <w:ind w:left="820"/>
              <w:spacing w:after="0"/>
              <w:rPr>
                <w:sz w:val="20"/>
                <w:szCs w:val="20"/>
                <w:color w:val="auto"/>
              </w:rPr>
            </w:pPr>
            <w:r>
              <w:rPr>
                <w:rFonts w:ascii="Arial" w:cs="Arial" w:eastAsia="Arial" w:hAnsi="Arial"/>
                <w:sz w:val="16"/>
                <w:szCs w:val="16"/>
                <w:color w:val="auto"/>
              </w:rPr>
              <w:t>days after conclusion of performance</w:t>
            </w:r>
          </w:p>
        </w:tc>
        <w:tc>
          <w:tcPr>
            <w:tcW w:w="260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23"/>
        </w:trPr>
        <w:tc>
          <w:tcPr>
            <w:tcW w:w="2000" w:type="dxa"/>
            <w:vAlign w:val="bottom"/>
            <w:tcBorders>
              <w:bottom w:val="single" w:sz="8" w:color="00497F"/>
            </w:tcBorders>
          </w:tcPr>
          <w:p>
            <w:pPr>
              <w:spacing w:after="0"/>
              <w:rPr>
                <w:sz w:val="19"/>
                <w:szCs w:val="19"/>
                <w:color w:val="auto"/>
              </w:rPr>
            </w:pPr>
          </w:p>
        </w:tc>
        <w:tc>
          <w:tcPr>
            <w:tcW w:w="3540" w:type="dxa"/>
            <w:vAlign w:val="bottom"/>
            <w:tcBorders>
              <w:bottom w:val="single" w:sz="8" w:color="00497F"/>
            </w:tcBorders>
          </w:tcPr>
          <w:p>
            <w:pPr>
              <w:ind w:left="820"/>
              <w:spacing w:after="0"/>
              <w:rPr>
                <w:sz w:val="20"/>
                <w:szCs w:val="20"/>
                <w:color w:val="auto"/>
              </w:rPr>
            </w:pPr>
            <w:r>
              <w:rPr>
                <w:rFonts w:ascii="Arial" w:cs="Arial" w:eastAsia="Arial" w:hAnsi="Arial"/>
                <w:sz w:val="16"/>
                <w:szCs w:val="16"/>
                <w:color w:val="auto"/>
              </w:rPr>
              <w:t>period</w:t>
            </w:r>
          </w:p>
        </w:tc>
        <w:tc>
          <w:tcPr>
            <w:tcW w:w="2600" w:type="dxa"/>
            <w:vAlign w:val="bottom"/>
            <w:tcBorders>
              <w:bottom w:val="single" w:sz="8" w:color="00497F"/>
            </w:tcBorders>
          </w:tcPr>
          <w:p>
            <w:pPr>
              <w:spacing w:after="0"/>
              <w:rPr>
                <w:sz w:val="19"/>
                <w:szCs w:val="19"/>
                <w:color w:val="auto"/>
              </w:rPr>
            </w:pPr>
          </w:p>
        </w:tc>
        <w:tc>
          <w:tcPr>
            <w:tcW w:w="3020" w:type="dxa"/>
            <w:vAlign w:val="bottom"/>
            <w:tcBorders>
              <w:bottom w:val="single" w:sz="8" w:color="00497F"/>
            </w:tcBorders>
          </w:tcPr>
          <w:p>
            <w:pPr>
              <w:spacing w:after="0"/>
              <w:rPr>
                <w:sz w:val="19"/>
                <w:szCs w:val="19"/>
                <w:color w:val="auto"/>
              </w:rPr>
            </w:pPr>
          </w:p>
        </w:tc>
      </w:tr>
    </w:tbl>
    <w:p>
      <w:pPr>
        <w:spacing w:after="0" w:line="134" w:lineRule="exact"/>
        <w:rPr>
          <w:sz w:val="20"/>
          <w:szCs w:val="20"/>
          <w:color w:val="auto"/>
        </w:rPr>
      </w:pPr>
    </w:p>
    <w:p>
      <w:pPr>
        <w:ind w:left="400" w:hanging="393"/>
        <w:spacing w:after="0"/>
        <w:tabs>
          <w:tab w:leader="none" w:pos="4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Retirement is defined as termination other than for cause after obtaining either the age of 60 plus 10 years of service or age 65.</w:t>
      </w:r>
    </w:p>
    <w:p>
      <w:pPr>
        <w:spacing w:after="0" w:line="57" w:lineRule="exact"/>
        <w:rPr>
          <w:rFonts w:ascii="Arial" w:cs="Arial" w:eastAsia="Arial" w:hAnsi="Arial"/>
          <w:sz w:val="16"/>
          <w:szCs w:val="16"/>
          <w:color w:val="auto"/>
        </w:rPr>
      </w:pPr>
    </w:p>
    <w:p>
      <w:pPr>
        <w:ind w:left="420" w:right="260" w:hanging="413"/>
        <w:spacing w:after="0" w:line="284" w:lineRule="auto"/>
        <w:tabs>
          <w:tab w:leader="none" w:pos="415" w:val="left"/>
        </w:tabs>
        <w:numPr>
          <w:ilvl w:val="0"/>
          <w:numId w:val="96"/>
        </w:numPr>
        <w:rPr>
          <w:rFonts w:ascii="Arial" w:cs="Arial" w:eastAsia="Arial" w:hAnsi="Arial"/>
          <w:sz w:val="16"/>
          <w:szCs w:val="16"/>
          <w:color w:val="auto"/>
        </w:rPr>
      </w:pPr>
      <w:r>
        <w:rPr>
          <w:rFonts w:ascii="Arial" w:cs="Arial" w:eastAsia="Arial" w:hAnsi="Arial"/>
          <w:sz w:val="16"/>
          <w:szCs w:val="16"/>
          <w:color w:val="auto"/>
        </w:rPr>
        <w:t>Change of control for these purposes is defined as a termination without cause or for good reason within the period commencing 90 days before and ending one year after a change in control of the Company.</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there is a change in control of the Company, then, unless prohibited by law, the Compensation Committee is authorized (but not obligated) to make adjustments to the terms and conditions of outstanding awards, including, without limitation, continuation or assumption of outstanding awards; substitution of new awards with substantially the same terms as outstanding awards; accelerated exercisability, vesting and/or lapse of restrictions for outstanding awards immediately prior to the occurrence of such event; upon written notice, provision that any outstanding awards must be exercised, to the extent then exercisable, during a specified period determined by the Compensation Committee (contingent upon the consummation of the change of control), following which unexercised awards shall terminate; and cancellation of all or any portion of outstanding awards for fair market value (which may be the intrinsic value of the award and may be zero); and cancellation of all or any portion of outstanding awards for fair value (as determined in the sole discretion of the Compensation Committee and which may be zero).</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2014 Plan, a change of control generally is triggered by the occurrence of any of the following: (i) an acquisition of 30% or more of the outstanding shares or the voting power of the outstanding securities generally entitled to vote in the election of directors; (ii) with certain exceptions, individuals on the Board of Directors on the date of effectiveness of the plan cease to constitute a majority of the Board of Directors; (iii) consummation of a reorganization, merger, amalgamation, statutory share exchange, consolidation or like event to which the Company is a party or a sale or disposition of all or substantially all of the Company’s assets, unless the Company’s shareholders continue to own more than 50% of the outstanding voting securities, no person beneficially owns 30% or more of the outstanding securities of the Company and at least a majority of the members of the Board of Directors after such event were members of the Board of Directors prior to the event; or (iv) a complete liquidation or dissolution of the Company. The definition of Change of Control in the 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264160</wp:posOffset>
            </wp:positionV>
            <wp:extent cx="71329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52</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type w:val="continuous"/>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differs from the definition in the 2014 Plan as follows: the acquisition trigger is narrowed to combined voting power only and includes additional carve-outs; the board composition trigger uses a rolling 12-month look-back period rather than measuring from the plan's effective date and includes a more detailed definition of incumbent directors; the Business Combination safe harbor imposes a stricter continuity-of-ownership test requiring substantially the same proportions of pre-transaction ownership; the liquidation or dissolution trigger is activated upon shareholder approval rather than consummation; and the definition includes a Section 409A compliance overlay limiting "Change of Control" to a "change in control event" under Section 409A of the Internal Revenue Code where necessary for deferred compensation payments.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 All contributions made by an executive officer to a deferred compensation account, and all vested portions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contributions to such deferred compensation account, shall be disbursed to the executive officer upon termination of employment for any reason. A summary of fiscal 2025 contributions made by executive officers to a deferred compensation account as described above can be found under </w:t>
      </w:r>
      <w:r>
        <w:rPr>
          <w:rFonts w:ascii="Arial" w:cs="Arial" w:eastAsia="Arial" w:hAnsi="Arial"/>
          <w:sz w:val="18"/>
          <w:szCs w:val="18"/>
          <w:i w:val="1"/>
          <w:iCs w:val="1"/>
          <w:u w:val="single" w:color="auto"/>
          <w:color w:val="0000FF"/>
        </w:rPr>
        <w:t>Fiscal 2025 Nonqualified Deferred Compensation</w:t>
      </w:r>
      <w:r>
        <w:rPr>
          <w:rFonts w:ascii="Arial" w:cs="Arial" w:eastAsia="Arial" w:hAnsi="Arial"/>
          <w:sz w:val="18"/>
          <w:szCs w:val="18"/>
          <w:i w:val="1"/>
          <w:iCs w:val="1"/>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003B71"/>
        </w:rPr>
        <w:t>Payments Pursuant to Employment Agreements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following discussion summarizes the benefits to which each of Messrs. Lal, Harper, Bautista, Klohn and Wehner would be entitled under his employment agreement following the specified triggering events.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If an executive officer resigns from employment with us, including for the purpose of retirement, such officer is not eligible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further payments of salary, bonus, or benefits, and such officer will only be entitled to receive that compensation which has been earned by the officer through the date of termination. Notwithstanding the foregoing, the Company may, at its sole option, elect to provide payments and other severance benefits described below under </w:t>
      </w:r>
      <w:r>
        <w:rPr>
          <w:rFonts w:ascii="Arial" w:cs="Arial" w:eastAsia="Arial" w:hAnsi="Arial"/>
          <w:sz w:val="18"/>
          <w:szCs w:val="18"/>
          <w:i w:val="1"/>
          <w:iCs w:val="1"/>
          <w:color w:val="auto"/>
        </w:rPr>
        <w:t>Involuntary Termination Not for Cause</w:t>
      </w:r>
      <w:r>
        <w:rPr>
          <w:rFonts w:ascii="Arial" w:cs="Arial" w:eastAsia="Arial" w:hAnsi="Arial"/>
          <w:sz w:val="18"/>
          <w:szCs w:val="18"/>
          <w:color w:val="auto"/>
        </w:rPr>
        <w:t>, and the officer shall execute a general release of claims in favor of us.</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Involuntary Termination Not for Cause</w:t>
      </w:r>
      <w:r>
        <w:rPr>
          <w:rFonts w:ascii="Arial" w:cs="Arial" w:eastAsia="Arial" w:hAnsi="Arial"/>
          <w:sz w:val="18"/>
          <w:szCs w:val="18"/>
          <w:color w:val="auto"/>
        </w:rPr>
        <w:t>. In the event of involuntary termination of employment other than for Cause (as defined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agreements), each of Messrs. Harper, Bautista, and Klohn would be entitled to 12 months of continued base salary payments as severance pay at such officer’s then-current base salary, any unpaid bonus earned for the prior fiscal year, the pro rata portion of the annual bonus, if any, earned by the officer for the then-current fiscal year, and monthly payments for a period of 12 months equal to the monthly premium required by such officer to maintain such officer’s health insurance benefits provided by our group health insurance plan, in accordance with the requirements of the Consolidated Omnibus Budget Reconciliation Act of 1985 (“COBRA”).</w:t>
      </w:r>
    </w:p>
    <w:p>
      <w:pPr>
        <w:spacing w:after="0" w:line="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applicable employment agreement, in the event of Mr. Lal’s or Mr. Wehner’s involuntary termination of employment other than for Cause (as defined in the applicable employment agreement), Mr. Lal would be entitled to 24 months of continued base salary payments and Mr. Wehner would be entitled to 18 months of continued salary payments, in each case, as severance pay at their then-current base salary. Messrs. Lal and Wehner would also be entitled to any unpaid bonus earned for the prior year, the pro rata portion of their annual bonus, if any, earned for the then-current fiscal year, and monthly payments for a period of 18 months equal to the monthly premium required by such officer to maintain health insurance benefits provided by our group health insurance plan, in accordance with the requirements of COBRA.</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of termination for Cause, the officer is not eligible for any further payments of salary, bonus, or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be only entitled to receive that compensation which has been earned by the officer through the date of termination.</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Termination for Good Reason – No Change of Control</w:t>
      </w:r>
      <w:r>
        <w:rPr>
          <w:rFonts w:ascii="Arial" w:cs="Arial" w:eastAsia="Arial" w:hAnsi="Arial"/>
          <w:sz w:val="18"/>
          <w:szCs w:val="18"/>
          <w:color w:val="auto"/>
        </w:rPr>
        <w:t>. In the event the officer chooses to terminate his employment for reasons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breach of the employment agreement by us, relocation of the office where the officer performs his duties, assignment to the officer of any duties, authority, or responsibilities that are materially inconsistent with such officer’s position, authority, duties or responsibilities or other similar actions, such officer shall be entitled to the same benefits described above under </w:t>
      </w:r>
      <w:r>
        <w:rPr>
          <w:rFonts w:ascii="Arial" w:cs="Arial" w:eastAsia="Arial" w:hAnsi="Arial"/>
          <w:sz w:val="18"/>
          <w:szCs w:val="18"/>
          <w:i w:val="1"/>
          <w:iCs w:val="1"/>
          <w:color w:val="auto"/>
        </w:rPr>
        <w:t>Involuntary Termination Not for Cause.</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The benefits to which an officer (or such officer’s estate or representative), other than Mr. Lal, would be entitled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event of death or disability are the same as described above under </w:t>
      </w:r>
      <w:r>
        <w:rPr>
          <w:rFonts w:ascii="Arial" w:cs="Arial" w:eastAsia="Arial" w:hAnsi="Arial"/>
          <w:sz w:val="18"/>
          <w:szCs w:val="18"/>
          <w:i w:val="1"/>
          <w:iCs w:val="1"/>
          <w:color w:val="auto"/>
        </w:rPr>
        <w:t>Involuntary Termination Not for Cause</w:t>
      </w:r>
      <w:r>
        <w:rPr>
          <w:rFonts w:ascii="Arial" w:cs="Arial" w:eastAsia="Arial" w:hAnsi="Arial"/>
          <w:sz w:val="18"/>
          <w:szCs w:val="18"/>
          <w:color w:val="auto"/>
        </w:rPr>
        <w:t>. However, the amount of salary-related severance pay to any such disabled officer would be reduced by any income replacement benefits received from the disability insurance we provide. Mr. Lal’s employment agreement is silent as to his entitlement to severance payments or other additional benefits under his employment agreement in the event of his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260985</wp:posOffset>
            </wp:positionV>
            <wp:extent cx="71329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53</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59" w:name="page60"/>
    <w:bookmarkEnd w:id="59"/>
    <w:p>
      <w:pPr>
        <w:jc w:val="both"/>
        <w:spacing w:after="0" w:line="281" w:lineRule="auto"/>
        <w:rPr>
          <w:sz w:val="20"/>
          <w:szCs w:val="20"/>
          <w:color w:val="auto"/>
        </w:rPr>
      </w:pPr>
      <w:r>
        <w:rPr>
          <w:rFonts w:ascii="Arial" w:cs="Arial" w:eastAsia="Arial" w:hAnsi="Arial"/>
          <w:sz w:val="17"/>
          <w:szCs w:val="17"/>
          <w:color w:val="auto"/>
        </w:rPr>
        <w:t>Information concerning the potential payments upon a termination of employment or change of control is set forth in tabular form below for each NEO (other than Mr. Sheehan, who resigned from his role as Interim Chief Executive Officer effective July 15, 2025). Information is provided as if the termination, death, disability or change of control and certain other liquidity events had occurred as of February 3, 2026 (the last day of fiscal 2025). For purposes of the table, we have assumed the termination occurred immediately following the end of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9881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88175" cy="825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jc w:val="center"/>
              <w:ind w:right="42"/>
              <w:spacing w:after="0"/>
              <w:rPr>
                <w:sz w:val="20"/>
                <w:szCs w:val="20"/>
                <w:color w:val="auto"/>
              </w:rPr>
            </w:pPr>
            <w:r>
              <w:rPr>
                <w:rFonts w:ascii="Arial" w:cs="Arial" w:eastAsia="Arial" w:hAnsi="Arial"/>
                <w:sz w:val="12"/>
                <w:szCs w:val="12"/>
                <w:b w:val="1"/>
                <w:bCs w:val="1"/>
                <w:color w:val="003B71"/>
                <w:w w:val="93"/>
              </w:rPr>
              <w:t>Termination</w:t>
            </w: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34"/>
        </w:trPr>
        <w:tc>
          <w:tcPr>
            <w:tcW w:w="1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jc w:val="center"/>
              <w:ind w:right="62"/>
              <w:spacing w:after="0" w:line="134" w:lineRule="exact"/>
              <w:rPr>
                <w:sz w:val="20"/>
                <w:szCs w:val="20"/>
                <w:color w:val="auto"/>
              </w:rPr>
            </w:pPr>
            <w:r>
              <w:rPr>
                <w:rFonts w:ascii="Arial" w:cs="Arial" w:eastAsia="Arial" w:hAnsi="Arial"/>
                <w:sz w:val="12"/>
                <w:szCs w:val="12"/>
                <w:b w:val="1"/>
                <w:bCs w:val="1"/>
                <w:color w:val="003B71"/>
                <w:w w:val="98"/>
              </w:rPr>
              <w:t>Involuntary</w:t>
            </w: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center"/>
              <w:ind w:right="42"/>
              <w:spacing w:after="0" w:line="134" w:lineRule="exact"/>
              <w:rPr>
                <w:sz w:val="20"/>
                <w:szCs w:val="20"/>
                <w:color w:val="auto"/>
              </w:rPr>
            </w:pPr>
            <w:r>
              <w:rPr>
                <w:rFonts w:ascii="Arial" w:cs="Arial" w:eastAsia="Arial" w:hAnsi="Arial"/>
                <w:sz w:val="12"/>
                <w:szCs w:val="12"/>
                <w:b w:val="1"/>
                <w:bCs w:val="1"/>
                <w:color w:val="003B71"/>
                <w:w w:val="96"/>
              </w:rPr>
              <w:t>For Good</w:t>
            </w:r>
          </w:p>
        </w:tc>
        <w:tc>
          <w:tcPr>
            <w:tcW w:w="10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8"/>
        </w:trPr>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0" w:type="dxa"/>
            <w:vAlign w:val="bottom"/>
          </w:tcPr>
          <w:p>
            <w:pPr>
              <w:jc w:val="center"/>
              <w:ind w:left="222"/>
              <w:spacing w:after="0"/>
              <w:rPr>
                <w:sz w:val="20"/>
                <w:szCs w:val="20"/>
                <w:color w:val="auto"/>
              </w:rPr>
            </w:pPr>
            <w:r>
              <w:rPr>
                <w:rFonts w:ascii="Arial" w:cs="Arial" w:eastAsia="Arial" w:hAnsi="Arial"/>
                <w:sz w:val="12"/>
                <w:szCs w:val="12"/>
                <w:b w:val="1"/>
                <w:bCs w:val="1"/>
                <w:color w:val="003B71"/>
                <w:w w:val="93"/>
              </w:rPr>
              <w:t>Voluntary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jc w:val="center"/>
              <w:ind w:right="82"/>
              <w:spacing w:after="0"/>
              <w:rPr>
                <w:sz w:val="20"/>
                <w:szCs w:val="20"/>
                <w:color w:val="auto"/>
              </w:rPr>
            </w:pPr>
            <w:r>
              <w:rPr>
                <w:rFonts w:ascii="Arial" w:cs="Arial" w:eastAsia="Arial" w:hAnsi="Arial"/>
                <w:sz w:val="12"/>
                <w:szCs w:val="12"/>
                <w:b w:val="1"/>
                <w:bCs w:val="1"/>
                <w:color w:val="003B71"/>
                <w:w w:val="96"/>
              </w:rPr>
              <w:t>Termination</w:t>
            </w:r>
          </w:p>
        </w:tc>
        <w:tc>
          <w:tcPr>
            <w:tcW w:w="1120" w:type="dxa"/>
            <w:vAlign w:val="bottom"/>
          </w:tcPr>
          <w:p>
            <w:pPr>
              <w:jc w:val="center"/>
              <w:spacing w:after="0"/>
              <w:rPr>
                <w:sz w:val="20"/>
                <w:szCs w:val="20"/>
                <w:color w:val="auto"/>
              </w:rPr>
            </w:pPr>
            <w:r>
              <w:rPr>
                <w:rFonts w:ascii="Arial" w:cs="Arial" w:eastAsia="Arial" w:hAnsi="Arial"/>
                <w:sz w:val="12"/>
                <w:szCs w:val="12"/>
                <w:b w:val="1"/>
                <w:bCs w:val="1"/>
                <w:color w:val="003B71"/>
                <w:w w:val="96"/>
              </w:rPr>
              <w:t>Termination</w:t>
            </w:r>
          </w:p>
        </w:tc>
        <w:tc>
          <w:tcPr>
            <w:tcW w:w="340" w:type="dxa"/>
            <w:vAlign w:val="bottom"/>
          </w:tcPr>
          <w:p>
            <w:pPr>
              <w:spacing w:after="0"/>
              <w:rPr>
                <w:sz w:val="12"/>
                <w:szCs w:val="12"/>
                <w:color w:val="auto"/>
              </w:rPr>
            </w:pPr>
          </w:p>
        </w:tc>
        <w:tc>
          <w:tcPr>
            <w:tcW w:w="1220" w:type="dxa"/>
            <w:vAlign w:val="bottom"/>
          </w:tcPr>
          <w:p>
            <w:pPr>
              <w:jc w:val="center"/>
              <w:ind w:right="42"/>
              <w:spacing w:after="0"/>
              <w:rPr>
                <w:sz w:val="20"/>
                <w:szCs w:val="20"/>
                <w:color w:val="auto"/>
              </w:rPr>
            </w:pPr>
            <w:r>
              <w:rPr>
                <w:rFonts w:ascii="Arial" w:cs="Arial" w:eastAsia="Arial" w:hAnsi="Arial"/>
                <w:sz w:val="12"/>
                <w:szCs w:val="12"/>
                <w:b w:val="1"/>
                <w:bCs w:val="1"/>
                <w:color w:val="003B71"/>
                <w:w w:val="98"/>
              </w:rPr>
              <w:t>Reason – No</w:t>
            </w:r>
          </w:p>
        </w:tc>
        <w:tc>
          <w:tcPr>
            <w:tcW w:w="1000" w:type="dxa"/>
            <w:vAlign w:val="bottom"/>
          </w:tcPr>
          <w:p>
            <w:pPr>
              <w:jc w:val="center"/>
              <w:ind w:right="102"/>
              <w:spacing w:after="0"/>
              <w:rPr>
                <w:sz w:val="20"/>
                <w:szCs w:val="20"/>
                <w:color w:val="auto"/>
              </w:rPr>
            </w:pPr>
            <w:r>
              <w:rPr>
                <w:rFonts w:ascii="Arial" w:cs="Arial" w:eastAsia="Arial" w:hAnsi="Arial"/>
                <w:sz w:val="12"/>
                <w:szCs w:val="12"/>
                <w:b w:val="1"/>
                <w:bCs w:val="1"/>
                <w:color w:val="003B71"/>
                <w:w w:val="98"/>
              </w:rPr>
              <w:t>Death/</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3B71"/>
                <w:w w:val="96"/>
              </w:rPr>
              <w:t>Change in</w:t>
            </w:r>
          </w:p>
        </w:tc>
      </w:tr>
      <w:tr>
        <w:trPr>
          <w:trHeight w:val="134"/>
        </w:trPr>
        <w:tc>
          <w:tcPr>
            <w:tcW w:w="15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0" w:type="dxa"/>
            <w:vAlign w:val="bottom"/>
          </w:tcPr>
          <w:p>
            <w:pPr>
              <w:jc w:val="center"/>
              <w:ind w:left="202"/>
              <w:spacing w:after="0" w:line="134" w:lineRule="exact"/>
              <w:rPr>
                <w:sz w:val="20"/>
                <w:szCs w:val="20"/>
                <w:color w:val="auto"/>
              </w:rPr>
            </w:pPr>
            <w:r>
              <w:rPr>
                <w:rFonts w:ascii="Arial" w:cs="Arial" w:eastAsia="Arial" w:hAnsi="Arial"/>
                <w:sz w:val="12"/>
                <w:szCs w:val="12"/>
                <w:b w:val="1"/>
                <w:bCs w:val="1"/>
                <w:color w:val="003B71"/>
                <w:w w:val="96"/>
              </w:rPr>
              <w:t>Resignation</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jc w:val="center"/>
              <w:ind w:right="82"/>
              <w:spacing w:after="0" w:line="134" w:lineRule="exact"/>
              <w:rPr>
                <w:sz w:val="20"/>
                <w:szCs w:val="20"/>
                <w:color w:val="auto"/>
              </w:rPr>
            </w:pPr>
            <w:r>
              <w:rPr>
                <w:rFonts w:ascii="Arial" w:cs="Arial" w:eastAsia="Arial" w:hAnsi="Arial"/>
                <w:sz w:val="12"/>
                <w:szCs w:val="12"/>
                <w:b w:val="1"/>
                <w:bCs w:val="1"/>
                <w:color w:val="003B71"/>
                <w:w w:val="96"/>
              </w:rPr>
              <w:t>W/Out</w:t>
            </w:r>
          </w:p>
        </w:tc>
        <w:tc>
          <w:tcPr>
            <w:tcW w:w="1120" w:type="dxa"/>
            <w:vAlign w:val="bottom"/>
          </w:tcPr>
          <w:p>
            <w:pPr>
              <w:jc w:val="center"/>
              <w:spacing w:after="0" w:line="134" w:lineRule="exact"/>
              <w:rPr>
                <w:sz w:val="20"/>
                <w:szCs w:val="20"/>
                <w:color w:val="auto"/>
              </w:rPr>
            </w:pPr>
            <w:r>
              <w:rPr>
                <w:rFonts w:ascii="Arial" w:cs="Arial" w:eastAsia="Arial" w:hAnsi="Arial"/>
                <w:sz w:val="12"/>
                <w:szCs w:val="12"/>
                <w:b w:val="1"/>
                <w:bCs w:val="1"/>
                <w:color w:val="003B71"/>
                <w:w w:val="99"/>
              </w:rPr>
              <w:t>With</w:t>
            </w:r>
          </w:p>
        </w:tc>
        <w:tc>
          <w:tcPr>
            <w:tcW w:w="340" w:type="dxa"/>
            <w:vAlign w:val="bottom"/>
          </w:tcPr>
          <w:p>
            <w:pPr>
              <w:spacing w:after="0"/>
              <w:rPr>
                <w:sz w:val="11"/>
                <w:szCs w:val="11"/>
                <w:color w:val="auto"/>
              </w:rPr>
            </w:pPr>
          </w:p>
        </w:tc>
        <w:tc>
          <w:tcPr>
            <w:tcW w:w="1220" w:type="dxa"/>
            <w:vAlign w:val="bottom"/>
          </w:tcPr>
          <w:p>
            <w:pPr>
              <w:jc w:val="center"/>
              <w:ind w:right="42"/>
              <w:spacing w:after="0" w:line="134" w:lineRule="exact"/>
              <w:rPr>
                <w:sz w:val="20"/>
                <w:szCs w:val="20"/>
                <w:color w:val="auto"/>
              </w:rPr>
            </w:pPr>
            <w:r>
              <w:rPr>
                <w:rFonts w:ascii="Arial" w:cs="Arial" w:eastAsia="Arial" w:hAnsi="Arial"/>
                <w:sz w:val="12"/>
                <w:szCs w:val="12"/>
                <w:b w:val="1"/>
                <w:bCs w:val="1"/>
                <w:color w:val="003B71"/>
                <w:w w:val="99"/>
              </w:rPr>
              <w:t>Change</w:t>
            </w:r>
          </w:p>
        </w:tc>
        <w:tc>
          <w:tcPr>
            <w:tcW w:w="1000" w:type="dxa"/>
            <w:vAlign w:val="bottom"/>
          </w:tcPr>
          <w:p>
            <w:pPr>
              <w:jc w:val="center"/>
              <w:ind w:right="102"/>
              <w:spacing w:after="0" w:line="134" w:lineRule="exact"/>
              <w:rPr>
                <w:sz w:val="20"/>
                <w:szCs w:val="20"/>
                <w:color w:val="auto"/>
              </w:rPr>
            </w:pPr>
            <w:r>
              <w:rPr>
                <w:rFonts w:ascii="Arial" w:cs="Arial" w:eastAsia="Arial" w:hAnsi="Arial"/>
                <w:sz w:val="12"/>
                <w:szCs w:val="12"/>
                <w:b w:val="1"/>
                <w:bCs w:val="1"/>
                <w:color w:val="003B71"/>
                <w:w w:val="97"/>
              </w:rPr>
              <w:t>Disability</w:t>
            </w:r>
          </w:p>
        </w:tc>
        <w:tc>
          <w:tcPr>
            <w:tcW w:w="960" w:type="dxa"/>
            <w:vAlign w:val="bottom"/>
          </w:tcPr>
          <w:p>
            <w:pPr>
              <w:jc w:val="center"/>
              <w:ind w:right="3"/>
              <w:spacing w:after="0" w:line="134" w:lineRule="exact"/>
              <w:rPr>
                <w:sz w:val="20"/>
                <w:szCs w:val="20"/>
                <w:color w:val="auto"/>
              </w:rPr>
            </w:pPr>
            <w:r>
              <w:rPr>
                <w:rFonts w:ascii="Arial" w:cs="Arial" w:eastAsia="Arial" w:hAnsi="Arial"/>
                <w:sz w:val="12"/>
                <w:szCs w:val="12"/>
                <w:b w:val="1"/>
                <w:bCs w:val="1"/>
                <w:color w:val="003B71"/>
                <w:w w:val="98"/>
              </w:rPr>
              <w:t>Control</w:t>
            </w:r>
          </w:p>
        </w:tc>
      </w:tr>
      <w:tr>
        <w:trPr>
          <w:trHeight w:val="184"/>
        </w:trPr>
        <w:tc>
          <w:tcPr>
            <w:tcW w:w="1520" w:type="dxa"/>
            <w:vAlign w:val="bottom"/>
            <w:tcBorders>
              <w:bottom w:val="single" w:sz="8" w:color="00497F"/>
            </w:tcBorders>
          </w:tcPr>
          <w:p>
            <w:pPr>
              <w:ind w:left="20"/>
              <w:spacing w:after="0"/>
              <w:rPr>
                <w:sz w:val="20"/>
                <w:szCs w:val="20"/>
                <w:color w:val="auto"/>
              </w:rPr>
            </w:pPr>
            <w:r>
              <w:rPr>
                <w:rFonts w:ascii="Arial" w:cs="Arial" w:eastAsia="Arial" w:hAnsi="Arial"/>
                <w:sz w:val="12"/>
                <w:szCs w:val="12"/>
                <w:b w:val="1"/>
                <w:bCs w:val="1"/>
                <w:color w:val="003B71"/>
              </w:rPr>
              <w:t>Name</w:t>
            </w:r>
          </w:p>
        </w:tc>
        <w:tc>
          <w:tcPr>
            <w:tcW w:w="1420" w:type="dxa"/>
            <w:vAlign w:val="bottom"/>
            <w:tcBorders>
              <w:bottom w:val="single" w:sz="8" w:color="00497F"/>
            </w:tcBorders>
          </w:tcPr>
          <w:p>
            <w:pPr>
              <w:ind w:left="520"/>
              <w:spacing w:after="0"/>
              <w:rPr>
                <w:sz w:val="20"/>
                <w:szCs w:val="20"/>
                <w:color w:val="auto"/>
              </w:rPr>
            </w:pPr>
            <w:r>
              <w:rPr>
                <w:rFonts w:ascii="Arial" w:cs="Arial" w:eastAsia="Arial" w:hAnsi="Arial"/>
                <w:sz w:val="12"/>
                <w:szCs w:val="12"/>
                <w:b w:val="1"/>
                <w:bCs w:val="1"/>
                <w:color w:val="003B71"/>
              </w:rPr>
              <w:t>Benefit</w:t>
            </w:r>
          </w:p>
        </w:tc>
        <w:tc>
          <w:tcPr>
            <w:tcW w:w="1000" w:type="dxa"/>
            <w:vAlign w:val="bottom"/>
            <w:tcBorders>
              <w:bottom w:val="single" w:sz="8" w:color="00497F"/>
            </w:tcBorders>
          </w:tcPr>
          <w:p>
            <w:pPr>
              <w:jc w:val="center"/>
              <w:ind w:left="202"/>
              <w:spacing w:after="0"/>
              <w:rPr>
                <w:sz w:val="20"/>
                <w:szCs w:val="20"/>
                <w:color w:val="auto"/>
              </w:rPr>
            </w:pPr>
            <w:r>
              <w:rPr>
                <w:rFonts w:ascii="Arial" w:cs="Arial" w:eastAsia="Arial" w:hAnsi="Arial"/>
                <w:sz w:val="12"/>
                <w:szCs w:val="12"/>
                <w:b w:val="1"/>
                <w:bCs w:val="1"/>
                <w:color w:val="003B71"/>
                <w:w w:val="95"/>
              </w:rPr>
              <w:t>($)</w:t>
            </w:r>
          </w:p>
        </w:tc>
        <w:tc>
          <w:tcPr>
            <w:tcW w:w="260" w:type="dxa"/>
            <w:vAlign w:val="bottom"/>
            <w:tcBorders>
              <w:bottom w:val="single" w:sz="8" w:color="00497F"/>
            </w:tcBorders>
          </w:tcPr>
          <w:p>
            <w:pPr>
              <w:spacing w:after="0"/>
              <w:rPr>
                <w:sz w:val="16"/>
                <w:szCs w:val="16"/>
                <w:color w:val="auto"/>
              </w:rPr>
            </w:pPr>
          </w:p>
        </w:tc>
        <w:tc>
          <w:tcPr>
            <w:tcW w:w="1020" w:type="dxa"/>
            <w:vAlign w:val="bottom"/>
            <w:tcBorders>
              <w:bottom w:val="single" w:sz="8" w:color="00497F"/>
            </w:tcBorders>
          </w:tcPr>
          <w:p>
            <w:pPr>
              <w:ind w:left="100"/>
              <w:spacing w:after="0"/>
              <w:rPr>
                <w:sz w:val="20"/>
                <w:szCs w:val="20"/>
                <w:color w:val="auto"/>
              </w:rPr>
            </w:pPr>
            <w:r>
              <w:rPr>
                <w:rFonts w:ascii="Arial" w:cs="Arial" w:eastAsia="Arial" w:hAnsi="Arial"/>
                <w:sz w:val="12"/>
                <w:szCs w:val="12"/>
                <w:b w:val="1"/>
                <w:bCs w:val="1"/>
                <w:color w:val="003B71"/>
              </w:rPr>
              <w:t xml:space="preserve">Retired ($) </w:t>
            </w:r>
            <w:r>
              <w:rPr>
                <w:rFonts w:ascii="Arial" w:cs="Arial" w:eastAsia="Arial" w:hAnsi="Arial"/>
                <w:sz w:val="15"/>
                <w:szCs w:val="15"/>
                <w:b w:val="1"/>
                <w:bCs w:val="1"/>
                <w:color w:val="003B71"/>
                <w:vertAlign w:val="superscript"/>
              </w:rPr>
              <w:t>(1)</w:t>
            </w:r>
          </w:p>
        </w:tc>
        <w:tc>
          <w:tcPr>
            <w:tcW w:w="1160" w:type="dxa"/>
            <w:vAlign w:val="bottom"/>
            <w:tcBorders>
              <w:bottom w:val="single" w:sz="8" w:color="00497F"/>
            </w:tcBorders>
          </w:tcPr>
          <w:p>
            <w:pPr>
              <w:jc w:val="center"/>
              <w:ind w:right="62"/>
              <w:spacing w:after="0"/>
              <w:rPr>
                <w:sz w:val="20"/>
                <w:szCs w:val="20"/>
                <w:color w:val="auto"/>
              </w:rPr>
            </w:pPr>
            <w:r>
              <w:rPr>
                <w:rFonts w:ascii="Arial" w:cs="Arial" w:eastAsia="Arial" w:hAnsi="Arial"/>
                <w:sz w:val="12"/>
                <w:szCs w:val="12"/>
                <w:b w:val="1"/>
                <w:bCs w:val="1"/>
                <w:color w:val="003B71"/>
                <w:w w:val="94"/>
              </w:rPr>
              <w:t>Cause($)</w:t>
            </w:r>
          </w:p>
        </w:tc>
        <w:tc>
          <w:tcPr>
            <w:tcW w:w="1120" w:type="dxa"/>
            <w:vAlign w:val="bottom"/>
            <w:tcBorders>
              <w:bottom w:val="single" w:sz="8" w:color="00497F"/>
            </w:tcBorders>
          </w:tcPr>
          <w:p>
            <w:pPr>
              <w:jc w:val="center"/>
              <w:spacing w:after="0"/>
              <w:rPr>
                <w:sz w:val="20"/>
                <w:szCs w:val="20"/>
                <w:color w:val="auto"/>
              </w:rPr>
            </w:pPr>
            <w:r>
              <w:rPr>
                <w:rFonts w:ascii="Arial" w:cs="Arial" w:eastAsia="Arial" w:hAnsi="Arial"/>
                <w:sz w:val="12"/>
                <w:szCs w:val="12"/>
                <w:b w:val="1"/>
                <w:bCs w:val="1"/>
                <w:color w:val="003B71"/>
                <w:w w:val="98"/>
              </w:rPr>
              <w:t>Cause($)</w:t>
            </w:r>
          </w:p>
        </w:tc>
        <w:tc>
          <w:tcPr>
            <w:tcW w:w="340" w:type="dxa"/>
            <w:vAlign w:val="bottom"/>
            <w:tcBorders>
              <w:bottom w:val="single" w:sz="8" w:color="00497F"/>
            </w:tcBorders>
          </w:tcPr>
          <w:p>
            <w:pPr>
              <w:spacing w:after="0"/>
              <w:rPr>
                <w:sz w:val="16"/>
                <w:szCs w:val="16"/>
                <w:color w:val="auto"/>
              </w:rPr>
            </w:pPr>
          </w:p>
        </w:tc>
        <w:tc>
          <w:tcPr>
            <w:tcW w:w="1220" w:type="dxa"/>
            <w:vAlign w:val="bottom"/>
            <w:tcBorders>
              <w:bottom w:val="single" w:sz="8" w:color="00497F"/>
            </w:tcBorders>
          </w:tcPr>
          <w:p>
            <w:pPr>
              <w:jc w:val="center"/>
              <w:ind w:right="42"/>
              <w:spacing w:after="0"/>
              <w:rPr>
                <w:sz w:val="20"/>
                <w:szCs w:val="20"/>
                <w:color w:val="auto"/>
              </w:rPr>
            </w:pPr>
            <w:r>
              <w:rPr>
                <w:rFonts w:ascii="Arial" w:cs="Arial" w:eastAsia="Arial" w:hAnsi="Arial"/>
                <w:sz w:val="12"/>
                <w:szCs w:val="12"/>
                <w:b w:val="1"/>
                <w:bCs w:val="1"/>
                <w:color w:val="003B71"/>
                <w:w w:val="95"/>
              </w:rPr>
              <w:t>in Control($)</w:t>
            </w:r>
          </w:p>
        </w:tc>
        <w:tc>
          <w:tcPr>
            <w:tcW w:w="1000" w:type="dxa"/>
            <w:vAlign w:val="bottom"/>
            <w:tcBorders>
              <w:bottom w:val="single" w:sz="8" w:color="00497F"/>
            </w:tcBorders>
          </w:tcPr>
          <w:p>
            <w:pPr>
              <w:jc w:val="center"/>
              <w:ind w:right="82"/>
              <w:spacing w:after="0"/>
              <w:rPr>
                <w:sz w:val="20"/>
                <w:szCs w:val="20"/>
                <w:color w:val="auto"/>
              </w:rPr>
            </w:pPr>
            <w:r>
              <w:rPr>
                <w:rFonts w:ascii="Arial" w:cs="Arial" w:eastAsia="Arial" w:hAnsi="Arial"/>
                <w:sz w:val="12"/>
                <w:szCs w:val="12"/>
                <w:b w:val="1"/>
                <w:bCs w:val="1"/>
                <w:color w:val="003B71"/>
                <w:w w:val="95"/>
              </w:rPr>
              <w:t>($)</w:t>
            </w:r>
          </w:p>
        </w:tc>
        <w:tc>
          <w:tcPr>
            <w:tcW w:w="960" w:type="dxa"/>
            <w:vAlign w:val="bottom"/>
            <w:tcBorders>
              <w:bottom w:val="single" w:sz="8" w:color="00497F"/>
            </w:tcBorders>
          </w:tcPr>
          <w:p>
            <w:pPr>
              <w:jc w:val="center"/>
              <w:spacing w:after="0" w:line="185" w:lineRule="exact"/>
              <w:rPr>
                <w:sz w:val="20"/>
                <w:szCs w:val="20"/>
                <w:color w:val="auto"/>
              </w:rPr>
            </w:pPr>
            <w:r>
              <w:rPr>
                <w:rFonts w:ascii="Arial" w:cs="Arial" w:eastAsia="Arial" w:hAnsi="Arial"/>
                <w:sz w:val="21"/>
                <w:szCs w:val="21"/>
                <w:b w:val="1"/>
                <w:bCs w:val="1"/>
                <w:color w:val="003B71"/>
                <w:w w:val="93"/>
                <w:vertAlign w:val="subscript"/>
              </w:rPr>
              <w:t>($)</w:t>
            </w:r>
            <w:r>
              <w:rPr>
                <w:rFonts w:ascii="Arial" w:cs="Arial" w:eastAsia="Arial" w:hAnsi="Arial"/>
                <w:sz w:val="7"/>
                <w:szCs w:val="7"/>
                <w:b w:val="1"/>
                <w:bCs w:val="1"/>
                <w:color w:val="003B71"/>
                <w:w w:val="93"/>
              </w:rPr>
              <w:t>(2)</w:t>
            </w:r>
          </w:p>
        </w:tc>
      </w:tr>
      <w:tr>
        <w:trPr>
          <w:trHeight w:val="164"/>
        </w:trPr>
        <w:tc>
          <w:tcPr>
            <w:tcW w:w="1520" w:type="dxa"/>
            <w:vAlign w:val="bottom"/>
            <w:shd w:val="clear" w:color="auto" w:fill="DBDBDB"/>
          </w:tcPr>
          <w:p>
            <w:pPr>
              <w:ind w:left="20"/>
              <w:spacing w:after="0"/>
              <w:rPr>
                <w:sz w:val="20"/>
                <w:szCs w:val="20"/>
                <w:color w:val="auto"/>
              </w:rPr>
            </w:pPr>
            <w:r>
              <w:rPr>
                <w:rFonts w:ascii="Arial" w:cs="Arial" w:eastAsia="Arial" w:hAnsi="Arial"/>
                <w:sz w:val="12"/>
                <w:szCs w:val="12"/>
                <w:color w:val="auto"/>
              </w:rPr>
              <w:t>Tarun Lal</w:t>
            </w: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Salary</w:t>
            </w:r>
          </w:p>
        </w:tc>
        <w:tc>
          <w:tcPr>
            <w:tcW w:w="1000" w:type="dxa"/>
            <w:vAlign w:val="bottom"/>
            <w:shd w:val="clear" w:color="auto" w:fill="DBDBDB"/>
          </w:tcPr>
          <w:p>
            <w:pPr>
              <w:spacing w:after="0"/>
              <w:rPr>
                <w:sz w:val="14"/>
                <w:szCs w:val="14"/>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1,600,000</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800,000</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188"/>
        </w:trPr>
        <w:tc>
          <w:tcPr>
            <w:tcW w:w="1520" w:type="dxa"/>
            <w:vAlign w:val="bottom"/>
            <w:shd w:val="clear" w:color="auto" w:fill="DBDBDB"/>
          </w:tcPr>
          <w:p>
            <w:pPr>
              <w:spacing w:after="0"/>
              <w:rPr>
                <w:sz w:val="16"/>
                <w:szCs w:val="16"/>
                <w:color w:val="auto"/>
              </w:rPr>
            </w:pP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Bonus</w:t>
            </w:r>
          </w:p>
        </w:tc>
        <w:tc>
          <w:tcPr>
            <w:tcW w:w="1000" w:type="dxa"/>
            <w:vAlign w:val="bottom"/>
            <w:shd w:val="clear" w:color="auto" w:fill="DBDBDB"/>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DBDBDB"/>
          </w:tcPr>
          <w:p>
            <w:pPr>
              <w:ind w:left="940"/>
              <w:spacing w:after="0"/>
              <w:rPr>
                <w:sz w:val="20"/>
                <w:szCs w:val="20"/>
                <w:color w:val="auto"/>
              </w:rPr>
            </w:pPr>
            <w:r>
              <w:rPr>
                <w:rFonts w:ascii="Arial" w:cs="Arial" w:eastAsia="Arial" w:hAnsi="Arial"/>
                <w:sz w:val="12"/>
                <w:szCs w:val="12"/>
                <w:color w:val="auto"/>
              </w:rPr>
              <w:t>— (6)</w:t>
            </w: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188"/>
        </w:trPr>
        <w:tc>
          <w:tcPr>
            <w:tcW w:w="1520" w:type="dxa"/>
            <w:vAlign w:val="bottom"/>
            <w:shd w:val="clear" w:color="auto" w:fill="DBDBDB"/>
          </w:tcPr>
          <w:p>
            <w:pPr>
              <w:spacing w:after="0"/>
              <w:rPr>
                <w:sz w:val="16"/>
                <w:szCs w:val="16"/>
                <w:color w:val="auto"/>
              </w:rPr>
            </w:pP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H &amp; W Benefits</w:t>
            </w:r>
          </w:p>
        </w:tc>
        <w:tc>
          <w:tcPr>
            <w:tcW w:w="1000" w:type="dxa"/>
            <w:vAlign w:val="bottom"/>
            <w:shd w:val="clear" w:color="auto" w:fill="DBDBDB"/>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16,310</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16,310</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16,310</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206"/>
        </w:trPr>
        <w:tc>
          <w:tcPr>
            <w:tcW w:w="1520" w:type="dxa"/>
            <w:vAlign w:val="bottom"/>
            <w:shd w:val="clear" w:color="auto" w:fill="DBDBDB"/>
          </w:tcPr>
          <w:p>
            <w:pPr>
              <w:spacing w:after="0"/>
              <w:rPr>
                <w:sz w:val="17"/>
                <w:szCs w:val="17"/>
                <w:color w:val="auto"/>
              </w:rPr>
            </w:pP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Equity</w:t>
            </w:r>
            <w:r>
              <w:rPr>
                <w:rFonts w:ascii="Arial" w:cs="Arial" w:eastAsia="Arial" w:hAnsi="Arial"/>
                <w:sz w:val="15"/>
                <w:szCs w:val="15"/>
                <w:color w:val="auto"/>
                <w:vertAlign w:val="superscript"/>
              </w:rPr>
              <w:t>(3(4))</w:t>
            </w:r>
          </w:p>
        </w:tc>
        <w:tc>
          <w:tcPr>
            <w:tcW w:w="1000" w:type="dxa"/>
            <w:vAlign w:val="bottom"/>
            <w:shd w:val="clear" w:color="auto" w:fill="DBDBDB"/>
          </w:tcPr>
          <w:p>
            <w:pPr>
              <w:spacing w:after="0"/>
              <w:rPr>
                <w:sz w:val="17"/>
                <w:szCs w:val="17"/>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898,017</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898,017</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4,848,407</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4,848,407</w:t>
            </w:r>
          </w:p>
        </w:tc>
      </w:tr>
      <w:tr>
        <w:trPr>
          <w:trHeight w:val="170"/>
        </w:trPr>
        <w:tc>
          <w:tcPr>
            <w:tcW w:w="1520" w:type="dxa"/>
            <w:vAlign w:val="bottom"/>
          </w:tcPr>
          <w:p>
            <w:pPr>
              <w:ind w:left="20"/>
              <w:spacing w:after="0"/>
              <w:rPr>
                <w:sz w:val="20"/>
                <w:szCs w:val="20"/>
                <w:color w:val="auto"/>
              </w:rPr>
            </w:pPr>
            <w:r>
              <w:rPr>
                <w:rFonts w:ascii="Arial" w:cs="Arial" w:eastAsia="Arial" w:hAnsi="Arial"/>
                <w:sz w:val="12"/>
                <w:szCs w:val="12"/>
                <w:color w:val="auto"/>
              </w:rPr>
              <w:t>Darin Harper</w:t>
            </w:r>
          </w:p>
        </w:tc>
        <w:tc>
          <w:tcPr>
            <w:tcW w:w="1420" w:type="dxa"/>
            <w:vAlign w:val="bottom"/>
          </w:tcPr>
          <w:p>
            <w:pPr>
              <w:ind w:left="20"/>
              <w:spacing w:after="0"/>
              <w:rPr>
                <w:sz w:val="20"/>
                <w:szCs w:val="20"/>
                <w:color w:val="auto"/>
              </w:rPr>
            </w:pPr>
            <w:r>
              <w:rPr>
                <w:rFonts w:ascii="Arial" w:cs="Arial" w:eastAsia="Arial" w:hAnsi="Arial"/>
                <w:sz w:val="12"/>
                <w:szCs w:val="12"/>
                <w:color w:val="auto"/>
              </w:rPr>
              <w:t>Salary</w:t>
            </w:r>
          </w:p>
        </w:tc>
        <w:tc>
          <w:tcPr>
            <w:tcW w:w="1000" w:type="dxa"/>
            <w:vAlign w:val="bottom"/>
          </w:tcPr>
          <w:p>
            <w:pPr>
              <w:spacing w:after="0"/>
              <w:rPr>
                <w:sz w:val="14"/>
                <w:szCs w:val="14"/>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475,000</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475,000</w:t>
            </w:r>
          </w:p>
        </w:tc>
        <w:tc>
          <w:tcPr>
            <w:tcW w:w="1000" w:type="dxa"/>
            <w:vAlign w:val="bottom"/>
          </w:tcPr>
          <w:p>
            <w:pPr>
              <w:jc w:val="right"/>
              <w:ind w:right="122"/>
              <w:spacing w:after="0"/>
              <w:rPr>
                <w:sz w:val="20"/>
                <w:szCs w:val="20"/>
                <w:color w:val="auto"/>
              </w:rPr>
            </w:pPr>
            <w:r>
              <w:rPr>
                <w:rFonts w:ascii="Arial" w:cs="Arial" w:eastAsia="Arial" w:hAnsi="Arial"/>
                <w:sz w:val="12"/>
                <w:szCs w:val="12"/>
                <w:color w:val="auto"/>
              </w:rPr>
              <w:t>475,000</w:t>
            </w: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88"/>
        </w:trPr>
        <w:tc>
          <w:tcPr>
            <w:tcW w:w="15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Bonus</w:t>
            </w:r>
          </w:p>
        </w:tc>
        <w:tc>
          <w:tcPr>
            <w:tcW w:w="10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460" w:type="dxa"/>
            <w:vAlign w:val="bottom"/>
            <w:gridSpan w:val="2"/>
          </w:tcPr>
          <w:p>
            <w:pPr>
              <w:ind w:left="940"/>
              <w:spacing w:after="0"/>
              <w:rPr>
                <w:sz w:val="20"/>
                <w:szCs w:val="20"/>
                <w:color w:val="auto"/>
              </w:rPr>
            </w:pPr>
            <w:r>
              <w:rPr>
                <w:rFonts w:ascii="Arial" w:cs="Arial" w:eastAsia="Arial" w:hAnsi="Arial"/>
                <w:sz w:val="12"/>
                <w:szCs w:val="12"/>
                <w:color w:val="auto"/>
              </w:rPr>
              <w:t>— (6)</w:t>
            </w: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88"/>
        </w:trPr>
        <w:tc>
          <w:tcPr>
            <w:tcW w:w="15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H &amp; W Benefits</w:t>
            </w:r>
          </w:p>
        </w:tc>
        <w:tc>
          <w:tcPr>
            <w:tcW w:w="10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28,560</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28,560</w:t>
            </w:r>
          </w:p>
        </w:tc>
        <w:tc>
          <w:tcPr>
            <w:tcW w:w="1000" w:type="dxa"/>
            <w:vAlign w:val="bottom"/>
          </w:tcPr>
          <w:p>
            <w:pPr>
              <w:jc w:val="right"/>
              <w:ind w:right="122"/>
              <w:spacing w:after="0"/>
              <w:rPr>
                <w:sz w:val="20"/>
                <w:szCs w:val="20"/>
                <w:color w:val="auto"/>
              </w:rPr>
            </w:pPr>
            <w:r>
              <w:rPr>
                <w:rFonts w:ascii="Arial" w:cs="Arial" w:eastAsia="Arial" w:hAnsi="Arial"/>
                <w:sz w:val="12"/>
                <w:szCs w:val="12"/>
                <w:color w:val="auto"/>
              </w:rPr>
              <w:t>28,500</w:t>
            </w: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206"/>
        </w:trPr>
        <w:tc>
          <w:tcPr>
            <w:tcW w:w="152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Equity</w:t>
            </w:r>
            <w:r>
              <w:rPr>
                <w:rFonts w:ascii="Arial" w:cs="Arial" w:eastAsia="Arial" w:hAnsi="Arial"/>
                <w:sz w:val="15"/>
                <w:szCs w:val="15"/>
                <w:color w:val="auto"/>
                <w:vertAlign w:val="superscript"/>
              </w:rPr>
              <w:t>(3(4))</w:t>
            </w:r>
          </w:p>
        </w:tc>
        <w:tc>
          <w:tcPr>
            <w:tcW w:w="10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454,788</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454,788</w:t>
            </w:r>
          </w:p>
        </w:tc>
        <w:tc>
          <w:tcPr>
            <w:tcW w:w="1000" w:type="dxa"/>
            <w:vAlign w:val="bottom"/>
          </w:tcPr>
          <w:p>
            <w:pPr>
              <w:jc w:val="right"/>
              <w:ind w:right="122"/>
              <w:spacing w:after="0"/>
              <w:rPr>
                <w:sz w:val="20"/>
                <w:szCs w:val="20"/>
                <w:color w:val="auto"/>
              </w:rPr>
            </w:pPr>
            <w:r>
              <w:rPr>
                <w:rFonts w:ascii="Arial" w:cs="Arial" w:eastAsia="Arial" w:hAnsi="Arial"/>
                <w:sz w:val="12"/>
                <w:szCs w:val="12"/>
                <w:color w:val="auto"/>
              </w:rPr>
              <w:t>1,541,265</w:t>
            </w: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1,541,265</w:t>
            </w:r>
          </w:p>
        </w:tc>
      </w:tr>
      <w:tr>
        <w:trPr>
          <w:trHeight w:val="188"/>
        </w:trPr>
        <w:tc>
          <w:tcPr>
            <w:tcW w:w="152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Antonio Bautista</w:t>
            </w:r>
            <w:r>
              <w:rPr>
                <w:rFonts w:ascii="Arial" w:cs="Arial" w:eastAsia="Arial" w:hAnsi="Arial"/>
                <w:sz w:val="15"/>
                <w:szCs w:val="15"/>
                <w:color w:val="auto"/>
                <w:vertAlign w:val="superscript"/>
              </w:rPr>
              <w:t>(5)</w:t>
            </w: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Salary</w:t>
            </w:r>
          </w:p>
        </w:tc>
        <w:tc>
          <w:tcPr>
            <w:tcW w:w="1000" w:type="dxa"/>
            <w:vAlign w:val="bottom"/>
            <w:shd w:val="clear" w:color="auto" w:fill="DBDBDB"/>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427,000</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427,000</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427,000</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170"/>
        </w:trPr>
        <w:tc>
          <w:tcPr>
            <w:tcW w:w="1520" w:type="dxa"/>
            <w:vAlign w:val="bottom"/>
            <w:shd w:val="clear" w:color="auto" w:fill="DBDBDB"/>
          </w:tcPr>
          <w:p>
            <w:pPr>
              <w:spacing w:after="0"/>
              <w:rPr>
                <w:sz w:val="14"/>
                <w:szCs w:val="14"/>
                <w:color w:val="auto"/>
              </w:rPr>
            </w:pP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Bonus</w:t>
            </w:r>
          </w:p>
        </w:tc>
        <w:tc>
          <w:tcPr>
            <w:tcW w:w="1000" w:type="dxa"/>
            <w:vAlign w:val="bottom"/>
            <w:shd w:val="clear" w:color="auto" w:fill="DBDBDB"/>
          </w:tcPr>
          <w:p>
            <w:pPr>
              <w:spacing w:after="0"/>
              <w:rPr>
                <w:sz w:val="14"/>
                <w:szCs w:val="14"/>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DBDBDB"/>
          </w:tcPr>
          <w:p>
            <w:pPr>
              <w:ind w:left="940"/>
              <w:spacing w:after="0"/>
              <w:rPr>
                <w:sz w:val="20"/>
                <w:szCs w:val="20"/>
                <w:color w:val="auto"/>
              </w:rPr>
            </w:pPr>
            <w:r>
              <w:rPr>
                <w:rFonts w:ascii="Arial" w:cs="Arial" w:eastAsia="Arial" w:hAnsi="Arial"/>
                <w:sz w:val="12"/>
                <w:szCs w:val="12"/>
                <w:color w:val="auto"/>
              </w:rPr>
              <w:t>— (6)</w:t>
            </w: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188"/>
        </w:trPr>
        <w:tc>
          <w:tcPr>
            <w:tcW w:w="1520" w:type="dxa"/>
            <w:vAlign w:val="bottom"/>
            <w:shd w:val="clear" w:color="auto" w:fill="DBDBDB"/>
          </w:tcPr>
          <w:p>
            <w:pPr>
              <w:spacing w:after="0"/>
              <w:rPr>
                <w:sz w:val="16"/>
                <w:szCs w:val="16"/>
                <w:color w:val="auto"/>
              </w:rPr>
            </w:pP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H &amp; W Benefits</w:t>
            </w:r>
          </w:p>
        </w:tc>
        <w:tc>
          <w:tcPr>
            <w:tcW w:w="1000" w:type="dxa"/>
            <w:vAlign w:val="bottom"/>
            <w:shd w:val="clear" w:color="auto" w:fill="DBDBDB"/>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18,594</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18,594</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18,594</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206"/>
        </w:trPr>
        <w:tc>
          <w:tcPr>
            <w:tcW w:w="1520" w:type="dxa"/>
            <w:vAlign w:val="bottom"/>
            <w:shd w:val="clear" w:color="auto" w:fill="DBDBDB"/>
          </w:tcPr>
          <w:p>
            <w:pPr>
              <w:spacing w:after="0"/>
              <w:rPr>
                <w:sz w:val="17"/>
                <w:szCs w:val="17"/>
                <w:color w:val="auto"/>
              </w:rPr>
            </w:pP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Equity</w:t>
            </w:r>
            <w:r>
              <w:rPr>
                <w:rFonts w:ascii="Arial" w:cs="Arial" w:eastAsia="Arial" w:hAnsi="Arial"/>
                <w:sz w:val="15"/>
                <w:szCs w:val="15"/>
                <w:color w:val="auto"/>
                <w:vertAlign w:val="superscript"/>
              </w:rPr>
              <w:t>(3(4))</w:t>
            </w:r>
          </w:p>
        </w:tc>
        <w:tc>
          <w:tcPr>
            <w:tcW w:w="1000" w:type="dxa"/>
            <w:vAlign w:val="bottom"/>
            <w:shd w:val="clear" w:color="auto" w:fill="DBDBDB"/>
          </w:tcPr>
          <w:p>
            <w:pPr>
              <w:spacing w:after="0"/>
              <w:rPr>
                <w:sz w:val="17"/>
                <w:szCs w:val="17"/>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325,560</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325,560</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1,079,958</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1,079,958</w:t>
            </w:r>
          </w:p>
        </w:tc>
      </w:tr>
      <w:tr>
        <w:trPr>
          <w:trHeight w:val="207"/>
        </w:trPr>
        <w:tc>
          <w:tcPr>
            <w:tcW w:w="1520" w:type="dxa"/>
            <w:vAlign w:val="bottom"/>
          </w:tcPr>
          <w:p>
            <w:pPr>
              <w:ind w:left="20"/>
              <w:spacing w:after="0"/>
              <w:rPr>
                <w:sz w:val="20"/>
                <w:szCs w:val="20"/>
                <w:color w:val="auto"/>
              </w:rPr>
            </w:pPr>
            <w:r>
              <w:rPr>
                <w:rFonts w:ascii="Arial" w:cs="Arial" w:eastAsia="Arial" w:hAnsi="Arial"/>
                <w:sz w:val="12"/>
                <w:szCs w:val="12"/>
                <w:color w:val="auto"/>
              </w:rPr>
              <w:t>Steve Klohn</w:t>
            </w:r>
            <w:r>
              <w:rPr>
                <w:rFonts w:ascii="Arial" w:cs="Arial" w:eastAsia="Arial" w:hAnsi="Arial"/>
                <w:sz w:val="15"/>
                <w:szCs w:val="15"/>
                <w:color w:val="auto"/>
                <w:vertAlign w:val="superscript"/>
              </w:rPr>
              <w:t>(5)</w:t>
            </w:r>
          </w:p>
        </w:tc>
        <w:tc>
          <w:tcPr>
            <w:tcW w:w="1420" w:type="dxa"/>
            <w:vAlign w:val="bottom"/>
          </w:tcPr>
          <w:p>
            <w:pPr>
              <w:ind w:left="20"/>
              <w:spacing w:after="0"/>
              <w:rPr>
                <w:sz w:val="20"/>
                <w:szCs w:val="20"/>
                <w:color w:val="auto"/>
              </w:rPr>
            </w:pPr>
            <w:r>
              <w:rPr>
                <w:rFonts w:ascii="Arial" w:cs="Arial" w:eastAsia="Arial" w:hAnsi="Arial"/>
                <w:sz w:val="12"/>
                <w:szCs w:val="12"/>
                <w:color w:val="auto"/>
              </w:rPr>
              <w:t>Salary</w:t>
            </w:r>
          </w:p>
        </w:tc>
        <w:tc>
          <w:tcPr>
            <w:tcW w:w="10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400,000</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122"/>
              <w:spacing w:after="0"/>
              <w:rPr>
                <w:sz w:val="20"/>
                <w:szCs w:val="20"/>
                <w:color w:val="auto"/>
              </w:rPr>
            </w:pPr>
            <w:r>
              <w:rPr>
                <w:rFonts w:ascii="Arial" w:cs="Arial" w:eastAsia="Arial" w:hAnsi="Arial"/>
                <w:sz w:val="12"/>
                <w:szCs w:val="12"/>
                <w:color w:val="auto"/>
                <w:w w:val="95"/>
              </w:rPr>
              <w:t>(6)</w:t>
            </w: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400,000</w:t>
            </w:r>
          </w:p>
        </w:tc>
        <w:tc>
          <w:tcPr>
            <w:tcW w:w="1000" w:type="dxa"/>
            <w:vAlign w:val="bottom"/>
          </w:tcPr>
          <w:p>
            <w:pPr>
              <w:jc w:val="right"/>
              <w:ind w:right="122"/>
              <w:spacing w:after="0"/>
              <w:rPr>
                <w:sz w:val="20"/>
                <w:szCs w:val="20"/>
                <w:color w:val="auto"/>
              </w:rPr>
            </w:pPr>
            <w:r>
              <w:rPr>
                <w:rFonts w:ascii="Arial" w:cs="Arial" w:eastAsia="Arial" w:hAnsi="Arial"/>
                <w:sz w:val="12"/>
                <w:szCs w:val="12"/>
                <w:color w:val="auto"/>
              </w:rPr>
              <w:t>400,000</w:t>
            </w: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51"/>
        </w:trPr>
        <w:tc>
          <w:tcPr>
            <w:tcW w:w="1520" w:type="dxa"/>
            <w:vAlign w:val="bottom"/>
          </w:tcPr>
          <w:p>
            <w:pPr>
              <w:spacing w:after="0"/>
              <w:rPr>
                <w:sz w:val="13"/>
                <w:szCs w:val="13"/>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Bonus</w:t>
            </w:r>
          </w:p>
        </w:tc>
        <w:tc>
          <w:tcPr>
            <w:tcW w:w="10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22"/>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88"/>
        </w:trPr>
        <w:tc>
          <w:tcPr>
            <w:tcW w:w="152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H &amp; W Benefits</w:t>
            </w:r>
          </w:p>
        </w:tc>
        <w:tc>
          <w:tcPr>
            <w:tcW w:w="100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28,560</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6"/>
                <w:szCs w:val="16"/>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28,560</w:t>
            </w:r>
          </w:p>
        </w:tc>
        <w:tc>
          <w:tcPr>
            <w:tcW w:w="1000" w:type="dxa"/>
            <w:vAlign w:val="bottom"/>
          </w:tcPr>
          <w:p>
            <w:pPr>
              <w:jc w:val="right"/>
              <w:ind w:right="122"/>
              <w:spacing w:after="0"/>
              <w:rPr>
                <w:sz w:val="20"/>
                <w:szCs w:val="20"/>
                <w:color w:val="auto"/>
              </w:rPr>
            </w:pPr>
            <w:r>
              <w:rPr>
                <w:rFonts w:ascii="Arial" w:cs="Arial" w:eastAsia="Arial" w:hAnsi="Arial"/>
                <w:sz w:val="12"/>
                <w:szCs w:val="12"/>
                <w:color w:val="auto"/>
              </w:rPr>
              <w:t>28,560</w:t>
            </w: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206"/>
        </w:trPr>
        <w:tc>
          <w:tcPr>
            <w:tcW w:w="1520" w:type="dxa"/>
            <w:vAlign w:val="bottom"/>
          </w:tcPr>
          <w:p>
            <w:pPr>
              <w:spacing w:after="0"/>
              <w:rPr>
                <w:sz w:val="17"/>
                <w:szCs w:val="17"/>
                <w:color w:val="auto"/>
              </w:rPr>
            </w:pPr>
          </w:p>
        </w:tc>
        <w:tc>
          <w:tcPr>
            <w:tcW w:w="1420" w:type="dxa"/>
            <w:vAlign w:val="bottom"/>
          </w:tcPr>
          <w:p>
            <w:pPr>
              <w:ind w:left="20"/>
              <w:spacing w:after="0"/>
              <w:rPr>
                <w:sz w:val="20"/>
                <w:szCs w:val="20"/>
                <w:color w:val="auto"/>
              </w:rPr>
            </w:pPr>
            <w:r>
              <w:rPr>
                <w:rFonts w:ascii="Arial" w:cs="Arial" w:eastAsia="Arial" w:hAnsi="Arial"/>
                <w:sz w:val="12"/>
                <w:szCs w:val="12"/>
                <w:color w:val="auto"/>
              </w:rPr>
              <w:t>Equity</w:t>
            </w:r>
            <w:r>
              <w:rPr>
                <w:rFonts w:ascii="Arial" w:cs="Arial" w:eastAsia="Arial" w:hAnsi="Arial"/>
                <w:sz w:val="15"/>
                <w:szCs w:val="15"/>
                <w:color w:val="auto"/>
                <w:vertAlign w:val="superscript"/>
              </w:rPr>
              <w:t>(3(4))</w:t>
            </w:r>
          </w:p>
        </w:tc>
        <w:tc>
          <w:tcPr>
            <w:tcW w:w="100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ind w:left="72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82"/>
              <w:spacing w:after="0"/>
              <w:rPr>
                <w:sz w:val="20"/>
                <w:szCs w:val="20"/>
                <w:color w:val="auto"/>
              </w:rPr>
            </w:pPr>
            <w:r>
              <w:rPr>
                <w:rFonts w:ascii="Arial" w:cs="Arial" w:eastAsia="Arial" w:hAnsi="Arial"/>
                <w:sz w:val="12"/>
                <w:szCs w:val="12"/>
                <w:color w:val="auto"/>
              </w:rPr>
              <w:t>300,630</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7"/>
                <w:szCs w:val="17"/>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300,630</w:t>
            </w:r>
          </w:p>
        </w:tc>
        <w:tc>
          <w:tcPr>
            <w:tcW w:w="1000" w:type="dxa"/>
            <w:vAlign w:val="bottom"/>
          </w:tcPr>
          <w:p>
            <w:pPr>
              <w:jc w:val="right"/>
              <w:ind w:right="122"/>
              <w:spacing w:after="0"/>
              <w:rPr>
                <w:sz w:val="20"/>
                <w:szCs w:val="20"/>
                <w:color w:val="auto"/>
              </w:rPr>
            </w:pPr>
            <w:r>
              <w:rPr>
                <w:rFonts w:ascii="Arial" w:cs="Arial" w:eastAsia="Arial" w:hAnsi="Arial"/>
                <w:sz w:val="12"/>
                <w:szCs w:val="12"/>
                <w:color w:val="auto"/>
              </w:rPr>
              <w:t>1,583,370</w:t>
            </w: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1,583,370</w:t>
            </w:r>
          </w:p>
        </w:tc>
      </w:tr>
      <w:tr>
        <w:trPr>
          <w:trHeight w:val="188"/>
        </w:trPr>
        <w:tc>
          <w:tcPr>
            <w:tcW w:w="1520" w:type="dxa"/>
            <w:vAlign w:val="bottom"/>
            <w:shd w:val="clear" w:color="auto" w:fill="DBDBDB"/>
          </w:tcPr>
          <w:p>
            <w:pPr>
              <w:ind w:left="20"/>
              <w:spacing w:after="0"/>
              <w:rPr>
                <w:sz w:val="20"/>
                <w:szCs w:val="20"/>
                <w:color w:val="auto"/>
              </w:rPr>
            </w:pPr>
            <w:r>
              <w:rPr>
                <w:rFonts w:ascii="Arial" w:cs="Arial" w:eastAsia="Arial" w:hAnsi="Arial"/>
                <w:sz w:val="12"/>
                <w:szCs w:val="12"/>
                <w:color w:val="auto"/>
              </w:rPr>
              <w:t>Tony Wehner</w:t>
            </w:r>
            <w:r>
              <w:rPr>
                <w:rFonts w:ascii="Arial" w:cs="Arial" w:eastAsia="Arial" w:hAnsi="Arial"/>
                <w:sz w:val="15"/>
                <w:szCs w:val="15"/>
                <w:color w:val="auto"/>
                <w:vertAlign w:val="superscript"/>
              </w:rPr>
              <w:t>(5)</w:t>
            </w: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Salary</w:t>
            </w:r>
          </w:p>
        </w:tc>
        <w:tc>
          <w:tcPr>
            <w:tcW w:w="1000" w:type="dxa"/>
            <w:vAlign w:val="bottom"/>
            <w:shd w:val="clear" w:color="auto" w:fill="DBDBDB"/>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675,000</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w w:val="95"/>
              </w:rPr>
              <w:t>(6)</w:t>
            </w: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400,000</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400,000</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170"/>
        </w:trPr>
        <w:tc>
          <w:tcPr>
            <w:tcW w:w="1520" w:type="dxa"/>
            <w:vAlign w:val="bottom"/>
            <w:shd w:val="clear" w:color="auto" w:fill="DBDBDB"/>
          </w:tcPr>
          <w:p>
            <w:pPr>
              <w:spacing w:after="0"/>
              <w:rPr>
                <w:sz w:val="14"/>
                <w:szCs w:val="14"/>
                <w:color w:val="auto"/>
              </w:rPr>
            </w:pP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Bonus</w:t>
            </w:r>
          </w:p>
        </w:tc>
        <w:tc>
          <w:tcPr>
            <w:tcW w:w="1000" w:type="dxa"/>
            <w:vAlign w:val="bottom"/>
            <w:shd w:val="clear" w:color="auto" w:fill="DBDBDB"/>
          </w:tcPr>
          <w:p>
            <w:pPr>
              <w:spacing w:after="0"/>
              <w:rPr>
                <w:sz w:val="14"/>
                <w:szCs w:val="14"/>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spacing w:after="0"/>
              <w:rPr>
                <w:sz w:val="14"/>
                <w:szCs w:val="14"/>
                <w:color w:val="auto"/>
              </w:rPr>
            </w:pP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188"/>
        </w:trPr>
        <w:tc>
          <w:tcPr>
            <w:tcW w:w="1520" w:type="dxa"/>
            <w:vAlign w:val="bottom"/>
            <w:shd w:val="clear" w:color="auto" w:fill="DBDBDB"/>
          </w:tcPr>
          <w:p>
            <w:pPr>
              <w:spacing w:after="0"/>
              <w:rPr>
                <w:sz w:val="16"/>
                <w:szCs w:val="16"/>
                <w:color w:val="auto"/>
              </w:rPr>
            </w:pPr>
          </w:p>
        </w:tc>
        <w:tc>
          <w:tcPr>
            <w:tcW w:w="1420" w:type="dxa"/>
            <w:vAlign w:val="bottom"/>
            <w:shd w:val="clear" w:color="auto" w:fill="DBDBDB"/>
          </w:tcPr>
          <w:p>
            <w:pPr>
              <w:ind w:left="20"/>
              <w:spacing w:after="0"/>
              <w:rPr>
                <w:sz w:val="20"/>
                <w:szCs w:val="20"/>
                <w:color w:val="auto"/>
              </w:rPr>
            </w:pPr>
            <w:r>
              <w:rPr>
                <w:rFonts w:ascii="Arial" w:cs="Arial" w:eastAsia="Arial" w:hAnsi="Arial"/>
                <w:sz w:val="12"/>
                <w:szCs w:val="12"/>
                <w:color w:val="auto"/>
              </w:rPr>
              <w:t>H &amp; W Benefits</w:t>
            </w:r>
          </w:p>
        </w:tc>
        <w:tc>
          <w:tcPr>
            <w:tcW w:w="1000" w:type="dxa"/>
            <w:vAlign w:val="bottom"/>
            <w:shd w:val="clear" w:color="auto" w:fill="DBDBDB"/>
          </w:tcPr>
          <w:p>
            <w:pPr>
              <w:spacing w:after="0"/>
              <w:rPr>
                <w:sz w:val="16"/>
                <w:szCs w:val="16"/>
                <w:color w:val="auto"/>
              </w:rPr>
            </w:pPr>
          </w:p>
        </w:tc>
        <w:tc>
          <w:tcPr>
            <w:tcW w:w="260" w:type="dxa"/>
            <w:vAlign w:val="bottom"/>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shd w:val="clear" w:color="auto" w:fill="DBDBDB"/>
          </w:tcPr>
          <w:p>
            <w:pPr>
              <w:jc w:val="right"/>
              <w:ind w:right="82"/>
              <w:spacing w:after="0"/>
              <w:rPr>
                <w:sz w:val="20"/>
                <w:szCs w:val="20"/>
                <w:color w:val="auto"/>
              </w:rPr>
            </w:pPr>
            <w:r>
              <w:rPr>
                <w:rFonts w:ascii="Arial" w:cs="Arial" w:eastAsia="Arial" w:hAnsi="Arial"/>
                <w:sz w:val="12"/>
                <w:szCs w:val="12"/>
                <w:color w:val="auto"/>
              </w:rPr>
              <w:t>27,319</w:t>
            </w:r>
          </w:p>
        </w:tc>
        <w:tc>
          <w:tcPr>
            <w:tcW w:w="1120" w:type="dxa"/>
            <w:vAlign w:val="bottom"/>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27,319</w:t>
            </w:r>
          </w:p>
        </w:tc>
        <w:tc>
          <w:tcPr>
            <w:tcW w:w="1000" w:type="dxa"/>
            <w:vAlign w:val="bottom"/>
            <w:shd w:val="clear" w:color="auto" w:fill="DBDBDB"/>
          </w:tcPr>
          <w:p>
            <w:pPr>
              <w:jc w:val="right"/>
              <w:ind w:right="122"/>
              <w:spacing w:after="0"/>
              <w:rPr>
                <w:sz w:val="20"/>
                <w:szCs w:val="20"/>
                <w:color w:val="auto"/>
              </w:rPr>
            </w:pPr>
            <w:r>
              <w:rPr>
                <w:rFonts w:ascii="Arial" w:cs="Arial" w:eastAsia="Arial" w:hAnsi="Arial"/>
                <w:sz w:val="12"/>
                <w:szCs w:val="12"/>
                <w:color w:val="auto"/>
              </w:rPr>
              <w:t>27,319</w:t>
            </w:r>
          </w:p>
        </w:tc>
        <w:tc>
          <w:tcPr>
            <w:tcW w:w="96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w:t>
            </w:r>
          </w:p>
        </w:tc>
      </w:tr>
      <w:tr>
        <w:trPr>
          <w:trHeight w:val="206"/>
        </w:trPr>
        <w:tc>
          <w:tcPr>
            <w:tcW w:w="1520" w:type="dxa"/>
            <w:vAlign w:val="bottom"/>
            <w:tcBorders>
              <w:bottom w:val="single" w:sz="8" w:color="003B71"/>
            </w:tcBorders>
            <w:shd w:val="clear" w:color="auto" w:fill="DBDBDB"/>
          </w:tcPr>
          <w:p>
            <w:pPr>
              <w:spacing w:after="0"/>
              <w:rPr>
                <w:sz w:val="17"/>
                <w:szCs w:val="17"/>
                <w:color w:val="auto"/>
              </w:rPr>
            </w:pPr>
          </w:p>
        </w:tc>
        <w:tc>
          <w:tcPr>
            <w:tcW w:w="1420" w:type="dxa"/>
            <w:vAlign w:val="bottom"/>
            <w:tcBorders>
              <w:bottom w:val="single" w:sz="8" w:color="003B71"/>
            </w:tcBorders>
            <w:shd w:val="clear" w:color="auto" w:fill="DBDBDB"/>
          </w:tcPr>
          <w:p>
            <w:pPr>
              <w:ind w:left="20"/>
              <w:spacing w:after="0"/>
              <w:rPr>
                <w:sz w:val="20"/>
                <w:szCs w:val="20"/>
                <w:color w:val="auto"/>
              </w:rPr>
            </w:pPr>
            <w:r>
              <w:rPr>
                <w:rFonts w:ascii="Arial" w:cs="Arial" w:eastAsia="Arial" w:hAnsi="Arial"/>
                <w:sz w:val="12"/>
                <w:szCs w:val="12"/>
                <w:color w:val="auto"/>
              </w:rPr>
              <w:t>Equity</w:t>
            </w:r>
            <w:r>
              <w:rPr>
                <w:rFonts w:ascii="Arial" w:cs="Arial" w:eastAsia="Arial" w:hAnsi="Arial"/>
                <w:sz w:val="15"/>
                <w:szCs w:val="15"/>
                <w:color w:val="auto"/>
                <w:vertAlign w:val="superscript"/>
              </w:rPr>
              <w:t>(3)(4)</w:t>
            </w:r>
          </w:p>
        </w:tc>
        <w:tc>
          <w:tcPr>
            <w:tcW w:w="1000" w:type="dxa"/>
            <w:vAlign w:val="bottom"/>
            <w:tcBorders>
              <w:bottom w:val="single" w:sz="8" w:color="003B71"/>
            </w:tcBorders>
            <w:shd w:val="clear" w:color="auto" w:fill="DBDBDB"/>
          </w:tcPr>
          <w:p>
            <w:pPr>
              <w:spacing w:after="0"/>
              <w:rPr>
                <w:sz w:val="17"/>
                <w:szCs w:val="17"/>
                <w:color w:val="auto"/>
              </w:rPr>
            </w:pPr>
          </w:p>
        </w:tc>
        <w:tc>
          <w:tcPr>
            <w:tcW w:w="260" w:type="dxa"/>
            <w:vAlign w:val="bottom"/>
            <w:tcBorders>
              <w:bottom w:val="single" w:sz="8" w:color="003B71"/>
            </w:tcBorders>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003B71"/>
            </w:tcBorders>
            <w:shd w:val="clear" w:color="auto" w:fill="DBDBDB"/>
          </w:tcPr>
          <w:p>
            <w:pPr>
              <w:ind w:left="72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003B71"/>
            </w:tcBorders>
            <w:shd w:val="clear" w:color="auto" w:fill="DBDBDB"/>
          </w:tcPr>
          <w:p>
            <w:pPr>
              <w:jc w:val="right"/>
              <w:ind w:right="82"/>
              <w:spacing w:after="0"/>
              <w:rPr>
                <w:sz w:val="20"/>
                <w:szCs w:val="20"/>
                <w:color w:val="auto"/>
              </w:rPr>
            </w:pPr>
            <w:r>
              <w:rPr>
                <w:rFonts w:ascii="Arial" w:cs="Arial" w:eastAsia="Arial" w:hAnsi="Arial"/>
                <w:sz w:val="12"/>
                <w:szCs w:val="12"/>
                <w:color w:val="auto"/>
              </w:rPr>
              <w:t>389,391</w:t>
            </w:r>
          </w:p>
        </w:tc>
        <w:tc>
          <w:tcPr>
            <w:tcW w:w="1120" w:type="dxa"/>
            <w:vAlign w:val="bottom"/>
            <w:tcBorders>
              <w:bottom w:val="single" w:sz="8" w:color="auto"/>
            </w:tcBorders>
            <w:shd w:val="clear" w:color="auto" w:fill="DBDBDB"/>
          </w:tcPr>
          <w:p>
            <w:pPr>
              <w:ind w:left="94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003B71"/>
            </w:tcBorders>
            <w:shd w:val="clear" w:color="auto" w:fill="DBDBDB"/>
          </w:tcPr>
          <w:p>
            <w:pPr>
              <w:spacing w:after="0"/>
              <w:rPr>
                <w:sz w:val="17"/>
                <w:szCs w:val="17"/>
                <w:color w:val="auto"/>
              </w:rPr>
            </w:pPr>
          </w:p>
        </w:tc>
        <w:tc>
          <w:tcPr>
            <w:tcW w:w="1220" w:type="dxa"/>
            <w:vAlign w:val="bottom"/>
            <w:tcBorders>
              <w:bottom w:val="single" w:sz="8" w:color="003B71"/>
            </w:tcBorders>
            <w:shd w:val="clear" w:color="auto" w:fill="DBDBDB"/>
          </w:tcPr>
          <w:p>
            <w:pPr>
              <w:jc w:val="right"/>
              <w:ind w:right="102"/>
              <w:spacing w:after="0"/>
              <w:rPr>
                <w:sz w:val="20"/>
                <w:szCs w:val="20"/>
                <w:color w:val="auto"/>
              </w:rPr>
            </w:pPr>
            <w:r>
              <w:rPr>
                <w:rFonts w:ascii="Arial" w:cs="Arial" w:eastAsia="Arial" w:hAnsi="Arial"/>
                <w:sz w:val="12"/>
                <w:szCs w:val="12"/>
                <w:color w:val="auto"/>
              </w:rPr>
              <w:t>389,391</w:t>
            </w:r>
          </w:p>
        </w:tc>
        <w:tc>
          <w:tcPr>
            <w:tcW w:w="1000" w:type="dxa"/>
            <w:vAlign w:val="bottom"/>
            <w:tcBorders>
              <w:bottom w:val="single" w:sz="8" w:color="003B71"/>
            </w:tcBorders>
            <w:shd w:val="clear" w:color="auto" w:fill="DBDBDB"/>
          </w:tcPr>
          <w:p>
            <w:pPr>
              <w:jc w:val="right"/>
              <w:ind w:right="122"/>
              <w:spacing w:after="0"/>
              <w:rPr>
                <w:sz w:val="20"/>
                <w:szCs w:val="20"/>
                <w:color w:val="auto"/>
              </w:rPr>
            </w:pPr>
            <w:r>
              <w:rPr>
                <w:rFonts w:ascii="Arial" w:cs="Arial" w:eastAsia="Arial" w:hAnsi="Arial"/>
                <w:sz w:val="12"/>
                <w:szCs w:val="12"/>
                <w:color w:val="auto"/>
              </w:rPr>
              <w:t>1,418,176</w:t>
            </w:r>
          </w:p>
        </w:tc>
        <w:tc>
          <w:tcPr>
            <w:tcW w:w="960" w:type="dxa"/>
            <w:vAlign w:val="bottom"/>
            <w:tcBorders>
              <w:bottom w:val="single" w:sz="8" w:color="003B71"/>
            </w:tcBorders>
            <w:shd w:val="clear" w:color="auto" w:fill="DBDBDB"/>
          </w:tcPr>
          <w:p>
            <w:pPr>
              <w:jc w:val="right"/>
              <w:ind w:right="3"/>
              <w:spacing w:after="0"/>
              <w:rPr>
                <w:sz w:val="20"/>
                <w:szCs w:val="20"/>
                <w:color w:val="auto"/>
              </w:rPr>
            </w:pPr>
            <w:r>
              <w:rPr>
                <w:rFonts w:ascii="Arial" w:cs="Arial" w:eastAsia="Arial" w:hAnsi="Arial"/>
                <w:sz w:val="12"/>
                <w:szCs w:val="12"/>
                <w:color w:val="auto"/>
              </w:rPr>
              <w:t>1,418,176</w:t>
            </w:r>
          </w:p>
        </w:tc>
      </w:tr>
    </w:tbl>
    <w:p>
      <w:pPr>
        <w:spacing w:after="0" w:line="95" w:lineRule="exact"/>
        <w:rPr>
          <w:sz w:val="20"/>
          <w:szCs w:val="20"/>
          <w:color w:val="auto"/>
        </w:rPr>
      </w:pPr>
    </w:p>
    <w:p>
      <w:pPr>
        <w:ind w:left="400" w:hanging="393"/>
        <w:spacing w:after="0"/>
        <w:tabs>
          <w:tab w:leader="none" w:pos="40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None of the NEOs were eligible for retirement as of February 3, 2026.</w:t>
      </w:r>
    </w:p>
    <w:p>
      <w:pPr>
        <w:ind w:left="420" w:hanging="413"/>
        <w:spacing w:after="0" w:line="260" w:lineRule="auto"/>
        <w:tabs>
          <w:tab w:leader="none" w:pos="413" w:val="left"/>
        </w:tabs>
        <w:numPr>
          <w:ilvl w:val="0"/>
          <w:numId w:val="97"/>
        </w:numPr>
        <w:rPr>
          <w:rFonts w:ascii="Arial" w:cs="Arial" w:eastAsia="Arial" w:hAnsi="Arial"/>
          <w:sz w:val="9"/>
          <w:szCs w:val="9"/>
          <w:color w:val="auto"/>
        </w:rPr>
      </w:pPr>
      <w:r>
        <w:rPr>
          <w:rFonts w:ascii="Arial" w:cs="Arial" w:eastAsia="Arial" w:hAnsi="Arial"/>
          <w:sz w:val="14"/>
          <w:szCs w:val="14"/>
          <w:color w:val="auto"/>
        </w:rPr>
        <w:t>The employment agreements are silent with respect to a change of control event, and as such, any termination following a change of control will be evaluated under the other termination scenarios (</w:t>
      </w:r>
      <w:r>
        <w:rPr>
          <w:rFonts w:ascii="Arial" w:cs="Arial" w:eastAsia="Arial" w:hAnsi="Arial"/>
          <w:sz w:val="14"/>
          <w:szCs w:val="14"/>
          <w:i w:val="1"/>
          <w:iCs w:val="1"/>
          <w:color w:val="auto"/>
        </w:rPr>
        <w:t>e.g.,</w:t>
      </w:r>
      <w:r>
        <w:rPr>
          <w:rFonts w:ascii="Arial" w:cs="Arial" w:eastAsia="Arial" w:hAnsi="Arial"/>
          <w:sz w:val="14"/>
          <w:szCs w:val="14"/>
          <w:color w:val="auto"/>
        </w:rPr>
        <w:t xml:space="preserve"> involuntary without cause, good reason).</w:t>
      </w:r>
    </w:p>
    <w:p>
      <w:pPr>
        <w:jc w:val="both"/>
        <w:ind w:left="420" w:hanging="413"/>
        <w:spacing w:after="0" w:line="234" w:lineRule="auto"/>
        <w:tabs>
          <w:tab w:leader="none" w:pos="413"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 xml:space="preserve">Equity is comprised of outstanding stock awards and stock options. See the </w:t>
      </w:r>
      <w:r>
        <w:rPr>
          <w:rFonts w:ascii="Arial" w:cs="Arial" w:eastAsia="Arial" w:hAnsi="Arial"/>
          <w:sz w:val="14"/>
          <w:szCs w:val="14"/>
          <w:i w:val="1"/>
          <w:iCs w:val="1"/>
          <w:color w:val="0000FF"/>
        </w:rPr>
        <w:t>Outstanding Equity Awards at Fiscal Year-End 202</w:t>
      </w:r>
      <w:r>
        <w:rPr>
          <w:rFonts w:ascii="Arial" w:cs="Arial" w:eastAsia="Arial" w:hAnsi="Arial"/>
          <w:sz w:val="14"/>
          <w:szCs w:val="14"/>
          <w:i w:val="1"/>
          <w:iCs w:val="1"/>
          <w:color w:val="auto"/>
        </w:rPr>
        <w:t>5</w:t>
      </w:r>
      <w:r>
        <w:rPr>
          <w:rFonts w:ascii="Arial" w:cs="Arial" w:eastAsia="Arial" w:hAnsi="Arial"/>
          <w:sz w:val="14"/>
          <w:szCs w:val="14"/>
          <w:color w:val="auto"/>
        </w:rPr>
        <w:t xml:space="preserve"> table above for details on each NEO’s outstanding stock awards and stock options. Equity values represent the gross proceeds as if the equity was sold on Tuesday, February 3, 2026, the last business day of the 2025 fiscal year at the closing price of $19.43 without any deduction for taxes withheld; where equity is based on future actual performance, target performance is assumed; and where vesting is continued, the value of future installments is assumed at the $19.43 closing price without any deduction for taxes withheld.</w:t>
      </w:r>
    </w:p>
    <w:p>
      <w:pPr>
        <w:spacing w:after="0" w:line="1" w:lineRule="exact"/>
        <w:rPr>
          <w:rFonts w:ascii="Arial" w:cs="Arial" w:eastAsia="Arial" w:hAnsi="Arial"/>
          <w:sz w:val="19"/>
          <w:szCs w:val="19"/>
          <w:color w:val="auto"/>
          <w:vertAlign w:val="superscript"/>
        </w:rPr>
      </w:pPr>
    </w:p>
    <w:p>
      <w:pPr>
        <w:ind w:left="420" w:hanging="413"/>
        <w:spacing w:after="0" w:line="260" w:lineRule="auto"/>
        <w:tabs>
          <w:tab w:leader="none" w:pos="413" w:val="left"/>
        </w:tabs>
        <w:numPr>
          <w:ilvl w:val="0"/>
          <w:numId w:val="97"/>
        </w:numPr>
        <w:rPr>
          <w:rFonts w:ascii="Arial" w:cs="Arial" w:eastAsia="Arial" w:hAnsi="Arial"/>
          <w:sz w:val="9"/>
          <w:szCs w:val="9"/>
          <w:color w:val="auto"/>
        </w:rPr>
      </w:pPr>
      <w:r>
        <w:rPr>
          <w:rFonts w:ascii="Arial" w:cs="Arial" w:eastAsia="Arial" w:hAnsi="Arial"/>
          <w:sz w:val="14"/>
          <w:szCs w:val="14"/>
          <w:color w:val="auto"/>
        </w:rPr>
        <w:t>No amounts are calculated for voluntary resignation as all outstanding options had an exercise price above the closing price of the Company's common stock of $19.43 on Tuesday, February 3, 2026, the last trading day of the Company's 2025 fiscal year.</w:t>
      </w:r>
    </w:p>
    <w:p>
      <w:pPr>
        <w:ind w:left="400" w:hanging="393"/>
        <w:spacing w:after="0" w:line="191" w:lineRule="auto"/>
        <w:tabs>
          <w:tab w:leader="none" w:pos="400"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 xml:space="preserve">Mr. Sheehan’s, Mr. Bautista’s, Mr. Klohn’s and Mr. Wehner’s deferred compensation is outlined under </w:t>
      </w:r>
      <w:r>
        <w:rPr>
          <w:rFonts w:ascii="Arial" w:cs="Arial" w:eastAsia="Arial" w:hAnsi="Arial"/>
          <w:sz w:val="14"/>
          <w:szCs w:val="14"/>
          <w:i w:val="1"/>
          <w:iCs w:val="1"/>
          <w:u w:val="single" w:color="auto"/>
          <w:color w:val="0000FF"/>
        </w:rPr>
        <w:t>Fiscal 2025 Nonqualified Deferred Compensation</w:t>
      </w:r>
      <w:r>
        <w:rPr>
          <w:rFonts w:ascii="Arial" w:cs="Arial" w:eastAsia="Arial" w:hAnsi="Arial"/>
          <w:sz w:val="14"/>
          <w:szCs w:val="14"/>
          <w:color w:val="auto"/>
        </w:rPr>
        <w:t>.</w:t>
      </w:r>
    </w:p>
    <w:p>
      <w:pPr>
        <w:ind w:left="420" w:hanging="413"/>
        <w:spacing w:after="0" w:line="213" w:lineRule="auto"/>
        <w:tabs>
          <w:tab w:leader="none" w:pos="413"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If termination with cause is for any reason other than theft, conviction or plea of felony, or any other reckless or willful misconduct materially and adversely affecting the Company’s reputation, the employee will receive payment of any earned, but unpaid annual bonuses from the previous fiscal year.</w:t>
      </w:r>
    </w:p>
    <w:p>
      <w:pPr>
        <w:spacing w:after="0" w:line="20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Mr. Sheehan resigned from his role as Interim Chief Executive Officer effective July 15, 2025 in connection with the appointment of Mr. Lal as Chief Executive Officer. For information regarding certain equity awards granted to Mr. Sheehan that vested in connection with the appointment of Mr. Lal, see </w:t>
      </w:r>
      <w:r>
        <w:rPr>
          <w:rFonts w:ascii="Arial" w:cs="Arial" w:eastAsia="Arial" w:hAnsi="Arial"/>
          <w:sz w:val="18"/>
          <w:szCs w:val="18"/>
          <w:i w:val="1"/>
          <w:iCs w:val="1"/>
          <w:color w:val="auto"/>
        </w:rPr>
        <w:t>Employment Agreements and Other Arrangements</w:t>
      </w:r>
      <w:r>
        <w:rPr>
          <w:rFonts w:ascii="Arial" w:cs="Arial" w:eastAsia="Arial" w:hAnsi="Arial"/>
          <w:sz w:val="18"/>
          <w:szCs w:val="18"/>
          <w:color w:val="auto"/>
        </w:rPr>
        <w:t>. Mr. Sheehan was not entitled to any severance payments or other additional benefits in connection with his resignation as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268605</wp:posOffset>
            </wp:positionV>
            <wp:extent cx="71329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54</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60" w:name="page61"/>
    <w:bookmarkEnd w:id="60"/>
    <w:p>
      <w:pPr>
        <w:ind w:left="20"/>
        <w:spacing w:after="0"/>
        <w:rPr>
          <w:sz w:val="20"/>
          <w:szCs w:val="20"/>
          <w:color w:val="auto"/>
        </w:rPr>
      </w:pPr>
      <w:r>
        <w:rPr>
          <w:rFonts w:ascii="Arial" w:cs="Arial" w:eastAsia="Arial" w:hAnsi="Arial"/>
          <w:sz w:val="25"/>
          <w:szCs w:val="25"/>
          <w:b w:val="1"/>
          <w:bCs w:val="1"/>
          <w:color w:val="4C4C4C"/>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29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the shares of common stock authorized under approved compensation plans as of</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February 3, 2026:</w:t>
      </w:r>
    </w:p>
    <w:p>
      <w:pPr>
        <w:sectPr>
          <w:pgSz w:w="11900" w:h="16838" w:orient="portrait"/>
          <w:cols w:equalWidth="0" w:num="1">
            <w:col w:w="11240"/>
          </w:cols>
          <w:pgMar w:left="320" w:top="11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line="290" w:lineRule="auto"/>
        <w:rPr>
          <w:sz w:val="20"/>
          <w:szCs w:val="20"/>
          <w:color w:val="auto"/>
        </w:rPr>
      </w:pPr>
      <w:r>
        <w:rPr>
          <w:rFonts w:ascii="Arial" w:cs="Arial" w:eastAsia="Arial" w:hAnsi="Arial"/>
          <w:sz w:val="14"/>
          <w:szCs w:val="14"/>
          <w:b w:val="1"/>
          <w:bCs w:val="1"/>
          <w:color w:val="003B71"/>
        </w:rPr>
        <w:t>EQUITY COMPENSATION PLANS APPROVED BY SECURITY HOLDERS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jc w:val="center"/>
              <w:ind w:right="428"/>
              <w:spacing w:after="0"/>
              <w:rPr>
                <w:sz w:val="20"/>
                <w:szCs w:val="20"/>
                <w:color w:val="auto"/>
              </w:rPr>
            </w:pPr>
            <w:r>
              <w:rPr>
                <w:rFonts w:ascii="Arial" w:cs="Arial" w:eastAsia="Arial" w:hAnsi="Arial"/>
                <w:sz w:val="14"/>
                <w:szCs w:val="14"/>
                <w:b w:val="1"/>
                <w:bCs w:val="1"/>
                <w:color w:val="003B71"/>
              </w:rPr>
              <w:t>NUMBER OF</w:t>
            </w:r>
          </w:p>
        </w:tc>
        <w:tc>
          <w:tcPr>
            <w:tcW w:w="2260" w:type="dxa"/>
            <w:vAlign w:val="bottom"/>
          </w:tcPr>
          <w:p>
            <w:pPr>
              <w:spacing w:after="0"/>
              <w:rPr>
                <w:sz w:val="14"/>
                <w:szCs w:val="14"/>
                <w:color w:val="auto"/>
              </w:rPr>
            </w:pPr>
          </w:p>
        </w:tc>
        <w:tc>
          <w:tcPr>
            <w:tcW w:w="1820" w:type="dxa"/>
            <w:vAlign w:val="bottom"/>
          </w:tcPr>
          <w:p>
            <w:pPr>
              <w:jc w:val="center"/>
              <w:ind w:left="408"/>
              <w:spacing w:after="0"/>
              <w:rPr>
                <w:sz w:val="20"/>
                <w:szCs w:val="20"/>
                <w:color w:val="auto"/>
              </w:rPr>
            </w:pPr>
            <w:r>
              <w:rPr>
                <w:rFonts w:ascii="Arial" w:cs="Arial" w:eastAsia="Arial" w:hAnsi="Arial"/>
                <w:sz w:val="14"/>
                <w:szCs w:val="14"/>
                <w:b w:val="1"/>
                <w:bCs w:val="1"/>
                <w:color w:val="003B71"/>
              </w:rPr>
              <w:t>NUMBER OF</w:t>
            </w:r>
          </w:p>
        </w:tc>
      </w:tr>
      <w:tr>
        <w:trPr>
          <w:trHeight w:val="161"/>
        </w:trPr>
        <w:tc>
          <w:tcPr>
            <w:tcW w:w="1760" w:type="dxa"/>
            <w:vAlign w:val="bottom"/>
          </w:tcPr>
          <w:p>
            <w:pPr>
              <w:jc w:val="center"/>
              <w:ind w:right="428"/>
              <w:spacing w:after="0"/>
              <w:rPr>
                <w:sz w:val="20"/>
                <w:szCs w:val="20"/>
                <w:color w:val="auto"/>
              </w:rPr>
            </w:pPr>
            <w:r>
              <w:rPr>
                <w:rFonts w:ascii="Arial" w:cs="Arial" w:eastAsia="Arial" w:hAnsi="Arial"/>
                <w:sz w:val="14"/>
                <w:szCs w:val="14"/>
                <w:b w:val="1"/>
                <w:bCs w:val="1"/>
                <w:color w:val="003B71"/>
              </w:rPr>
              <w:t>SECURITIES TO</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003B71"/>
                <w:w w:val="99"/>
              </w:rPr>
              <w:t>WEIGHTED-</w:t>
            </w:r>
          </w:p>
        </w:tc>
        <w:tc>
          <w:tcPr>
            <w:tcW w:w="1820" w:type="dxa"/>
            <w:vAlign w:val="bottom"/>
          </w:tcPr>
          <w:p>
            <w:pPr>
              <w:jc w:val="center"/>
              <w:ind w:left="408"/>
              <w:spacing w:after="0"/>
              <w:rPr>
                <w:sz w:val="20"/>
                <w:szCs w:val="20"/>
                <w:color w:val="auto"/>
              </w:rPr>
            </w:pPr>
            <w:r>
              <w:rPr>
                <w:rFonts w:ascii="Arial" w:cs="Arial" w:eastAsia="Arial" w:hAnsi="Arial"/>
                <w:sz w:val="14"/>
                <w:szCs w:val="14"/>
                <w:b w:val="1"/>
                <w:bCs w:val="1"/>
                <w:color w:val="003B71"/>
              </w:rPr>
              <w:t>SECURITIES</w:t>
            </w:r>
          </w:p>
        </w:tc>
      </w:tr>
      <w:tr>
        <w:trPr>
          <w:trHeight w:val="175"/>
        </w:trPr>
        <w:tc>
          <w:tcPr>
            <w:tcW w:w="1760" w:type="dxa"/>
            <w:vAlign w:val="bottom"/>
          </w:tcPr>
          <w:p>
            <w:pPr>
              <w:jc w:val="center"/>
              <w:ind w:right="408"/>
              <w:spacing w:after="0"/>
              <w:rPr>
                <w:sz w:val="20"/>
                <w:szCs w:val="20"/>
                <w:color w:val="auto"/>
              </w:rPr>
            </w:pPr>
            <w:r>
              <w:rPr>
                <w:rFonts w:ascii="Arial" w:cs="Arial" w:eastAsia="Arial" w:hAnsi="Arial"/>
                <w:sz w:val="14"/>
                <w:szCs w:val="14"/>
                <w:b w:val="1"/>
                <w:bCs w:val="1"/>
                <w:color w:val="003B71"/>
              </w:rPr>
              <w:t>BE ISSUED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003B71"/>
                <w:w w:val="98"/>
              </w:rPr>
              <w:t>AVERAGE</w:t>
            </w:r>
          </w:p>
        </w:tc>
        <w:tc>
          <w:tcPr>
            <w:tcW w:w="1820" w:type="dxa"/>
            <w:vAlign w:val="bottom"/>
          </w:tcPr>
          <w:p>
            <w:pPr>
              <w:jc w:val="center"/>
              <w:ind w:left="408"/>
              <w:spacing w:after="0"/>
              <w:rPr>
                <w:sz w:val="20"/>
                <w:szCs w:val="20"/>
                <w:color w:val="auto"/>
              </w:rPr>
            </w:pPr>
            <w:r>
              <w:rPr>
                <w:rFonts w:ascii="Arial" w:cs="Arial" w:eastAsia="Arial" w:hAnsi="Arial"/>
                <w:sz w:val="14"/>
                <w:szCs w:val="14"/>
                <w:b w:val="1"/>
                <w:bCs w:val="1"/>
                <w:color w:val="003B71"/>
              </w:rPr>
              <w:t>REMAINING</w:t>
            </w:r>
          </w:p>
        </w:tc>
      </w:tr>
      <w:tr>
        <w:trPr>
          <w:trHeight w:val="175"/>
        </w:trPr>
        <w:tc>
          <w:tcPr>
            <w:tcW w:w="1760" w:type="dxa"/>
            <w:vAlign w:val="bottom"/>
          </w:tcPr>
          <w:p>
            <w:pPr>
              <w:jc w:val="center"/>
              <w:ind w:right="428"/>
              <w:spacing w:after="0"/>
              <w:rPr>
                <w:sz w:val="20"/>
                <w:szCs w:val="20"/>
                <w:color w:val="auto"/>
              </w:rPr>
            </w:pPr>
            <w:r>
              <w:rPr>
                <w:rFonts w:ascii="Arial" w:cs="Arial" w:eastAsia="Arial" w:hAnsi="Arial"/>
                <w:sz w:val="14"/>
                <w:szCs w:val="14"/>
                <w:b w:val="1"/>
                <w:bCs w:val="1"/>
                <w:color w:val="003B71"/>
              </w:rPr>
              <w:t>UPON EXERCISE</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003B71"/>
              </w:rPr>
              <w:t>EXERCISE PRICE</w:t>
            </w:r>
          </w:p>
        </w:tc>
        <w:tc>
          <w:tcPr>
            <w:tcW w:w="1820" w:type="dxa"/>
            <w:vAlign w:val="bottom"/>
          </w:tcPr>
          <w:p>
            <w:pPr>
              <w:jc w:val="center"/>
              <w:ind w:left="408"/>
              <w:spacing w:after="0"/>
              <w:rPr>
                <w:sz w:val="20"/>
                <w:szCs w:val="20"/>
                <w:color w:val="auto"/>
              </w:rPr>
            </w:pPr>
            <w:r>
              <w:rPr>
                <w:rFonts w:ascii="Arial" w:cs="Arial" w:eastAsia="Arial" w:hAnsi="Arial"/>
                <w:sz w:val="14"/>
                <w:szCs w:val="14"/>
                <w:b w:val="1"/>
                <w:bCs w:val="1"/>
                <w:color w:val="003B71"/>
              </w:rPr>
              <w:t>AVAILABLE FOR</w:t>
            </w:r>
          </w:p>
        </w:tc>
      </w:tr>
      <w:tr>
        <w:trPr>
          <w:trHeight w:val="175"/>
        </w:trPr>
        <w:tc>
          <w:tcPr>
            <w:tcW w:w="1760" w:type="dxa"/>
            <w:vAlign w:val="bottom"/>
          </w:tcPr>
          <w:p>
            <w:pPr>
              <w:jc w:val="center"/>
              <w:ind w:right="408"/>
              <w:spacing w:after="0"/>
              <w:rPr>
                <w:sz w:val="20"/>
                <w:szCs w:val="20"/>
                <w:color w:val="auto"/>
              </w:rPr>
            </w:pPr>
            <w:r>
              <w:rPr>
                <w:rFonts w:ascii="Arial" w:cs="Arial" w:eastAsia="Arial" w:hAnsi="Arial"/>
                <w:sz w:val="14"/>
                <w:szCs w:val="14"/>
                <w:b w:val="1"/>
                <w:bCs w:val="1"/>
                <w:color w:val="003B71"/>
              </w:rPr>
              <w:t>OF OUTSTANDING</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003B71"/>
              </w:rPr>
              <w:t>OF OUTSTANDING</w:t>
            </w:r>
          </w:p>
        </w:tc>
        <w:tc>
          <w:tcPr>
            <w:tcW w:w="1820" w:type="dxa"/>
            <w:vAlign w:val="bottom"/>
          </w:tcPr>
          <w:p>
            <w:pPr>
              <w:jc w:val="center"/>
              <w:ind w:left="388"/>
              <w:spacing w:after="0"/>
              <w:rPr>
                <w:sz w:val="20"/>
                <w:szCs w:val="20"/>
                <w:color w:val="auto"/>
              </w:rPr>
            </w:pPr>
            <w:r>
              <w:rPr>
                <w:rFonts w:ascii="Arial" w:cs="Arial" w:eastAsia="Arial" w:hAnsi="Arial"/>
                <w:sz w:val="14"/>
                <w:szCs w:val="14"/>
                <w:b w:val="1"/>
                <w:bCs w:val="1"/>
                <w:color w:val="003B71"/>
              </w:rPr>
              <w:t>FUTURE ISSUANCE</w:t>
            </w:r>
          </w:p>
        </w:tc>
      </w:tr>
      <w:tr>
        <w:trPr>
          <w:trHeight w:val="175"/>
        </w:trPr>
        <w:tc>
          <w:tcPr>
            <w:tcW w:w="1760" w:type="dxa"/>
            <w:vAlign w:val="bottom"/>
          </w:tcPr>
          <w:p>
            <w:pPr>
              <w:jc w:val="center"/>
              <w:ind w:right="408"/>
              <w:spacing w:after="0"/>
              <w:rPr>
                <w:sz w:val="20"/>
                <w:szCs w:val="20"/>
                <w:color w:val="auto"/>
              </w:rPr>
            </w:pPr>
            <w:r>
              <w:rPr>
                <w:rFonts w:ascii="Arial" w:cs="Arial" w:eastAsia="Arial" w:hAnsi="Arial"/>
                <w:sz w:val="14"/>
                <w:szCs w:val="14"/>
                <w:b w:val="1"/>
                <w:bCs w:val="1"/>
                <w:color w:val="003B71"/>
              </w:rPr>
              <w:t>OPTIONS,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003B71"/>
              </w:rPr>
              <w:t>OPTIONS,</w:t>
            </w:r>
          </w:p>
        </w:tc>
        <w:tc>
          <w:tcPr>
            <w:tcW w:w="1820" w:type="dxa"/>
            <w:vAlign w:val="bottom"/>
          </w:tcPr>
          <w:p>
            <w:pPr>
              <w:jc w:val="center"/>
              <w:ind w:left="388"/>
              <w:spacing w:after="0"/>
              <w:rPr>
                <w:sz w:val="20"/>
                <w:szCs w:val="20"/>
                <w:color w:val="auto"/>
              </w:rPr>
            </w:pPr>
            <w:r>
              <w:rPr>
                <w:rFonts w:ascii="Arial" w:cs="Arial" w:eastAsia="Arial" w:hAnsi="Arial"/>
                <w:sz w:val="14"/>
                <w:szCs w:val="14"/>
                <w:b w:val="1"/>
                <w:bCs w:val="1"/>
                <w:color w:val="003B71"/>
              </w:rPr>
              <w:t>UNDER EQUITY</w:t>
            </w:r>
          </w:p>
        </w:tc>
      </w:tr>
      <w:tr>
        <w:trPr>
          <w:trHeight w:val="161"/>
        </w:trPr>
        <w:tc>
          <w:tcPr>
            <w:tcW w:w="1760" w:type="dxa"/>
            <w:vAlign w:val="bottom"/>
          </w:tcPr>
          <w:p>
            <w:pPr>
              <w:jc w:val="center"/>
              <w:ind w:right="428"/>
              <w:spacing w:after="0"/>
              <w:rPr>
                <w:sz w:val="20"/>
                <w:szCs w:val="20"/>
                <w:color w:val="auto"/>
              </w:rPr>
            </w:pPr>
            <w:r>
              <w:rPr>
                <w:rFonts w:ascii="Arial" w:cs="Arial" w:eastAsia="Arial" w:hAnsi="Arial"/>
                <w:sz w:val="14"/>
                <w:szCs w:val="14"/>
                <w:b w:val="1"/>
                <w:bCs w:val="1"/>
                <w:color w:val="003B71"/>
              </w:rPr>
              <w:t>WARRANTS AND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003B71"/>
              </w:rPr>
              <w:t>WARRANTS AND</w:t>
            </w:r>
          </w:p>
        </w:tc>
        <w:tc>
          <w:tcPr>
            <w:tcW w:w="1820" w:type="dxa"/>
            <w:vAlign w:val="bottom"/>
          </w:tcPr>
          <w:p>
            <w:pPr>
              <w:jc w:val="center"/>
              <w:ind w:left="388"/>
              <w:spacing w:after="0"/>
              <w:rPr>
                <w:sz w:val="20"/>
                <w:szCs w:val="20"/>
                <w:color w:val="auto"/>
              </w:rPr>
            </w:pPr>
            <w:r>
              <w:rPr>
                <w:rFonts w:ascii="Arial" w:cs="Arial" w:eastAsia="Arial" w:hAnsi="Arial"/>
                <w:sz w:val="14"/>
                <w:szCs w:val="14"/>
                <w:b w:val="1"/>
                <w:bCs w:val="1"/>
                <w:color w:val="003B71"/>
              </w:rPr>
              <w:t>COMPENSATION</w:t>
            </w:r>
          </w:p>
        </w:tc>
      </w:tr>
      <w:tr>
        <w:trPr>
          <w:trHeight w:val="209"/>
        </w:trPr>
        <w:tc>
          <w:tcPr>
            <w:tcW w:w="1760" w:type="dxa"/>
            <w:vAlign w:val="bottom"/>
          </w:tcPr>
          <w:p>
            <w:pPr>
              <w:jc w:val="center"/>
              <w:ind w:right="428"/>
              <w:spacing w:after="0"/>
              <w:rPr>
                <w:sz w:val="20"/>
                <w:szCs w:val="20"/>
                <w:color w:val="auto"/>
              </w:rPr>
            </w:pPr>
            <w:r>
              <w:rPr>
                <w:rFonts w:ascii="Arial" w:cs="Arial" w:eastAsia="Arial" w:hAnsi="Arial"/>
                <w:sz w:val="14"/>
                <w:szCs w:val="14"/>
                <w:b w:val="1"/>
                <w:bCs w:val="1"/>
                <w:color w:val="003B71"/>
              </w:rPr>
              <w:t>RIGHTS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003B71"/>
              </w:rPr>
              <w:t>RIGHTS</w:t>
            </w:r>
          </w:p>
        </w:tc>
        <w:tc>
          <w:tcPr>
            <w:tcW w:w="1820" w:type="dxa"/>
            <w:vAlign w:val="bottom"/>
          </w:tcPr>
          <w:p>
            <w:pPr>
              <w:jc w:val="center"/>
              <w:ind w:left="388"/>
              <w:spacing w:after="0"/>
              <w:rPr>
                <w:sz w:val="20"/>
                <w:szCs w:val="20"/>
                <w:color w:val="auto"/>
              </w:rPr>
            </w:pPr>
            <w:r>
              <w:rPr>
                <w:rFonts w:ascii="Arial" w:cs="Arial" w:eastAsia="Arial" w:hAnsi="Arial"/>
                <w:sz w:val="14"/>
                <w:szCs w:val="14"/>
                <w:b w:val="1"/>
                <w:bCs w:val="1"/>
                <w:color w:val="003B71"/>
              </w:rPr>
              <w:t>PLANS</w:t>
            </w:r>
          </w:p>
        </w:tc>
      </w:tr>
    </w:tbl>
    <w:p>
      <w:pPr>
        <w:spacing w:after="0" w:line="19" w:lineRule="exact"/>
        <w:rPr>
          <w:sz w:val="20"/>
          <w:szCs w:val="20"/>
          <w:color w:val="auto"/>
        </w:rPr>
      </w:pPr>
    </w:p>
    <w:p>
      <w:pPr>
        <w:sectPr>
          <w:pgSz w:w="11900" w:h="16838" w:orient="portrait"/>
          <w:cols w:equalWidth="0" w:num="2">
            <w:col w:w="4120" w:space="680"/>
            <w:col w:w="6440"/>
          </w:cols>
          <w:pgMar w:left="320" w:top="119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400" w:type="dxa"/>
            <w:vAlign w:val="bottom"/>
            <w:tcBorders>
              <w:top w:val="single" w:sz="8" w:color="00497F"/>
            </w:tcBorders>
            <w:shd w:val="clear" w:color="auto" w:fill="E5E5E5"/>
          </w:tcPr>
          <w:p>
            <w:pPr>
              <w:ind w:left="20"/>
              <w:spacing w:after="0"/>
              <w:rPr>
                <w:sz w:val="20"/>
                <w:szCs w:val="20"/>
                <w:color w:val="auto"/>
              </w:rPr>
            </w:pPr>
            <w:r>
              <w:rPr>
                <w:rFonts w:ascii="Arial" w:cs="Arial" w:eastAsia="Arial" w:hAnsi="Arial"/>
                <w:sz w:val="16"/>
                <w:szCs w:val="16"/>
                <w:color w:val="auto"/>
              </w:rPr>
              <w:t>2014</w:t>
            </w:r>
          </w:p>
        </w:tc>
        <w:tc>
          <w:tcPr>
            <w:tcW w:w="4620" w:type="dxa"/>
            <w:vAlign w:val="bottom"/>
            <w:tcBorders>
              <w:top w:val="single" w:sz="8" w:color="00497F"/>
            </w:tcBorders>
            <w:shd w:val="clear" w:color="auto" w:fill="E5E5E5"/>
          </w:tcPr>
          <w:p>
            <w:pPr>
              <w:ind w:left="20"/>
              <w:spacing w:after="0"/>
              <w:rPr>
                <w:sz w:val="20"/>
                <w:szCs w:val="20"/>
                <w:color w:val="auto"/>
              </w:rPr>
            </w:pPr>
            <w:r>
              <w:rPr>
                <w:rFonts w:ascii="Arial" w:cs="Arial" w:eastAsia="Arial" w:hAnsi="Arial"/>
                <w:sz w:val="16"/>
                <w:szCs w:val="16"/>
                <w:color w:val="auto"/>
              </w:rPr>
              <w:t xml:space="preserve">Omnibus Incentive Plan </w:t>
            </w:r>
            <w:r>
              <w:rPr>
                <w:rFonts w:ascii="Arial" w:cs="Arial" w:eastAsia="Arial" w:hAnsi="Arial"/>
                <w:sz w:val="20"/>
                <w:szCs w:val="20"/>
                <w:color w:val="auto"/>
                <w:vertAlign w:val="superscript"/>
              </w:rPr>
              <w:t>(1)</w:t>
            </w:r>
          </w:p>
        </w:tc>
        <w:tc>
          <w:tcPr>
            <w:tcW w:w="1300" w:type="dxa"/>
            <w:vAlign w:val="bottom"/>
            <w:tcBorders>
              <w:top w:val="single" w:sz="8" w:color="00497F"/>
            </w:tcBorders>
            <w:shd w:val="clear" w:color="auto" w:fill="E5E5E5"/>
          </w:tcPr>
          <w:p>
            <w:pPr>
              <w:jc w:val="right"/>
              <w:spacing w:after="0"/>
              <w:rPr>
                <w:sz w:val="20"/>
                <w:szCs w:val="20"/>
                <w:color w:val="auto"/>
              </w:rPr>
            </w:pPr>
            <w:r>
              <w:rPr>
                <w:rFonts w:ascii="Arial" w:cs="Arial" w:eastAsia="Arial" w:hAnsi="Arial"/>
                <w:sz w:val="16"/>
                <w:szCs w:val="16"/>
                <w:color w:val="auto"/>
              </w:rPr>
              <w:t>900,826</w:t>
            </w:r>
          </w:p>
        </w:tc>
        <w:tc>
          <w:tcPr>
            <w:tcW w:w="320" w:type="dxa"/>
            <w:vAlign w:val="bottom"/>
            <w:tcBorders>
              <w:top w:val="single" w:sz="8" w:color="00497F"/>
            </w:tcBorders>
            <w:shd w:val="clear" w:color="auto" w:fill="E5E5E5"/>
          </w:tcPr>
          <w:p>
            <w:pPr>
              <w:jc w:val="right"/>
              <w:ind w:right="128"/>
              <w:spacing w:after="0"/>
              <w:rPr>
                <w:sz w:val="20"/>
                <w:szCs w:val="20"/>
                <w:color w:val="auto"/>
              </w:rPr>
            </w:pPr>
            <w:r>
              <w:rPr>
                <w:rFonts w:ascii="Arial" w:cs="Arial" w:eastAsia="Arial" w:hAnsi="Arial"/>
                <w:sz w:val="10"/>
                <w:szCs w:val="10"/>
                <w:color w:val="auto"/>
                <w:w w:val="97"/>
              </w:rPr>
              <w:t>(2)</w:t>
            </w:r>
          </w:p>
        </w:tc>
        <w:tc>
          <w:tcPr>
            <w:tcW w:w="880" w:type="dxa"/>
            <w:vAlign w:val="bottom"/>
            <w:tcBorders>
              <w:top w:val="single" w:sz="8" w:color="00497F"/>
            </w:tcBorders>
            <w:shd w:val="clear" w:color="auto" w:fill="E5E5E5"/>
          </w:tcPr>
          <w:p>
            <w:pPr>
              <w:jc w:val="right"/>
              <w:ind w:right="5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00497F"/>
            </w:tcBorders>
            <w:shd w:val="clear" w:color="auto" w:fill="E5E5E5"/>
          </w:tcPr>
          <w:p>
            <w:pPr>
              <w:jc w:val="right"/>
              <w:spacing w:after="0"/>
              <w:rPr>
                <w:sz w:val="20"/>
                <w:szCs w:val="20"/>
                <w:color w:val="auto"/>
              </w:rPr>
            </w:pPr>
            <w:r>
              <w:rPr>
                <w:rFonts w:ascii="Arial" w:cs="Arial" w:eastAsia="Arial" w:hAnsi="Arial"/>
                <w:sz w:val="16"/>
                <w:szCs w:val="16"/>
                <w:color w:val="auto"/>
              </w:rPr>
              <w:t>46.49</w:t>
            </w:r>
          </w:p>
        </w:tc>
        <w:tc>
          <w:tcPr>
            <w:tcW w:w="860" w:type="dxa"/>
            <w:vAlign w:val="bottom"/>
            <w:tcBorders>
              <w:top w:val="single" w:sz="8" w:color="00497F"/>
            </w:tcBorders>
            <w:shd w:val="clear" w:color="auto" w:fill="E5E5E5"/>
          </w:tcPr>
          <w:p>
            <w:pPr>
              <w:jc w:val="right"/>
              <w:ind w:right="628"/>
              <w:spacing w:after="0"/>
              <w:rPr>
                <w:sz w:val="20"/>
                <w:szCs w:val="20"/>
                <w:color w:val="auto"/>
              </w:rPr>
            </w:pPr>
            <w:r>
              <w:rPr>
                <w:rFonts w:ascii="Arial" w:cs="Arial" w:eastAsia="Arial" w:hAnsi="Arial"/>
                <w:sz w:val="10"/>
                <w:szCs w:val="10"/>
                <w:color w:val="auto"/>
              </w:rPr>
              <w:t>(3)</w:t>
            </w:r>
          </w:p>
        </w:tc>
        <w:tc>
          <w:tcPr>
            <w:tcW w:w="1820" w:type="dxa"/>
            <w:vAlign w:val="bottom"/>
            <w:tcBorders>
              <w:top w:val="single" w:sz="8" w:color="00497F"/>
            </w:tcBorders>
            <w:shd w:val="clear" w:color="auto" w:fill="E5E5E5"/>
          </w:tcPr>
          <w:p>
            <w:pPr>
              <w:jc w:val="right"/>
              <w:ind w:right="171"/>
              <w:spacing w:after="0" w:line="23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9"/>
                <w:szCs w:val="9"/>
                <w:color w:val="auto"/>
              </w:rPr>
              <w:t xml:space="preserve"> (4)</w:t>
            </w:r>
          </w:p>
        </w:tc>
      </w:tr>
      <w:tr>
        <w:trPr>
          <w:trHeight w:val="282"/>
        </w:trPr>
        <w:tc>
          <w:tcPr>
            <w:tcW w:w="400" w:type="dxa"/>
            <w:vAlign w:val="bottom"/>
          </w:tcPr>
          <w:p>
            <w:pPr>
              <w:ind w:left="20"/>
              <w:spacing w:after="0"/>
              <w:rPr>
                <w:sz w:val="20"/>
                <w:szCs w:val="20"/>
                <w:color w:val="auto"/>
              </w:rPr>
            </w:pPr>
            <w:r>
              <w:rPr>
                <w:rFonts w:ascii="Arial" w:cs="Arial" w:eastAsia="Arial" w:hAnsi="Arial"/>
                <w:sz w:val="16"/>
                <w:szCs w:val="16"/>
                <w:color w:val="auto"/>
              </w:rPr>
              <w:t>2025</w:t>
            </w:r>
          </w:p>
        </w:tc>
        <w:tc>
          <w:tcPr>
            <w:tcW w:w="4620" w:type="dxa"/>
            <w:vAlign w:val="bottom"/>
          </w:tcPr>
          <w:p>
            <w:pPr>
              <w:ind w:left="20"/>
              <w:spacing w:after="0"/>
              <w:rPr>
                <w:sz w:val="20"/>
                <w:szCs w:val="20"/>
                <w:color w:val="auto"/>
              </w:rPr>
            </w:pPr>
            <w:r>
              <w:rPr>
                <w:rFonts w:ascii="Arial" w:cs="Arial" w:eastAsia="Arial" w:hAnsi="Arial"/>
                <w:sz w:val="16"/>
                <w:szCs w:val="16"/>
                <w:color w:val="auto"/>
              </w:rPr>
              <w:t>Omnibus Incentive Plan</w:t>
            </w:r>
            <w:r>
              <w:rPr>
                <w:rFonts w:ascii="Arial" w:cs="Arial" w:eastAsia="Arial" w:hAnsi="Arial"/>
                <w:sz w:val="20"/>
                <w:szCs w:val="20"/>
                <w:color w:val="auto"/>
                <w:vertAlign w:val="superscript"/>
              </w:rPr>
              <w:t>(5)</w:t>
            </w:r>
          </w:p>
        </w:tc>
        <w:tc>
          <w:tcPr>
            <w:tcW w:w="1300" w:type="dxa"/>
            <w:vAlign w:val="bottom"/>
          </w:tcPr>
          <w:p>
            <w:pPr>
              <w:jc w:val="right"/>
              <w:spacing w:after="0"/>
              <w:rPr>
                <w:sz w:val="20"/>
                <w:szCs w:val="20"/>
                <w:color w:val="auto"/>
              </w:rPr>
            </w:pPr>
            <w:r>
              <w:rPr>
                <w:rFonts w:ascii="Arial" w:cs="Arial" w:eastAsia="Arial" w:hAnsi="Arial"/>
                <w:sz w:val="16"/>
                <w:szCs w:val="16"/>
                <w:color w:val="auto"/>
              </w:rPr>
              <w:t>1,585,037</w:t>
            </w:r>
          </w:p>
        </w:tc>
        <w:tc>
          <w:tcPr>
            <w:tcW w:w="320" w:type="dxa"/>
            <w:vAlign w:val="bottom"/>
          </w:tcPr>
          <w:p>
            <w:pPr>
              <w:spacing w:after="0"/>
              <w:rPr>
                <w:sz w:val="24"/>
                <w:szCs w:val="24"/>
                <w:color w:val="auto"/>
              </w:rPr>
            </w:pPr>
          </w:p>
        </w:tc>
        <w:tc>
          <w:tcPr>
            <w:tcW w:w="8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24.28</w:t>
            </w:r>
          </w:p>
        </w:tc>
        <w:tc>
          <w:tcPr>
            <w:tcW w:w="860" w:type="dxa"/>
            <w:vAlign w:val="bottom"/>
          </w:tcPr>
          <w:p>
            <w:pPr>
              <w:spacing w:after="0"/>
              <w:rPr>
                <w:sz w:val="24"/>
                <w:szCs w:val="24"/>
                <w:color w:val="auto"/>
              </w:rPr>
            </w:pPr>
          </w:p>
        </w:tc>
        <w:tc>
          <w:tcPr>
            <w:tcW w:w="1820" w:type="dxa"/>
            <w:vAlign w:val="bottom"/>
          </w:tcPr>
          <w:p>
            <w:pPr>
              <w:jc w:val="right"/>
              <w:ind w:right="331"/>
              <w:spacing w:after="0"/>
              <w:rPr>
                <w:sz w:val="20"/>
                <w:szCs w:val="20"/>
                <w:color w:val="auto"/>
              </w:rPr>
            </w:pPr>
            <w:r>
              <w:rPr>
                <w:rFonts w:ascii="Arial" w:cs="Arial" w:eastAsia="Arial" w:hAnsi="Arial"/>
                <w:sz w:val="16"/>
                <w:szCs w:val="16"/>
                <w:color w:val="auto"/>
              </w:rPr>
              <w:t>2,517,322</w:t>
            </w:r>
          </w:p>
        </w:tc>
      </w:tr>
      <w:tr>
        <w:trPr>
          <w:trHeight w:val="246"/>
        </w:trPr>
        <w:tc>
          <w:tcPr>
            <w:tcW w:w="5020" w:type="dxa"/>
            <w:vAlign w:val="bottom"/>
            <w:gridSpan w:val="2"/>
          </w:tcPr>
          <w:p>
            <w:pPr>
              <w:ind w:left="20"/>
              <w:spacing w:after="0"/>
              <w:rPr>
                <w:sz w:val="20"/>
                <w:szCs w:val="20"/>
                <w:color w:val="auto"/>
              </w:rPr>
            </w:pPr>
            <w:r>
              <w:rPr>
                <w:rFonts w:ascii="Arial" w:cs="Arial" w:eastAsia="Arial" w:hAnsi="Arial"/>
                <w:sz w:val="14"/>
                <w:szCs w:val="14"/>
                <w:b w:val="1"/>
                <w:bCs w:val="1"/>
                <w:color w:val="003B71"/>
              </w:rPr>
              <w:t>EQUITY COMPENSATION PLANS NOT APPROVED BY SECURITY</w:t>
            </w:r>
          </w:p>
        </w:tc>
        <w:tc>
          <w:tcPr>
            <w:tcW w:w="1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196"/>
        </w:trPr>
        <w:tc>
          <w:tcPr>
            <w:tcW w:w="5020" w:type="dxa"/>
            <w:vAlign w:val="bottom"/>
            <w:gridSpan w:val="2"/>
          </w:tcPr>
          <w:p>
            <w:pPr>
              <w:ind w:left="20"/>
              <w:spacing w:after="0"/>
              <w:rPr>
                <w:sz w:val="20"/>
                <w:szCs w:val="20"/>
                <w:color w:val="auto"/>
              </w:rPr>
            </w:pPr>
            <w:r>
              <w:rPr>
                <w:rFonts w:ascii="Arial" w:cs="Arial" w:eastAsia="Arial" w:hAnsi="Arial"/>
                <w:sz w:val="14"/>
                <w:szCs w:val="14"/>
                <w:b w:val="1"/>
                <w:bCs w:val="1"/>
                <w:color w:val="003B71"/>
              </w:rPr>
              <w:t>HOLDERS</w:t>
            </w: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9"/>
        </w:trPr>
        <w:tc>
          <w:tcPr>
            <w:tcW w:w="400" w:type="dxa"/>
            <w:vAlign w:val="bottom"/>
            <w:tcBorders>
              <w:bottom w:val="single" w:sz="8" w:color="00497F"/>
            </w:tcBorders>
          </w:tcPr>
          <w:p>
            <w:pPr>
              <w:spacing w:after="0"/>
              <w:rPr>
                <w:sz w:val="2"/>
                <w:szCs w:val="2"/>
                <w:color w:val="auto"/>
              </w:rPr>
            </w:pPr>
          </w:p>
        </w:tc>
        <w:tc>
          <w:tcPr>
            <w:tcW w:w="4620" w:type="dxa"/>
            <w:vAlign w:val="bottom"/>
            <w:tcBorders>
              <w:bottom w:val="single" w:sz="8" w:color="00497F"/>
            </w:tcBorders>
          </w:tcPr>
          <w:p>
            <w:pPr>
              <w:spacing w:after="0"/>
              <w:rPr>
                <w:sz w:val="2"/>
                <w:szCs w:val="2"/>
                <w:color w:val="auto"/>
              </w:rPr>
            </w:pPr>
          </w:p>
        </w:tc>
        <w:tc>
          <w:tcPr>
            <w:tcW w:w="1300" w:type="dxa"/>
            <w:vAlign w:val="bottom"/>
            <w:tcBorders>
              <w:bottom w:val="single" w:sz="8" w:color="00497F"/>
            </w:tcBorders>
          </w:tcPr>
          <w:p>
            <w:pPr>
              <w:spacing w:after="0"/>
              <w:rPr>
                <w:sz w:val="2"/>
                <w:szCs w:val="2"/>
                <w:color w:val="auto"/>
              </w:rPr>
            </w:pPr>
          </w:p>
        </w:tc>
        <w:tc>
          <w:tcPr>
            <w:tcW w:w="320" w:type="dxa"/>
            <w:vAlign w:val="bottom"/>
            <w:tcBorders>
              <w:bottom w:val="single" w:sz="8" w:color="00497F"/>
            </w:tcBorders>
          </w:tcPr>
          <w:p>
            <w:pPr>
              <w:spacing w:after="0"/>
              <w:rPr>
                <w:sz w:val="2"/>
                <w:szCs w:val="2"/>
                <w:color w:val="auto"/>
              </w:rPr>
            </w:pPr>
          </w:p>
        </w:tc>
        <w:tc>
          <w:tcPr>
            <w:tcW w:w="880" w:type="dxa"/>
            <w:vAlign w:val="bottom"/>
            <w:tcBorders>
              <w:bottom w:val="single" w:sz="8" w:color="00497F"/>
            </w:tcBorders>
          </w:tcPr>
          <w:p>
            <w:pPr>
              <w:spacing w:after="0"/>
              <w:rPr>
                <w:sz w:val="2"/>
                <w:szCs w:val="2"/>
                <w:color w:val="auto"/>
              </w:rPr>
            </w:pPr>
          </w:p>
        </w:tc>
        <w:tc>
          <w:tcPr>
            <w:tcW w:w="1040" w:type="dxa"/>
            <w:vAlign w:val="bottom"/>
            <w:tcBorders>
              <w:bottom w:val="single" w:sz="8" w:color="00497F"/>
            </w:tcBorders>
          </w:tcPr>
          <w:p>
            <w:pPr>
              <w:spacing w:after="0"/>
              <w:rPr>
                <w:sz w:val="2"/>
                <w:szCs w:val="2"/>
                <w:color w:val="auto"/>
              </w:rPr>
            </w:pPr>
          </w:p>
        </w:tc>
        <w:tc>
          <w:tcPr>
            <w:tcW w:w="860" w:type="dxa"/>
            <w:vAlign w:val="bottom"/>
            <w:tcBorders>
              <w:bottom w:val="single" w:sz="8" w:color="00497F"/>
            </w:tcBorders>
          </w:tcPr>
          <w:p>
            <w:pPr>
              <w:spacing w:after="0"/>
              <w:rPr>
                <w:sz w:val="2"/>
                <w:szCs w:val="2"/>
                <w:color w:val="auto"/>
              </w:rPr>
            </w:pPr>
          </w:p>
        </w:tc>
        <w:tc>
          <w:tcPr>
            <w:tcW w:w="1820" w:type="dxa"/>
            <w:vAlign w:val="bottom"/>
            <w:tcBorders>
              <w:bottom w:val="single" w:sz="8" w:color="00497F"/>
            </w:tcBorders>
          </w:tcPr>
          <w:p>
            <w:pPr>
              <w:spacing w:after="0"/>
              <w:rPr>
                <w:sz w:val="2"/>
                <w:szCs w:val="2"/>
                <w:color w:val="auto"/>
              </w:rPr>
            </w:pPr>
          </w:p>
        </w:tc>
      </w:tr>
      <w:tr>
        <w:trPr>
          <w:trHeight w:val="235"/>
        </w:trPr>
        <w:tc>
          <w:tcPr>
            <w:tcW w:w="40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2025</w:t>
            </w:r>
          </w:p>
        </w:tc>
        <w:tc>
          <w:tcPr>
            <w:tcW w:w="4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Inducement Plan</w:t>
            </w:r>
            <w:r>
              <w:rPr>
                <w:rFonts w:ascii="Arial" w:cs="Arial" w:eastAsia="Arial" w:hAnsi="Arial"/>
                <w:sz w:val="20"/>
                <w:szCs w:val="20"/>
                <w:color w:val="auto"/>
                <w:vertAlign w:val="superscript"/>
              </w:rPr>
              <w:t>(6)</w:t>
            </w:r>
          </w:p>
        </w:tc>
        <w:tc>
          <w:tcPr>
            <w:tcW w:w="1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838,557</w:t>
            </w:r>
          </w:p>
        </w:tc>
        <w:tc>
          <w:tcPr>
            <w:tcW w:w="320" w:type="dxa"/>
            <w:vAlign w:val="bottom"/>
            <w:shd w:val="clear" w:color="auto" w:fill="E5E5E5"/>
          </w:tcPr>
          <w:p>
            <w:pPr>
              <w:spacing w:after="0"/>
              <w:rPr>
                <w:sz w:val="20"/>
                <w:szCs w:val="20"/>
                <w:color w:val="auto"/>
              </w:rPr>
            </w:pPr>
          </w:p>
        </w:tc>
        <w:tc>
          <w:tcPr>
            <w:tcW w:w="880" w:type="dxa"/>
            <w:vAlign w:val="bottom"/>
            <w:shd w:val="clear" w:color="auto" w:fill="E5E5E5"/>
          </w:tcPr>
          <w:p>
            <w:pPr>
              <w:jc w:val="right"/>
              <w:ind w:right="5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32.43</w:t>
            </w:r>
          </w:p>
        </w:tc>
        <w:tc>
          <w:tcPr>
            <w:tcW w:w="860" w:type="dxa"/>
            <w:vAlign w:val="bottom"/>
            <w:shd w:val="clear" w:color="auto" w:fill="E5E5E5"/>
          </w:tcPr>
          <w:p>
            <w:pPr>
              <w:spacing w:after="0"/>
              <w:rPr>
                <w:sz w:val="20"/>
                <w:szCs w:val="20"/>
                <w:color w:val="auto"/>
              </w:rPr>
            </w:pPr>
          </w:p>
        </w:tc>
        <w:tc>
          <w:tcPr>
            <w:tcW w:w="1820" w:type="dxa"/>
            <w:vAlign w:val="bottom"/>
            <w:shd w:val="clear" w:color="auto" w:fill="E5E5E5"/>
          </w:tcPr>
          <w:p>
            <w:pPr>
              <w:jc w:val="right"/>
              <w:ind w:right="331"/>
              <w:spacing w:after="0"/>
              <w:rPr>
                <w:sz w:val="20"/>
                <w:szCs w:val="20"/>
                <w:color w:val="auto"/>
              </w:rPr>
            </w:pPr>
            <w:r>
              <w:rPr>
                <w:rFonts w:ascii="Arial" w:cs="Arial" w:eastAsia="Arial" w:hAnsi="Arial"/>
                <w:sz w:val="16"/>
                <w:szCs w:val="16"/>
                <w:color w:val="auto"/>
              </w:rPr>
              <w:t>1,161,443</w:t>
            </w:r>
          </w:p>
        </w:tc>
      </w:tr>
    </w:tbl>
    <w:p>
      <w:pPr>
        <w:spacing w:after="0" w:line="120" w:lineRule="exact"/>
        <w:rPr>
          <w:sz w:val="20"/>
          <w:szCs w:val="20"/>
          <w:color w:val="auto"/>
        </w:rPr>
      </w:pPr>
    </w:p>
    <w:p>
      <w:pPr>
        <w:ind w:left="400" w:hanging="393"/>
        <w:spacing w:after="0"/>
        <w:tabs>
          <w:tab w:leader="none" w:pos="4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2014 Plan expired on October 6, 2024.</w:t>
      </w:r>
    </w:p>
    <w:p>
      <w:pPr>
        <w:spacing w:after="0" w:line="29" w:lineRule="exact"/>
        <w:rPr>
          <w:rFonts w:ascii="Arial" w:cs="Arial" w:eastAsia="Arial" w:hAnsi="Arial"/>
          <w:sz w:val="16"/>
          <w:szCs w:val="16"/>
          <w:color w:val="auto"/>
        </w:rPr>
      </w:pPr>
    </w:p>
    <w:p>
      <w:pPr>
        <w:jc w:val="both"/>
        <w:ind w:left="420" w:hanging="413"/>
        <w:spacing w:after="0" w:line="250" w:lineRule="auto"/>
        <w:tabs>
          <w:tab w:leader="none" w:pos="415"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Includes 311,818, 317,242 and 355,750 PSUs under the 2014 Omnibus Incentive Plan, 2025 Omnibus Incentive Plan and 2025 Inducement Plans, respectively. Assumes shares issued upon vesting at range of 100% to 200% of target number of units. Actual number of shares issued on vesting of PSUs could be a minimum award level of 50% for PSUs, but zero payout is possible if threshold measures are not met. The award level for PSUs is based on actual performance over the three-year vesting period compared to target performance.</w:t>
      </w:r>
    </w:p>
    <w:p>
      <w:pPr>
        <w:spacing w:after="0" w:line="2" w:lineRule="exact"/>
        <w:rPr>
          <w:rFonts w:ascii="Arial" w:cs="Arial" w:eastAsia="Arial" w:hAnsi="Arial"/>
          <w:sz w:val="16"/>
          <w:szCs w:val="16"/>
          <w:color w:val="auto"/>
        </w:rPr>
      </w:pPr>
    </w:p>
    <w:p>
      <w:pPr>
        <w:ind w:left="420" w:right="20" w:hanging="413"/>
        <w:spacing w:after="0" w:line="254" w:lineRule="auto"/>
        <w:tabs>
          <w:tab w:leader="none" w:pos="41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weighted average exercise price is calculated based solely on outstanding stock options. It does not take into account the shares of our common stock underlying RSUs, PSUs or restricted stock units subject to the achievement of specified market conditions, which have no exercise price.</w:t>
      </w:r>
    </w:p>
    <w:p>
      <w:pPr>
        <w:ind w:left="400" w:hanging="393"/>
        <w:spacing w:after="0"/>
        <w:tabs>
          <w:tab w:leader="none" w:pos="4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2014 Plan expired on October 6, 2024, and as a result, no additional shares were available for issuance thereunder as of February 3, 2026.</w:t>
      </w:r>
    </w:p>
    <w:p>
      <w:pPr>
        <w:spacing w:after="0" w:line="4" w:lineRule="exact"/>
        <w:rPr>
          <w:rFonts w:ascii="Arial" w:cs="Arial" w:eastAsia="Arial" w:hAnsi="Arial"/>
          <w:sz w:val="16"/>
          <w:szCs w:val="16"/>
          <w:color w:val="auto"/>
        </w:rPr>
      </w:pPr>
    </w:p>
    <w:p>
      <w:pPr>
        <w:ind w:left="400" w:hanging="393"/>
        <w:spacing w:after="0"/>
        <w:tabs>
          <w:tab w:leader="none" w:pos="4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2025 Plan was approved by our shareholders at our June 18, 2025 annual meeting of shareholders.</w:t>
      </w:r>
    </w:p>
    <w:p>
      <w:pPr>
        <w:spacing w:after="0" w:line="13" w:lineRule="exact"/>
        <w:rPr>
          <w:rFonts w:ascii="Arial" w:cs="Arial" w:eastAsia="Arial" w:hAnsi="Arial"/>
          <w:sz w:val="16"/>
          <w:szCs w:val="16"/>
          <w:color w:val="auto"/>
        </w:rPr>
      </w:pPr>
    </w:p>
    <w:p>
      <w:pPr>
        <w:ind w:left="400" w:hanging="393"/>
        <w:spacing w:after="0"/>
        <w:tabs>
          <w:tab w:leader="none" w:pos="4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Inducement Plan was approved by the Board on July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1329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55</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39"/>
          <w:szCs w:val="39"/>
          <w:color w:val="003B71"/>
        </w:rPr>
        <w:t>TRANSACTIONS WITH RELATED PERSONS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 Related Party Transaction Policy that provides for timely internal review of prospective transactions with related persons, as well as approval or ratification, and appropriate oversight and public disclosure, of such transactions. The Related Party Transaction Policy generally covers transactions with the Company, on the one hand, and a director or executive officer of the Company, a nominee for election as a director of the Company, any security holder of the Company that owns (owns of record or beneficially) five percent or more of any class of the Company’s voting securities and any immediate family member of any of the foregoing persons, on the other hand. The Related Party Transaction Policy is administered by our Audit Committee.</w:t>
      </w:r>
    </w:p>
    <w:p>
      <w:pPr>
        <w:spacing w:after="0" w:line="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Related Party Transaction Policy also supplements the provisions of our Code of Business Conduct and Ethics concerning potential conflict of interest situations, which, pursuant to its terms, provides that unless a written waiver is granted (as explained below), employees may not (a) perform services for or have a financial interest in a private company that is, or may become, a supplier, customer or competitor of us or (b) perform services for or own more than 1% of the equity of a publicly traded company that is, or may become, a supplier, customer or competitor of us or perform outside work or otherwise engage in any outside activity or enterprise that may interfere in any way with job performance or create a conflict with our best interests. Employees are under a continuing obligation to disclose to their supervisors any situation that presents the possibility of a conflict or disparity of interest between the employee and us. An employee’s conflict of interest may only be waived if both the legal department and the employee’s supervisor waive the conflict in writing. An officer’s conflict of interest may only be approved pursuant to the Related Party Transaction Policy.</w:t>
      </w:r>
    </w:p>
    <w:p>
      <w:pPr>
        <w:spacing w:after="0" w:line="7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fiscal 2025, the Company and its officers and directors did not engage in any reportable related party transactions nor were any waivers granted on conflicts of interest.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REPORT OF THE AUDIT COMMITTEE</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reviewed and discussed with management and KPMG, the independent registered public accounting firm, our audited financial statements as of and for the fiscal year ended February 3, 2026. We have also discussed with KPMG the matters required to be discussed by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as adopted by the Public Company Accounting Oversight Board (“PCAOB”).</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We have received and reviewed the written disclosures and the letter from KPMG required by applicable requirements of the PCAOB regarding KPMG’s communications with the Audit Committee concerning independence, have considered the compatibility of non-audit services with the firm’s independence, and discussed with the auditors the firm’s independence.</w:t>
      </w:r>
    </w:p>
    <w:p>
      <w:pPr>
        <w:spacing w:after="0" w:line="6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Based on the reviews and discussions referred to above, we have recommended to the Board of Directors that the financial statements referred to above be included in our Annual Report on Form 10-K.</w:t>
      </w:r>
    </w:p>
    <w:p>
      <w:pPr>
        <w:spacing w:after="0" w:line="20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Atish Shah, Chair</w:t>
      </w:r>
    </w:p>
    <w:p>
      <w:pPr>
        <w:spacing w:after="0" w:line="4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Nathaniel J. Lipman</w:t>
      </w:r>
    </w:p>
    <w:p>
      <w:pPr>
        <w:spacing w:after="0" w:line="4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Charles H. Protell</w:t>
      </w:r>
    </w:p>
    <w:p>
      <w:pPr>
        <w:spacing w:after="0" w:line="48"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Allen R.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1329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56</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39"/>
          <w:szCs w:val="39"/>
          <w:color w:val="003B71"/>
        </w:rPr>
        <w:t>DELINQUENT SECTION 16(a) REPORTS</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(10%) of a registered class of our equity securities (“Reporting Persons”) to file with the SEC initial reports of ownership on Form 3 and reports of changes in ownership of our common stock and other Company securities on Form 4. Based solely on our review of (i) the publicly available Forms 3 and Forms 4 on file with the SEC and amendments thereto and (ii) representations from the Reporting Persons, all Section 16(a) filing requirements applicable to our Reporting Persons were complied with during the 2025 fiscal year ended February 3, 2026, with the exceptions of the following which were filed late due to inadvertent administrative delays: Steve Klohn filed one late Form 3 and two late Form 4s relating to 10 transactions; Tony Wehner filed three late Form 4s relating to 14 transactions; Darin Harper filed two late Form 4s relating to 10 transactions; Rodolfo Rodriguez, Jr. filed three late Form 4s relating to nine transactions; Les Lehner filed two late Form 4s relating to 13 transactions; Tarun Lal filed one late Form 4 relating to two transactions; Antonio Bautista filed two late Form 4s relating to 13 transactions; Hill Path filed one late Form 4 related to two transactions, jointly reported under the beneficial ownership of Scott I. Ross; Nathaniel J. Lipman filed one late Form 3 and one late Form 4 relating to two transactions; James P. Chambers filed one late Form 4 relating to two transactions; Atish Shah filed two late Form 4s relating to three transactions; Allen R. Weiss filed one late Form 3 and one late Form 4 relating to two transactions; Kevin M. Sheehan filed three late Form 4s relating to four transactions; former Chief People Officer Humera Kassem filed one late Form 3 and one late Form 4 relating to four transactions; and former Chief Development Officer John Mulleady filed one late Form 4 relating to seven transactions.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SHAREHOLDER PROPOSALS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Rule 14a-8 Shareholder Proposals. </w:t>
      </w:r>
      <w:r>
        <w:rPr>
          <w:rFonts w:ascii="Arial" w:cs="Arial" w:eastAsia="Arial" w:hAnsi="Arial"/>
          <w:sz w:val="18"/>
          <w:szCs w:val="18"/>
          <w:color w:val="auto"/>
        </w:rPr>
        <w:t>Pursuant to Rule 14a-8 under the Exchange Act, some shareholder proposals may be eligible for</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in the Company’s proxy statement relating to the 2027 annual meeting of shareholders. In order to be considered for inclusion in the Company’s proxy statement relating to the Company’s 2027 annual meeting of shareholders, shareholder proposals must satisfy the requirements of Rule 14a-8 and be timely received. To be timely received, shareholders must provide written notice of such proposal to the Secretary of the Company at the principal executive offices of the Company no later than the close of business on January 6, 2027 (the 120th day prior to the one-year anniversary date of the release of this Proxy Statement to shareholders). If we hold our 2027 annual meeting of shareholders on a date that is more than 30 days from the anniversary of the Annual Meeting, any shareholder proposal must be received a reasonable time before we begin to print and send our proxy materials. Failure to deliver a proposal in accordance with this procedure may result in the proposal not being deemed timely received. The submission of a shareholder proposal pursuant to Rule 14a-8 does not guarantee that it will be included in the Company's proxy statement and form of proxy.</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Advance Notice of Shareholder Proposals or Nominations. </w:t>
      </w:r>
      <w:r>
        <w:rPr>
          <w:rFonts w:ascii="Arial" w:cs="Arial" w:eastAsia="Arial" w:hAnsi="Arial"/>
          <w:sz w:val="18"/>
          <w:szCs w:val="18"/>
          <w:color w:val="auto"/>
        </w:rPr>
        <w:t>In addition, shareholders wishing to nominate a candidate for election to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or propose any business to be presented directly at the 2027 annual meeting of shareholders (rather than by inclusion in next year’s proxy statement) must follow the submission criteria and deadlines set forth in the Company’s bylaws. Pursuant to the advance notice provisions of the Company’s bylaws, a shareholder must provide written notice of such proposal to the Secretary of the Company at the principal executive offices of the Company no later than the close of business on March 20, 2027 (the 90th day before the one-year anniversary date of the Annual Meeting), and not earlier than the close of business on February 18, 2027 (the 120th day before the anniversary date of the Annual Meeting). However, in the event that the 2027 annual meeting of shareholders is not scheduled to be held between May 19, 2027 and September 16, 2027, to be timely, notice must be received by the Secretary of the Company not earlier than the 120th day before the date of the 2027 annual meeting of shareholders and not later than the later of (i) the 90th day before the date of the 2027 annual meeting of shareholders or (ii) the 10th day following the day on which public announcement of the date of the 2027 annual meeting of shareholders is first made by the Company. Any written notice so submitted must contain a brief description of the business to be brought before the 2027 annual meeting of shareholders and the reasons for conducting such business at the meeting and must comply as to form and substance with the other provisions of the Company’s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564515</wp:posOffset>
            </wp:positionV>
            <wp:extent cx="71329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57</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63" w:name="page64"/>
    <w:bookmarkEnd w:id="63"/>
    <w:p>
      <w:pPr>
        <w:jc w:val="both"/>
        <w:spacing w:after="0" w:line="261" w:lineRule="auto"/>
        <w:rPr>
          <w:sz w:val="20"/>
          <w:szCs w:val="20"/>
          <w:color w:val="auto"/>
        </w:rPr>
      </w:pPr>
      <w:r>
        <w:rPr>
          <w:rFonts w:ascii="Arial" w:cs="Arial" w:eastAsia="Arial" w:hAnsi="Arial"/>
          <w:sz w:val="18"/>
          <w:szCs w:val="18"/>
          <w:i w:val="1"/>
          <w:iCs w:val="1"/>
          <w:color w:val="auto"/>
        </w:rPr>
        <w:t xml:space="preserve">Compliance with Universal Proxy Rules for Director Nominations. </w:t>
      </w:r>
      <w:r>
        <w:rPr>
          <w:rFonts w:ascii="Arial" w:cs="Arial" w:eastAsia="Arial" w:hAnsi="Arial"/>
          <w:sz w:val="18"/>
          <w:szCs w:val="18"/>
          <w:color w:val="auto"/>
        </w:rPr>
        <w:t>Shareholders who intend to solicit proxies in support of director nominees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the Company’s nominees must provide notice to the Secretary of the Company that sets forth the information required by Rule 14a-19 of the Exchange Act in accordance with and within the time period prescribed in the advance notice provisions of the Company’s bylaws.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OTHER BUSINESS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does not presently intend to bring any other business before the Annual Meeting, and, so far as is known to the Board, no matters are to be brought before the Annual Meeting except as specified in the Notice of Annual Meeting accompanying this Proxy Statement. As business may properly come before the Annual Meeting, however, it is intended that proxies, in the form enclosed, will be voted in respect thereof in accordance with the judgment of the persons voting such proxies. Whether or not you expect to attend the Annual Meeting, please vote via the internet, by phone, or by requesting, completing and mailing a paper proxy card, so that your shares may be represented at the Annual Meeting.</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39"/>
          <w:szCs w:val="39"/>
          <w:color w:val="003B71"/>
        </w:rPr>
        <w:t>WHERE YOU CAN FIND MORE INFORMATION</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We will provide, without charge, on the written request of any shareholder, a copy of our 2025 Annual Report on Form 10-K. Shareholders should direct such requests to the Company’s Corporate Secretary at 1221 S. Belt Line Road, #500, Coppell, Texas 75019. Our SEC filings are available to the public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at </w:t>
      </w:r>
      <w:r>
        <w:rPr>
          <w:rFonts w:ascii="Arial" w:cs="Arial" w:eastAsia="Arial" w:hAnsi="Arial"/>
          <w:sz w:val="18"/>
          <w:szCs w:val="18"/>
          <w:i w:val="1"/>
          <w:iCs w:val="1"/>
          <w:color w:val="auto"/>
        </w:rPr>
        <w:t>http://ir.daveandbusters.com</w:t>
      </w:r>
      <w:r>
        <w:rPr>
          <w:rFonts w:ascii="Arial" w:cs="Arial" w:eastAsia="Arial" w:hAnsi="Arial"/>
          <w:sz w:val="18"/>
          <w:szCs w:val="18"/>
          <w:color w:val="auto"/>
        </w:rPr>
        <w:t>. Our 2025 Annual Report on Form 10-K and other information on our website and the SEC’s website are not incorporated by reference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267970</wp:posOffset>
            </wp:positionV>
            <wp:extent cx="71329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58</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1"/>
          <w:szCs w:val="21"/>
          <w:b w:val="1"/>
          <w:bCs w:val="1"/>
          <w:color w:val="003B71"/>
        </w:rPr>
        <w:t>D</w:t>
      </w:r>
      <w:r>
        <w:rPr>
          <w:rFonts w:ascii="Arial" w:cs="Arial" w:eastAsia="Arial" w:hAnsi="Arial"/>
          <w:sz w:val="17"/>
          <w:szCs w:val="17"/>
          <w:b w:val="1"/>
          <w:bCs w:val="1"/>
          <w:color w:val="003B71"/>
        </w:rPr>
        <w:t>AVE</w:t>
      </w:r>
      <w:r>
        <w:rPr>
          <w:rFonts w:ascii="Arial" w:cs="Arial" w:eastAsia="Arial" w:hAnsi="Arial"/>
          <w:sz w:val="21"/>
          <w:szCs w:val="21"/>
          <w:b w:val="1"/>
          <w:bCs w:val="1"/>
          <w:color w:val="003B71"/>
        </w:rPr>
        <w:t xml:space="preserve"> &amp; B</w:t>
      </w:r>
      <w:r>
        <w:rPr>
          <w:rFonts w:ascii="Arial" w:cs="Arial" w:eastAsia="Arial" w:hAnsi="Arial"/>
          <w:sz w:val="17"/>
          <w:szCs w:val="17"/>
          <w:b w:val="1"/>
          <w:bCs w:val="1"/>
          <w:color w:val="003B71"/>
        </w:rPr>
        <w:t>USTER</w:t>
      </w:r>
      <w:r>
        <w:rPr>
          <w:rFonts w:ascii="Arial" w:cs="Arial" w:eastAsia="Arial" w:hAnsi="Arial"/>
          <w:sz w:val="21"/>
          <w:szCs w:val="21"/>
          <w:b w:val="1"/>
          <w:bCs w:val="1"/>
          <w:color w:val="003B71"/>
        </w:rPr>
        <w:t>’</w:t>
      </w:r>
      <w:r>
        <w:rPr>
          <w:rFonts w:ascii="Arial" w:cs="Arial" w:eastAsia="Arial" w:hAnsi="Arial"/>
          <w:sz w:val="17"/>
          <w:szCs w:val="17"/>
          <w:b w:val="1"/>
          <w:bCs w:val="1"/>
          <w:color w:val="003B71"/>
        </w:rPr>
        <w:t>S</w:t>
      </w:r>
      <w:r>
        <w:rPr>
          <w:rFonts w:ascii="Arial" w:cs="Arial" w:eastAsia="Arial" w:hAnsi="Arial"/>
          <w:sz w:val="21"/>
          <w:szCs w:val="21"/>
          <w:b w:val="1"/>
          <w:bCs w:val="1"/>
          <w:color w:val="003B71"/>
        </w:rPr>
        <w:t xml:space="preserve"> E</w:t>
      </w:r>
      <w:r>
        <w:rPr>
          <w:rFonts w:ascii="Arial" w:cs="Arial" w:eastAsia="Arial" w:hAnsi="Arial"/>
          <w:sz w:val="17"/>
          <w:szCs w:val="17"/>
          <w:b w:val="1"/>
          <w:bCs w:val="1"/>
          <w:color w:val="003B71"/>
        </w:rPr>
        <w:t>NTERTAINMENT</w:t>
      </w:r>
      <w:r>
        <w:rPr>
          <w:rFonts w:ascii="Arial" w:cs="Arial" w:eastAsia="Arial" w:hAnsi="Arial"/>
          <w:sz w:val="21"/>
          <w:szCs w:val="21"/>
          <w:b w:val="1"/>
          <w:bCs w:val="1"/>
          <w:color w:val="003B71"/>
        </w:rPr>
        <w:t>, I</w:t>
      </w:r>
      <w:r>
        <w:rPr>
          <w:rFonts w:ascii="Arial" w:cs="Arial" w:eastAsia="Arial" w:hAnsi="Arial"/>
          <w:sz w:val="17"/>
          <w:szCs w:val="17"/>
          <w:b w:val="1"/>
          <w:bCs w:val="1"/>
          <w:color w:val="003B71"/>
        </w:rPr>
        <w:t>NC</w:t>
      </w:r>
      <w:r>
        <w:rPr>
          <w:rFonts w:ascii="Arial" w:cs="Arial" w:eastAsia="Arial" w:hAnsi="Arial"/>
          <w:sz w:val="21"/>
          <w:szCs w:val="21"/>
          <w:b w:val="1"/>
          <w:bCs w:val="1"/>
          <w:color w:val="003B71"/>
        </w:rPr>
        <w: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003B71"/>
        </w:rPr>
        <w:t>P</w:t>
      </w:r>
      <w:r>
        <w:rPr>
          <w:rFonts w:ascii="Arial" w:cs="Arial" w:eastAsia="Arial" w:hAnsi="Arial"/>
          <w:sz w:val="17"/>
          <w:szCs w:val="17"/>
          <w:b w:val="1"/>
          <w:bCs w:val="1"/>
          <w:color w:val="003B71"/>
        </w:rPr>
        <w:t>ROXY</w:t>
      </w:r>
      <w:r>
        <w:rPr>
          <w:rFonts w:ascii="Arial" w:cs="Arial" w:eastAsia="Arial" w:hAnsi="Arial"/>
          <w:sz w:val="21"/>
          <w:szCs w:val="21"/>
          <w:b w:val="1"/>
          <w:bCs w:val="1"/>
          <w:color w:val="003B71"/>
        </w:rPr>
        <w:t xml:space="preserve"> S</w:t>
      </w:r>
      <w:r>
        <w:rPr>
          <w:rFonts w:ascii="Arial" w:cs="Arial" w:eastAsia="Arial" w:hAnsi="Arial"/>
          <w:sz w:val="17"/>
          <w:szCs w:val="17"/>
          <w:b w:val="1"/>
          <w:bCs w:val="1"/>
          <w:color w:val="003B71"/>
        </w:rPr>
        <w:t>TATEMENT</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39"/>
          <w:szCs w:val="39"/>
          <w:color w:val="003B71"/>
        </w:rPr>
        <w:t>FAQ’S A</w:t>
      </w:r>
      <w:r>
        <w:rPr>
          <w:rFonts w:ascii="Arial" w:cs="Arial" w:eastAsia="Arial" w:hAnsi="Arial"/>
          <w:sz w:val="35"/>
          <w:szCs w:val="35"/>
          <w:color w:val="003B71"/>
        </w:rPr>
        <w:t>BOUT THE</w:t>
      </w:r>
      <w:r>
        <w:rPr>
          <w:rFonts w:ascii="Arial" w:cs="Arial" w:eastAsia="Arial" w:hAnsi="Arial"/>
          <w:sz w:val="39"/>
          <w:szCs w:val="39"/>
          <w:color w:val="003B71"/>
        </w:rPr>
        <w:t xml:space="preserve"> ANNUAL M</w:t>
      </w:r>
      <w:r>
        <w:rPr>
          <w:rFonts w:ascii="Arial" w:cs="Arial" w:eastAsia="Arial" w:hAnsi="Arial"/>
          <w:sz w:val="35"/>
          <w:szCs w:val="35"/>
          <w:color w:val="003B71"/>
        </w:rPr>
        <w:t>EETING AND</w:t>
      </w:r>
      <w:r>
        <w:rPr>
          <w:rFonts w:ascii="Arial" w:cs="Arial" w:eastAsia="Arial" w:hAnsi="Arial"/>
          <w:sz w:val="39"/>
          <w:szCs w:val="39"/>
          <w:color w:val="003B71"/>
        </w:rPr>
        <w:t xml:space="preserve"> V</w:t>
      </w:r>
      <w:r>
        <w:rPr>
          <w:rFonts w:ascii="Arial" w:cs="Arial" w:eastAsia="Arial" w:hAnsi="Arial"/>
          <w:sz w:val="35"/>
          <w:szCs w:val="35"/>
          <w:color w:val="003B71"/>
        </w:rPr>
        <w:t>OTING</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Why am I receiving these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You are receiving these proxy materials because our Board of Directors is soliciting proxies on behalf of the Company for use at the Annual Meeting on June 18, 2026 at 4:30 p.m. Central Daylight Time. This Proxy Statement summarizes the information you need to vote at the Annual Meeting. You do not need to attend the Annual Meeting to vote your shares.</w:t>
      </w:r>
    </w:p>
    <w:p>
      <w:pPr>
        <w:spacing w:after="0" w:line="217" w:lineRule="exact"/>
        <w:rPr>
          <w:sz w:val="20"/>
          <w:szCs w:val="20"/>
          <w:color w:val="auto"/>
        </w:rPr>
      </w:pPr>
    </w:p>
    <w:p>
      <w:pPr>
        <w:ind w:left="20" w:right="800"/>
        <w:spacing w:after="0" w:line="307" w:lineRule="auto"/>
        <w:rPr>
          <w:sz w:val="20"/>
          <w:szCs w:val="20"/>
          <w:color w:val="auto"/>
        </w:rPr>
      </w:pPr>
      <w:r>
        <w:rPr>
          <w:rFonts w:ascii="Arial" w:cs="Arial" w:eastAsia="Arial" w:hAnsi="Arial"/>
          <w:sz w:val="25"/>
          <w:szCs w:val="25"/>
          <w:b w:val="1"/>
          <w:bCs w:val="1"/>
          <w:color w:val="4C4C4C"/>
        </w:rPr>
        <w:t>Why did I receive a Notice of Availability of Proxy Materials instead of a full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1329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This year, we are using the internet as the primary means of delivering proxy materials to our shareholders. We are sending the Notice to our shareholders of record with instructions on how to access the proxy materials online at </w:t>
      </w:r>
      <w:r>
        <w:rPr>
          <w:rFonts w:ascii="Arial" w:cs="Arial" w:eastAsia="Arial" w:hAnsi="Arial"/>
          <w:sz w:val="18"/>
          <w:szCs w:val="18"/>
          <w:i w:val="1"/>
          <w:iCs w:val="1"/>
          <w:color w:val="auto"/>
        </w:rPr>
        <w:t>www.envisionreports.com/play</w:t>
      </w:r>
      <w:r>
        <w:rPr>
          <w:rFonts w:ascii="Arial" w:cs="Arial" w:eastAsia="Arial" w:hAnsi="Arial"/>
          <w:sz w:val="18"/>
          <w:szCs w:val="18"/>
          <w:color w:val="auto"/>
        </w:rPr>
        <w:t xml:space="preserve">. This Proxy Statement and our 2025 Annual Report are also included in our filings with the SEC, which you can access electronically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and are also available on our website at</w:t>
      </w:r>
      <w:r>
        <w:rPr>
          <w:rFonts w:ascii="Arial" w:cs="Arial" w:eastAsia="Arial" w:hAnsi="Arial"/>
          <w:sz w:val="18"/>
          <w:szCs w:val="18"/>
          <w:i w:val="1"/>
          <w:iCs w:val="1"/>
          <w:color w:val="auto"/>
        </w:rPr>
        <w:t xml:space="preserve"> www.daveandbusters.com</w:t>
      </w:r>
      <w:r>
        <w:rPr>
          <w:rFonts w:ascii="Arial" w:cs="Arial" w:eastAsia="Arial" w:hAnsi="Arial"/>
          <w:sz w:val="18"/>
          <w:szCs w:val="18"/>
          <w:color w:val="auto"/>
        </w:rPr>
        <w:t>.</w:t>
      </w:r>
    </w:p>
    <w:p>
      <w:pPr>
        <w:spacing w:after="0" w:line="67"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We encourage shareholders to take advantage of the availability of the proxy materials online to help reduce the environmental impact of our annual meetings and reduce our printing and mailing costs.</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Why are you holding the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are able to take advantage of the latest technology to conduct the Annual Meeting virtually eliminating many of the costs associated with a physical meeting. In addition, we anticipate that a virtual meeting will provide greater accessibility for shareholders, encourage shareholder participation from a broader geographic scope and improve our ability to communicate more effectively with our shareholders during the Annual Meeting. We will evaluate the success of the Annual Meeting in considering whether to continue to conduct the Annual Meeting virtually in the future.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How do I participate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Annual Meeting will be a completely virtual meeting of shareholders, which will be conducted exclusively by webcast. You are entitled to participate in the Annual Meeting only if you were a shareholder of the Company as of the close of business on the Record Date, or if you hold a valid proxy for the Annual Meeting. No physical Annual Meeting will be held. You will be able to listen to the Annual Meeting online and submit your questions during the meeting by visiting </w:t>
      </w:r>
      <w:r>
        <w:rPr>
          <w:rFonts w:ascii="Arial" w:cs="Arial" w:eastAsia="Arial" w:hAnsi="Arial"/>
          <w:sz w:val="18"/>
          <w:szCs w:val="18"/>
          <w:i w:val="1"/>
          <w:iCs w:val="1"/>
          <w:color w:val="auto"/>
        </w:rPr>
        <w:t>www.meetnow.global/MRYSKX5</w:t>
      </w:r>
      <w:r>
        <w:rPr>
          <w:rFonts w:ascii="Arial" w:cs="Arial" w:eastAsia="Arial" w:hAnsi="Arial"/>
          <w:sz w:val="18"/>
          <w:szCs w:val="18"/>
          <w:color w:val="auto"/>
        </w:rPr>
        <w:t>. You also will be able to vote your shares online by joining the Annual Meeting online.</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To register for and participate in the Annual Meeting, you will need to review the information and instructions included on your Notice, on your proxy card or on the instructions that accompanied your proxy materials, as applicable, including the control number.</w:t>
      </w:r>
    </w:p>
    <w:p>
      <w:pPr>
        <w:spacing w:after="0" w:line="15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If you hold your shares through an intermediary, such as a bank, broker or other nominee, you must register in advance using the instructions below. The online meeting will begin promptly at 4:30 p.m. Central Daylight Time. We encourage you to access the Annual Meeting prior to the start time leaving ample time for the check in. Please follow the registration instructions as outlined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71329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59</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5" w:name="page66"/>
    <w:bookmarkEnd w:id="65"/>
    <w:p>
      <w:pPr>
        <w:ind w:left="20"/>
        <w:spacing w:after="0"/>
        <w:rPr>
          <w:sz w:val="20"/>
          <w:szCs w:val="20"/>
          <w:color w:val="auto"/>
        </w:rPr>
      </w:pPr>
      <w:r>
        <w:rPr>
          <w:rFonts w:ascii="Arial" w:cs="Arial" w:eastAsia="Arial" w:hAnsi="Arial"/>
          <w:sz w:val="25"/>
          <w:szCs w:val="25"/>
          <w:b w:val="1"/>
          <w:bCs w:val="1"/>
          <w:color w:val="4C4C4C"/>
        </w:rPr>
        <w:t>How do I register to attend the Annual Meeting virtually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If you are a registered shareholder (i.e., you hold your shares through our transfer agent, Computershare Limited (“Computershare”)), you do not need to register to attend the Annual Meeting virtually on the internet. Please follow the instructions on the Notice or proxy card that you received. You will simply need to access the Annual Meeting through </w:t>
      </w:r>
      <w:r>
        <w:rPr>
          <w:rFonts w:ascii="Arial" w:cs="Arial" w:eastAsia="Arial" w:hAnsi="Arial"/>
          <w:sz w:val="18"/>
          <w:szCs w:val="18"/>
          <w:i w:val="1"/>
          <w:iCs w:val="1"/>
          <w:color w:val="auto"/>
        </w:rPr>
        <w:t>www.meetnow.global/MRYSKX5</w:t>
      </w:r>
      <w:r>
        <w:rPr>
          <w:rFonts w:ascii="Arial" w:cs="Arial" w:eastAsia="Arial" w:hAnsi="Arial"/>
          <w:sz w:val="18"/>
          <w:szCs w:val="18"/>
          <w:color w:val="auto"/>
        </w:rPr>
        <w:t>.</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you hold your shares through an intermediary, such as a bank, broker or other nominee, you must register in advance to attend the Annual Meeting by submitting a proof of your proxy power (legal proxy) reflecting your holdings along with your name and email address to Computershare. Requests for registration must be labeled as “Legal Proxy” and received no later than 5:00 p.m., Eastern Time, on June 4, 2026. You will receive a confirmation of your registration by email after we receive your registration materials. Requests for registration should be directed to us at the following: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email:</w:t>
      </w:r>
    </w:p>
    <w:p>
      <w:pPr>
        <w:spacing w:after="0" w:line="223" w:lineRule="exact"/>
        <w:rPr>
          <w:sz w:val="20"/>
          <w:szCs w:val="20"/>
          <w:color w:val="auto"/>
        </w:rPr>
      </w:pPr>
    </w:p>
    <w:p>
      <w:pPr>
        <w:ind w:left="660" w:right="2760"/>
        <w:spacing w:after="0" w:line="285" w:lineRule="auto"/>
        <w:rPr>
          <w:sz w:val="20"/>
          <w:szCs w:val="20"/>
          <w:color w:val="auto"/>
        </w:rPr>
      </w:pPr>
      <w:r>
        <w:rPr>
          <w:rFonts w:ascii="Arial" w:cs="Arial" w:eastAsia="Arial" w:hAnsi="Arial"/>
          <w:sz w:val="18"/>
          <w:szCs w:val="18"/>
          <w:color w:val="auto"/>
        </w:rPr>
        <w:t>Forward the email from your bank, broker or other nominee, or attach an image of your legal proxy, to legalproxy@computershare.com</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mail:</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Computershare Limited</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Dave &amp; Buster’s Entertainment, Inc. Legal Proxy</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 Box 43001</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Providence, RI 02940-3001</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What if I have trouble accessing the Annual Meeting virtually?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virtual meeting platform is fully supported across most browsers (MS Edge, Firefox, Chrome and Safari) and devices (desktops, laptops, tablets and cell phones) running the most up-to-date version of applicable software and plugins. </w:t>
      </w:r>
      <w:r>
        <w:rPr>
          <w:rFonts w:ascii="Arial" w:cs="Arial" w:eastAsia="Arial" w:hAnsi="Arial"/>
          <w:sz w:val="18"/>
          <w:szCs w:val="18"/>
          <w:i w:val="1"/>
          <w:iCs w:val="1"/>
          <w:color w:val="auto"/>
        </w:rPr>
        <w:t>Note: Internet Explorer is not a supported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browser. </w:t>
      </w:r>
      <w:r>
        <w:rPr>
          <w:rFonts w:ascii="Arial" w:cs="Arial" w:eastAsia="Arial" w:hAnsi="Arial"/>
          <w:sz w:val="18"/>
          <w:szCs w:val="18"/>
          <w:color w:val="auto"/>
        </w:rPr>
        <w:t>Participants should ensure that they have a strong WiFi connection wherever they intend to participate in the Annual Meeting. We</w:t>
      </w:r>
      <w:r>
        <w:rPr>
          <w:rFonts w:ascii="Arial" w:cs="Arial" w:eastAsia="Arial" w:hAnsi="Arial"/>
          <w:sz w:val="18"/>
          <w:szCs w:val="18"/>
          <w:i w:val="1"/>
          <w:iCs w:val="1"/>
          <w:color w:val="auto"/>
        </w:rPr>
        <w:t xml:space="preserve"> </w:t>
      </w:r>
      <w:r>
        <w:rPr>
          <w:rFonts w:ascii="Arial" w:cs="Arial" w:eastAsia="Arial" w:hAnsi="Arial"/>
          <w:sz w:val="18"/>
          <w:szCs w:val="18"/>
          <w:color w:val="auto"/>
        </w:rPr>
        <w:t>encourage you to access the Annual Meeting prior to the start time. For further assistance, you may call 1-888-724-2416.</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Can a guest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Only holders of record of our common stock at the close of business on April 23, 2026, which is the Record Date, will be entitled to participate and vote at the Annual Meeting. Guests may listen to the online webcast of the Annual Meeting at </w:t>
      </w:r>
      <w:r>
        <w:rPr>
          <w:rFonts w:ascii="Arial" w:cs="Arial" w:eastAsia="Arial" w:hAnsi="Arial"/>
          <w:sz w:val="18"/>
          <w:szCs w:val="18"/>
          <w:i w:val="1"/>
          <w:iCs w:val="1"/>
          <w:color w:val="auto"/>
        </w:rPr>
        <w:t>www.meetnow.global/MRYSKX5</w:t>
      </w:r>
      <w:r>
        <w:rPr>
          <w:rFonts w:ascii="Arial" w:cs="Arial" w:eastAsia="Arial" w:hAnsi="Arial"/>
          <w:sz w:val="18"/>
          <w:szCs w:val="18"/>
          <w:color w:val="auto"/>
        </w:rPr>
        <w:t>. Guests will not be allowed to vote or submit questions.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Who is allowed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Only holders of record of our common stock at the close of business on the Record Date will be entitled to vote at the Annual Meeting. At the close of business on April 23, 2026, we had 34,739,405 shares of common stock outstanding and entitled to vote.</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Holders of our common stock are entitled to one vote for each share held as of the close of business on the Record Date.</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A quorum is required for our shareholders to conduct business at the Annual Meeting. The holders of a majority in voting power of all issued and outstanding stock entitled to vote at the Annual Meeting, present online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71329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60</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66" w:name="page67"/>
    <w:bookmarkEnd w:id="66"/>
    <w:p>
      <w:pPr>
        <w:spacing w:after="0" w:line="285" w:lineRule="auto"/>
        <w:rPr>
          <w:sz w:val="20"/>
          <w:szCs w:val="20"/>
          <w:color w:val="auto"/>
        </w:rPr>
      </w:pPr>
      <w:r>
        <w:rPr>
          <w:rFonts w:ascii="Arial" w:cs="Arial" w:eastAsia="Arial" w:hAnsi="Arial"/>
          <w:sz w:val="18"/>
          <w:szCs w:val="18"/>
          <w:color w:val="auto"/>
        </w:rPr>
        <w:t>the meeting or represented by proxy, will constitute a quorum for the transaction of business. Abstentions and “broker non-votes” (described below) will be counted in determining whether there is a quorum.</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Annual Meeting is to:</w:t>
      </w:r>
    </w:p>
    <w:p>
      <w:pPr>
        <w:spacing w:after="0" w:line="115" w:lineRule="exact"/>
        <w:rPr>
          <w:sz w:val="20"/>
          <w:szCs w:val="20"/>
          <w:color w:val="auto"/>
        </w:rPr>
      </w:pPr>
    </w:p>
    <w:p>
      <w:pPr>
        <w:ind w:left="400" w:hanging="312"/>
        <w:spacing w:after="0"/>
        <w:tabs>
          <w:tab w:leader="none" w:pos="400" w:val="left"/>
        </w:tabs>
        <w:numPr>
          <w:ilvl w:val="0"/>
          <w:numId w:val="99"/>
        </w:numPr>
        <w:rPr>
          <w:rFonts w:ascii="Arial" w:cs="Arial" w:eastAsia="Arial" w:hAnsi="Arial"/>
          <w:sz w:val="18"/>
          <w:szCs w:val="18"/>
          <w:b w:val="1"/>
          <w:bCs w:val="1"/>
          <w:color w:val="003B71"/>
        </w:rPr>
      </w:pPr>
      <w:r>
        <w:rPr>
          <w:rFonts w:ascii="Arial" w:cs="Arial" w:eastAsia="Arial" w:hAnsi="Arial"/>
          <w:sz w:val="18"/>
          <w:szCs w:val="18"/>
          <w:color w:val="auto"/>
        </w:rPr>
        <w:t xml:space="preserve">Elect seven (7) directors (beginning at page </w:t>
      </w:r>
      <w:r>
        <w:rPr>
          <w:rFonts w:ascii="Arial" w:cs="Arial" w:eastAsia="Arial" w:hAnsi="Arial"/>
          <w:sz w:val="18"/>
          <w:szCs w:val="18"/>
          <w:color w:val="0000FF"/>
        </w:rPr>
        <w:t>5</w:t>
      </w:r>
      <w:r>
        <w:rPr>
          <w:rFonts w:ascii="Arial" w:cs="Arial" w:eastAsia="Arial" w:hAnsi="Arial"/>
          <w:sz w:val="18"/>
          <w:szCs w:val="18"/>
          <w:color w:val="auto"/>
        </w:rPr>
        <w:t>);</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99"/>
        </w:numPr>
        <w:rPr>
          <w:rFonts w:ascii="Arial" w:cs="Arial" w:eastAsia="Arial" w:hAnsi="Arial"/>
          <w:sz w:val="18"/>
          <w:szCs w:val="18"/>
          <w:b w:val="1"/>
          <w:bCs w:val="1"/>
          <w:color w:val="003B71"/>
        </w:rPr>
      </w:pPr>
      <w:r>
        <w:rPr>
          <w:rFonts w:ascii="Arial" w:cs="Arial" w:eastAsia="Arial" w:hAnsi="Arial"/>
          <w:sz w:val="18"/>
          <w:szCs w:val="18"/>
          <w:color w:val="auto"/>
        </w:rPr>
        <w:t xml:space="preserve">Ratify the selection of KPMG as our independent registered public accounting firm for fiscal 2026 (beginning at page </w:t>
      </w:r>
      <w:r>
        <w:rPr>
          <w:rFonts w:ascii="Arial" w:cs="Arial" w:eastAsia="Arial" w:hAnsi="Arial"/>
          <w:sz w:val="18"/>
          <w:szCs w:val="18"/>
          <w:color w:val="0000FF"/>
        </w:rPr>
        <w:t>11</w:t>
      </w:r>
      <w:r>
        <w:rPr>
          <w:rFonts w:ascii="Arial" w:cs="Arial" w:eastAsia="Arial" w:hAnsi="Arial"/>
          <w:sz w:val="18"/>
          <w:szCs w:val="18"/>
          <w:color w:val="auto"/>
        </w:rPr>
        <w:t>);</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99"/>
        </w:numPr>
        <w:rPr>
          <w:rFonts w:ascii="Arial" w:cs="Arial" w:eastAsia="Arial" w:hAnsi="Arial"/>
          <w:sz w:val="18"/>
          <w:szCs w:val="18"/>
          <w:b w:val="1"/>
          <w:bCs w:val="1"/>
          <w:color w:val="003B71"/>
        </w:rPr>
      </w:pPr>
      <w:r>
        <w:rPr>
          <w:rFonts w:ascii="Arial" w:cs="Arial" w:eastAsia="Arial" w:hAnsi="Arial"/>
          <w:sz w:val="18"/>
          <w:szCs w:val="18"/>
          <w:color w:val="auto"/>
        </w:rPr>
        <w:t xml:space="preserve">Cast an advisory vote on the compensation of our named executive officers (beginning at page </w:t>
      </w:r>
      <w:r>
        <w:rPr>
          <w:rFonts w:ascii="Arial" w:cs="Arial" w:eastAsia="Arial" w:hAnsi="Arial"/>
          <w:sz w:val="18"/>
          <w:szCs w:val="18"/>
          <w:color w:val="0000FF"/>
        </w:rPr>
        <w:t>12</w:t>
      </w:r>
      <w:r>
        <w:rPr>
          <w:rFonts w:ascii="Arial" w:cs="Arial" w:eastAsia="Arial" w:hAnsi="Arial"/>
          <w:sz w:val="18"/>
          <w:szCs w:val="18"/>
          <w:color w:val="auto"/>
        </w:rPr>
        <w:t>); and</w:t>
      </w:r>
    </w:p>
    <w:p>
      <w:pPr>
        <w:spacing w:after="0" w:line="115" w:lineRule="exact"/>
        <w:rPr>
          <w:rFonts w:ascii="Arial" w:cs="Arial" w:eastAsia="Arial" w:hAnsi="Arial"/>
          <w:sz w:val="18"/>
          <w:szCs w:val="18"/>
          <w:b w:val="1"/>
          <w:bCs w:val="1"/>
          <w:color w:val="003B71"/>
        </w:rPr>
      </w:pPr>
    </w:p>
    <w:p>
      <w:pPr>
        <w:ind w:left="400" w:hanging="312"/>
        <w:spacing w:after="0"/>
        <w:tabs>
          <w:tab w:leader="none" w:pos="400" w:val="left"/>
        </w:tabs>
        <w:numPr>
          <w:ilvl w:val="0"/>
          <w:numId w:val="99"/>
        </w:numPr>
        <w:rPr>
          <w:rFonts w:ascii="Arial" w:cs="Arial" w:eastAsia="Arial" w:hAnsi="Arial"/>
          <w:sz w:val="18"/>
          <w:szCs w:val="18"/>
          <w:b w:val="1"/>
          <w:bCs w:val="1"/>
          <w:color w:val="003B71"/>
        </w:rPr>
      </w:pPr>
      <w:r>
        <w:rPr>
          <w:rFonts w:ascii="Arial" w:cs="Arial" w:eastAsia="Arial" w:hAnsi="Arial"/>
          <w:sz w:val="18"/>
          <w:szCs w:val="18"/>
          <w:color w:val="auto"/>
        </w:rPr>
        <w:t>Conduct any other business properly brought before the Annual Meeting or any adjournment or postponement thereof.</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What vote is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 Proposal No. 1 – Election of Directors: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affirmative vote of the holders of a majority of the votes cast at the Annual Meeting is required to elect each of the seven (7) nominees for director. Abstentions and broker non-votes will have no effect on Proposal No.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Proposal No. 2 – Ratification of Appointment of Independent Registered Public Accounting Firm:</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Ratification requires the affirmative vote of the holders of a majority in voting power of the votes cast at the Annual Meeting by the holders of all of the shares of stock present or represented at the Annual Meeting and voting on such matter. Abstentions will have no effect on Proposal No. 2. Brokers are permitted to exercise their discretion and vote without specific instruction on this matter. Accordingly, we do not expect for there to be any broker non-votes with respect to Proposal No. 2.</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Proposal No. 3 – Advisory Vote on Executive Compensation:</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approval, in an advisory, non-binding vote, requires the affirmative vote of the holders of a majority in voting power of the votes cast at the Annual Meeting by the holders of all of the shares of stock present or represented at the Annual Meeting and voting on such matter. Abstentions and broker non-votes will have no effect on Proposal No. 3.</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25"/>
          <w:szCs w:val="25"/>
          <w:b w:val="1"/>
          <w:bCs w:val="1"/>
          <w:color w:val="4C4C4C"/>
        </w:rPr>
        <w:t>How do I vote my shares if I am a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37465</wp:posOffset>
            </wp:positionV>
            <wp:extent cx="70935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093585"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If you are a registered holder, meaning that you hold our stock directly (not through a bank, broker or other nominee), you may vote online at the Annual Meeting or you may vote by proxy prior to the Annual Meeting by using any of the following methods:</w:t>
      </w:r>
    </w:p>
    <w:p>
      <w:pPr>
        <w:spacing w:after="0" w:line="46" w:lineRule="exact"/>
        <w:rPr>
          <w:sz w:val="20"/>
          <w:szCs w:val="20"/>
          <w:color w:val="auto"/>
        </w:rPr>
      </w:pPr>
    </w:p>
    <w:p>
      <w:pPr>
        <w:ind w:left="400" w:hanging="312"/>
        <w:spacing w:after="0"/>
        <w:tabs>
          <w:tab w:leader="none" w:pos="400" w:val="left"/>
        </w:tabs>
        <w:numPr>
          <w:ilvl w:val="0"/>
          <w:numId w:val="100"/>
        </w:numPr>
        <w:rPr>
          <w:rFonts w:ascii="Arial" w:cs="Arial" w:eastAsia="Arial" w:hAnsi="Arial"/>
          <w:sz w:val="18"/>
          <w:szCs w:val="18"/>
          <w:b w:val="1"/>
          <w:bCs w:val="1"/>
          <w:color w:val="003B71"/>
        </w:rPr>
      </w:pPr>
      <w:r>
        <w:rPr>
          <w:rFonts w:ascii="Arial" w:cs="Arial" w:eastAsia="Arial" w:hAnsi="Arial"/>
          <w:sz w:val="18"/>
          <w:szCs w:val="18"/>
          <w:color w:val="auto"/>
        </w:rPr>
        <w:t xml:space="preserve">By Internet — By submitting your proxy via the internet at </w:t>
      </w:r>
      <w:r>
        <w:rPr>
          <w:rFonts w:ascii="Arial" w:cs="Arial" w:eastAsia="Arial" w:hAnsi="Arial"/>
          <w:sz w:val="18"/>
          <w:szCs w:val="18"/>
          <w:i w:val="1"/>
          <w:iCs w:val="1"/>
          <w:color w:val="auto"/>
        </w:rPr>
        <w:t>www.envisionreports.com/play</w:t>
      </w:r>
      <w:r>
        <w:rPr>
          <w:rFonts w:ascii="Arial" w:cs="Arial" w:eastAsia="Arial" w:hAnsi="Arial"/>
          <w:sz w:val="18"/>
          <w:szCs w:val="18"/>
          <w:color w:val="auto"/>
        </w:rPr>
        <w:t>.</w:t>
      </w:r>
    </w:p>
    <w:p>
      <w:pPr>
        <w:spacing w:after="0" w:line="115" w:lineRule="exact"/>
        <w:rPr>
          <w:rFonts w:ascii="Arial" w:cs="Arial" w:eastAsia="Arial" w:hAnsi="Arial"/>
          <w:sz w:val="18"/>
          <w:szCs w:val="18"/>
          <w:b w:val="1"/>
          <w:bCs w:val="1"/>
          <w:color w:val="003B71"/>
        </w:rPr>
      </w:pPr>
    </w:p>
    <w:p>
      <w:pPr>
        <w:ind w:left="420" w:hanging="332"/>
        <w:spacing w:after="0" w:line="285" w:lineRule="auto"/>
        <w:tabs>
          <w:tab w:leader="none" w:pos="415" w:val="left"/>
        </w:tabs>
        <w:numPr>
          <w:ilvl w:val="0"/>
          <w:numId w:val="100"/>
        </w:numPr>
        <w:rPr>
          <w:rFonts w:ascii="Arial" w:cs="Arial" w:eastAsia="Arial" w:hAnsi="Arial"/>
          <w:sz w:val="18"/>
          <w:szCs w:val="18"/>
          <w:b w:val="1"/>
          <w:bCs w:val="1"/>
          <w:color w:val="003B71"/>
        </w:rPr>
      </w:pPr>
      <w:r>
        <w:rPr>
          <w:rFonts w:ascii="Arial" w:cs="Arial" w:eastAsia="Arial" w:hAnsi="Arial"/>
          <w:sz w:val="18"/>
          <w:szCs w:val="18"/>
          <w:color w:val="auto"/>
        </w:rPr>
        <w:t>By Telephone — If you have requested to receive proxy materials by mail, by following the telephone voting instructions included on the enclosed proxy card.</w:t>
      </w:r>
    </w:p>
    <w:p>
      <w:pPr>
        <w:spacing w:after="0" w:line="45" w:lineRule="exact"/>
        <w:rPr>
          <w:rFonts w:ascii="Arial" w:cs="Arial" w:eastAsia="Arial" w:hAnsi="Arial"/>
          <w:sz w:val="18"/>
          <w:szCs w:val="18"/>
          <w:b w:val="1"/>
          <w:bCs w:val="1"/>
          <w:color w:val="003B71"/>
        </w:rPr>
      </w:pPr>
    </w:p>
    <w:p>
      <w:pPr>
        <w:jc w:val="both"/>
        <w:ind w:left="420" w:hanging="332"/>
        <w:spacing w:after="0" w:line="261" w:lineRule="auto"/>
        <w:tabs>
          <w:tab w:leader="none" w:pos="415" w:val="left"/>
        </w:tabs>
        <w:numPr>
          <w:ilvl w:val="0"/>
          <w:numId w:val="100"/>
        </w:numPr>
        <w:rPr>
          <w:rFonts w:ascii="Arial" w:cs="Arial" w:eastAsia="Arial" w:hAnsi="Arial"/>
          <w:sz w:val="18"/>
          <w:szCs w:val="18"/>
          <w:b w:val="1"/>
          <w:bCs w:val="1"/>
          <w:color w:val="003B71"/>
        </w:rPr>
      </w:pPr>
      <w:r>
        <w:rPr>
          <w:rFonts w:ascii="Arial" w:cs="Arial" w:eastAsia="Arial" w:hAnsi="Arial"/>
          <w:sz w:val="18"/>
          <w:szCs w:val="18"/>
          <w:color w:val="auto"/>
        </w:rPr>
        <w:t>By Mail — If you have requested to receive proxy materials by mail, by completing, signing and dating the enclosed proxy card where indicated, and by mailing or otherwise returning the proxy card in the envelope provided to you. 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Internet and telephone voting facilities will close at 10:59 p.m. Central Daylight Time on June 17, 2026 for the voting of shares held by shareholders of record. Mailed proxy cards should be returned in the envelope provided to you with your proxy card and must be received by June 17, 2026.</w:t>
      </w:r>
    </w:p>
    <w:p>
      <w:pPr>
        <w:spacing w:after="0" w:line="62"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All properly submitted proxies that are not revoked will be voted in accordance with the instructions contained therein. Signed proxies that give no instructions as to how they should be voted on a particular proposal at the Annual Meeting will be counted as votes “for” such proposal, and in the case of the election of directors, and as a vote “for” all nominees presented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29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61</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67" w:name="page68"/>
    <w:bookmarkEnd w:id="67"/>
    <w:p>
      <w:pPr>
        <w:jc w:val="both"/>
        <w:spacing w:after="0" w:line="285" w:lineRule="auto"/>
        <w:rPr>
          <w:sz w:val="20"/>
          <w:szCs w:val="20"/>
          <w:color w:val="auto"/>
        </w:rPr>
      </w:pPr>
      <w:r>
        <w:rPr>
          <w:rFonts w:ascii="Arial" w:cs="Arial" w:eastAsia="Arial" w:hAnsi="Arial"/>
          <w:sz w:val="18"/>
          <w:szCs w:val="18"/>
          <w:color w:val="auto"/>
        </w:rPr>
        <w:t>Your vote is important, and we strongly encourage you to vote your shares by following the instructions provided on the Notice or your proxy card. Please vote promptly.</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How do I vote my shares if they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your shares are held through a bank, broker or other nominee, you are considered the beneficial owner of those shares; this is commonly referred to as holding shares in “street name.” You may be able to vote by telephone or electronically through the internet in accordance with the voting instructions provided by your nominee. You must obtain a legal proxy from the nominee that holds your shares if you wish to vote online at the Annual Meeting. If you do not provide voting instructions to your bank, broker or other nominee in advance of the Annual Meeting, under the applicable rules that govern brokers, banks and other nominees who are voting with respect to shares held in street name, your broker has discretionary authority to vote on “routine” proposals. The ratification of the appointment of our independent public accounting firm in Proposal No. 2 is the only item on the agenda for the Annual Meeting that is considered routine. Where a proposal is not “routine,” a broker who has received no instructions from a client does not have discretion to vote such client’s uninstructed shares on that proposal, and the unvoted shares are referred to as “broker non-votes.”</w:t>
      </w:r>
    </w:p>
    <w:p>
      <w:pPr>
        <w:spacing w:after="0" w:line="234" w:lineRule="exact"/>
        <w:rPr>
          <w:sz w:val="20"/>
          <w:szCs w:val="20"/>
          <w:color w:val="auto"/>
        </w:rPr>
      </w:pPr>
    </w:p>
    <w:p>
      <w:pPr>
        <w:ind w:left="20" w:right="100"/>
        <w:spacing w:after="0" w:line="296" w:lineRule="auto"/>
        <w:rPr>
          <w:sz w:val="20"/>
          <w:szCs w:val="20"/>
          <w:color w:val="auto"/>
        </w:rPr>
      </w:pPr>
      <w:r>
        <w:rPr>
          <w:rFonts w:ascii="Arial" w:cs="Arial" w:eastAsia="Arial" w:hAnsi="Arial"/>
          <w:sz w:val="25"/>
          <w:szCs w:val="25"/>
          <w:b w:val="1"/>
          <w:bCs w:val="1"/>
          <w:color w:val="4C4C4C"/>
        </w:rPr>
        <w:t>Do I have any dissenters’ or appraisal rights with respect to any of the matters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10"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color w:val="auto"/>
        </w:rPr>
        <w:t>No. Delaware law does not provide shareholders any dissenters’ or appraisal rights with respect to the matters to be voted on at the Annual Meeting.</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What happens if not enough votes are received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In the event that sufficient votes in favor of the proposals are not received by the date of the Annual Meeting, the Chair of the Annual Meeting may adjourn the Annual Meeting to permit further solicitations of proxies.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How do you know I voted over the telephone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The telephone and internet voting procedures are designed to authenticate shareholders’ identities, to allow shareholders to give their voting instructions and to confirm that shareholders’ instructions have been recorded properly.</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Are there any costs to vote over the telephone or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Shareholders voting via the telephone or internet should understand that there may be costs associated with telephonic or electronic access, such as usage charges from telephone companies and internet access providers, which must be borne by the shareholder.</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Who pays for the solicitation of proxies and how are they solicited?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expenses of soliciting proxies to be voted at the Annual Meeting will be paid by the Company. Following the original distribution of the proxies and other soliciting materials, the Company and/or its directors, officers or employees (for no additional compensation) may also solicit proxies in person, by telephone, or email. Following the original distribution of the proxies and other soliciting materials, we will request that banks, brokers and other nominees distribute the proxy and other soliciting materials to persons for whom they hold shares of common stock and request authority for the exercise of proxies. We will reimburse banks, brokers and other nominees for reasonable charges and expenses incurred in distributing soliciting materials to their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1329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62</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sectPr>
      </w:pPr>
    </w:p>
    <w:bookmarkStart w:id="68" w:name="page69"/>
    <w:bookmarkEnd w:id="68"/>
    <w:p>
      <w:pPr>
        <w:ind w:left="20"/>
        <w:spacing w:after="0"/>
        <w:rPr>
          <w:sz w:val="20"/>
          <w:szCs w:val="20"/>
          <w:color w:val="auto"/>
        </w:rPr>
      </w:pPr>
      <w:r>
        <w:rPr>
          <w:rFonts w:ascii="Arial" w:cs="Arial" w:eastAsia="Arial" w:hAnsi="Arial"/>
          <w:sz w:val="25"/>
          <w:szCs w:val="25"/>
          <w:b w:val="1"/>
          <w:bCs w:val="1"/>
          <w:color w:val="4C4C4C"/>
        </w:rPr>
        <w:t>May I revoke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Any person submitting a proxy has the power to revoke it prior to the Annual Meeting or at the Annual Meeting. If you are a registered holder, your proxy may be revoked by (i) a writing delivered to the Company stating that the proxy is revoked, (ii) a subsequent proxy that is submitted via telephone or internet no later than 10:59 p.m., Central Daylight Time, on June 17, 2026, (iii) a subsequent proxy that is signed by the person who signed the earlier proxy and is delivered by June 17, 2026, or (iv) participating online during the Annual Meeting and voting. In order for beneficial owners to change any of their previously reported voting instructions, they must contact their bank, broker or other nominee directly.</w:t>
      </w:r>
    </w:p>
    <w:p>
      <w:pPr>
        <w:spacing w:after="0" w:line="180"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You should be aware that simply attending the Annual Meeting will not automatically revoke your previously submitted proxy. If you desire to do so, you must vote online during the Annual Meeting.</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What is 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adopted a procedure approved by the SEC called “householding” under which multiple shareholders who share the same address will receive only one copy of the 2025 Annual Report, Proxy Statement, or Notice, as applicable, unless we receive contrary instructions from one or more of the shareholders. If you wish to opt out of householding and receive multiple copies of the proxy materials at the same address, or if you have previously opted out and wish to participate in householding, you may do so by notifying us by mail at Dave &amp; Buster’s Entertainment, Inc., 1221 S. Belt Line Road, #500, Coppell, Texas 75019; Attn: Investor Relations or by email at </w:t>
      </w:r>
      <w:r>
        <w:rPr>
          <w:rFonts w:ascii="Arial" w:cs="Arial" w:eastAsia="Arial" w:hAnsi="Arial"/>
          <w:sz w:val="18"/>
          <w:szCs w:val="18"/>
          <w:u w:val="single" w:color="auto"/>
          <w:color w:val="auto"/>
        </w:rPr>
        <w:t>investorrelations@daveandbusters.com or by phone at (214) 357-9588</w:t>
      </w:r>
      <w:r>
        <w:rPr>
          <w:rFonts w:ascii="Arial" w:cs="Arial" w:eastAsia="Arial" w:hAnsi="Arial"/>
          <w:sz w:val="18"/>
          <w:szCs w:val="18"/>
          <w:color w:val="auto"/>
        </w:rPr>
        <w:t>. You may also request additional copies of the proxy materials by notifying us in writing at the same address or email address. Shareholders with shares registered in the name of a broker, bank or other nominee may contact their nominee to request information about householding.</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May I receive paper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Beginning on or around May 6, 2026, we mailed the Notice to all shareholders entitled to vote at the Annual Meeting with instructions on how to access our proxy materials over the internet and how to vote. If you received the Notice and would prefer to receive paper copies of the proxy materials, you may notify us at the email address and mailing address provided above.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How will my proxy get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If you are a registered holder and you vote over the phone or the internet or properly fill in and return a paper proxy card (if requested), the designated proxies (Tarun Lal and Rudy Rodriguez Jr.) will vote your shares as you have directed. If you submit a paper proxy card, but do not make specific choices, the designated proxies will vote your shares as recommended by the Board of Directors as follows:</w:t>
      </w:r>
    </w:p>
    <w:p>
      <w:pPr>
        <w:spacing w:after="0" w:line="62" w:lineRule="exact"/>
        <w:rPr>
          <w:sz w:val="20"/>
          <w:szCs w:val="20"/>
          <w:color w:val="auto"/>
        </w:rPr>
      </w:pPr>
    </w:p>
    <w:p>
      <w:pPr>
        <w:ind w:left="640" w:hanging="310"/>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election of all seven (7) nominees for director;</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ratification of the appointment of KPMG as our independent registered public accounting firm for fiscal 2026; and</w:t>
      </w:r>
    </w:p>
    <w:p>
      <w:pPr>
        <w:spacing w:after="0" w:line="115" w:lineRule="exact"/>
        <w:rPr>
          <w:rFonts w:ascii="Arial" w:cs="Arial" w:eastAsia="Arial" w:hAnsi="Arial"/>
          <w:sz w:val="18"/>
          <w:szCs w:val="18"/>
          <w:color w:val="auto"/>
        </w:rPr>
      </w:pPr>
    </w:p>
    <w:p>
      <w:pPr>
        <w:ind w:left="640" w:hanging="310"/>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approval, on an advisory, non-binding basis, of the compensation of our named executive officers.</w:t>
      </w:r>
    </w:p>
    <w:p>
      <w:pPr>
        <w:spacing w:after="0" w:line="200" w:lineRule="exact"/>
        <w:rPr>
          <w:sz w:val="20"/>
          <w:szCs w:val="20"/>
          <w:color w:val="auto"/>
        </w:rPr>
      </w:pPr>
    </w:p>
    <w:p>
      <w:pPr>
        <w:spacing w:after="0" w:line="26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If you are a “street name” holder and do not provide voting instructions on one or more proposals, your broker, bank or other nominee may be unable to vote your shares on all of the proposals other than the ratification of the appointment of KPMG (Proposal No. 2). See “How do I vote my shares if they are held in ‘street name’?”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255905</wp:posOffset>
            </wp:positionV>
            <wp:extent cx="71329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63</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69" w:name="page70"/>
    <w:bookmarkEnd w:id="69"/>
    <w:p>
      <w:pPr>
        <w:ind w:left="20"/>
        <w:spacing w:after="0"/>
        <w:rPr>
          <w:sz w:val="20"/>
          <w:szCs w:val="20"/>
          <w:color w:val="auto"/>
        </w:rPr>
      </w:pPr>
      <w:r>
        <w:rPr>
          <w:rFonts w:ascii="Arial" w:cs="Arial" w:eastAsia="Arial" w:hAnsi="Arial"/>
          <w:sz w:val="25"/>
          <w:szCs w:val="25"/>
          <w:b w:val="1"/>
          <w:bCs w:val="1"/>
          <w:color w:val="4C4C4C"/>
        </w:rPr>
        <w:t>How will voting on “any other business”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Although we do not know of any business to be considered at the Annual Meeting other than the proposals described in this Proxy Statement, if any additional business is properly brought before the Annual Meeting, your signed or electronically transmitted proxy card gives authority to the designated proxies to vote on such matters in their discretion.</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We have hired a third party, Computershare, to be our inspector of elections, be responsible for determining whether a quorum is present, and tabulate votes cast by proxy or online during the Annual Meeting.</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Where can I find the final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color w:val="auto"/>
        </w:rPr>
        <w:t>We expect to announce preliminary voting results at the Annual Meeting and publish final detailed voting results in a Form 8-K filed with the SEC within four business days following the Annual Meeting.</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4C4C4C"/>
        </w:rPr>
        <w:t>May shareholders ask questions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29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Yes, our representatives will answer your relevant questions after the conclusion of the formal business of the Annual Meeting. In order to give a greater number of shareholders an opportunity to ask questions, we may impose certain procedural requirements, such as limiting repetitive or follow-up questions, limiting the amount of time for questions, or requiring questions to be submitted in writing.</w:t>
      </w:r>
    </w:p>
    <w:p>
      <w:pPr>
        <w:spacing w:after="0" w:line="217" w:lineRule="exact"/>
        <w:rPr>
          <w:sz w:val="20"/>
          <w:szCs w:val="20"/>
          <w:color w:val="auto"/>
        </w:rPr>
      </w:pPr>
    </w:p>
    <w:p>
      <w:pPr>
        <w:ind w:left="20" w:right="680"/>
        <w:spacing w:after="0" w:line="296" w:lineRule="auto"/>
        <w:rPr>
          <w:sz w:val="20"/>
          <w:szCs w:val="20"/>
          <w:color w:val="auto"/>
        </w:rPr>
      </w:pPr>
      <w:r>
        <w:rPr>
          <w:rFonts w:ascii="Arial" w:cs="Arial" w:eastAsia="Arial" w:hAnsi="Arial"/>
          <w:sz w:val="25"/>
          <w:szCs w:val="25"/>
          <w:b w:val="1"/>
          <w:bCs w:val="1"/>
          <w:color w:val="4C4C4C"/>
        </w:rPr>
        <w:t>How long may I rely upon the information in this Proxy Statement? May I rely upon other materials as well regarding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29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not authorized anyone to provide you with information that is different from what is contained in this Proxy Statement. This Proxy Statement is dated May 6, 2026. You should not assume that the information contained in this Proxy Statement is accurate as of any date other than such date, unless otherwise indicated in this Proxy Statement, and the mailing of the Proxy Statement to you shall not create any implication to the contrary. We would encourage you to check our website or the SEC’s website for any required legal updates that we may make between the date of this Proxy Statement and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269875</wp:posOffset>
            </wp:positionV>
            <wp:extent cx="71329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64</w:t>
            </w:r>
          </w:p>
        </w:tc>
      </w:tr>
      <w:tr>
        <w:trPr>
          <w:trHeight w:val="210"/>
        </w:trPr>
        <w:tc>
          <w:tcPr>
            <w:tcW w:w="7040" w:type="dxa"/>
            <w:vAlign w:val="bottom"/>
            <w:tcBorders>
              <w:bottom w:val="single" w:sz="8" w:color="9A9A9A"/>
            </w:tcBorders>
          </w:tcPr>
          <w:p>
            <w:pPr>
              <w:spacing w:after="0"/>
              <w:rPr>
                <w:sz w:val="18"/>
                <w:szCs w:val="18"/>
                <w:color w:val="auto"/>
              </w:rPr>
            </w:pPr>
          </w:p>
        </w:tc>
        <w:tc>
          <w:tcPr>
            <w:tcW w:w="42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70" w:name="page71"/>
    <w:bookmarkEnd w:id="70"/>
    <w:p>
      <w:pPr>
        <w:spacing w:after="0"/>
        <w:rPr>
          <w:sz w:val="20"/>
          <w:szCs w:val="20"/>
          <w:color w:val="auto"/>
        </w:rPr>
      </w:pPr>
      <w:r>
        <w:rPr>
          <w:rFonts w:ascii="Arial" w:cs="Arial" w:eastAsia="Arial" w:hAnsi="Arial"/>
          <w:sz w:val="25"/>
          <w:szCs w:val="25"/>
          <w:color w:val="003B71"/>
        </w:rPr>
        <w:t>Appendix A - Supplemental Financial Information</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EBITDA represents net income (loss), plus interest expense, net, loss on debt refinancing, provision for (benefit from) income taxes, depreciation and amortization expense, share-based compensation, transaction and integration costs, system implementation costs, (gain) loss on property and equipment transactions and impairments, and other costs, net, as calculated below. Adjusted EBITDA is a non-GAAP financial measure commonly used in our industry and should not be construed as an alternative to net income as an indicator of operating performance or as an alternative to cash flow provided by operating activities as a measure of liquidity (as determined in accordance with GAAP). Adjusted EBITDA may not be comparable to similarly titled measures reported by other companies. 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 A reconciliation of net income to Adjusted EBITDA for the periods presented is provided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gridSpan w:val="2"/>
          </w:tcPr>
          <w:p>
            <w:pPr>
              <w:jc w:val="right"/>
              <w:ind w:right="490"/>
              <w:spacing w:after="0"/>
              <w:rPr>
                <w:sz w:val="20"/>
                <w:szCs w:val="20"/>
                <w:color w:val="auto"/>
              </w:rPr>
            </w:pPr>
            <w:r>
              <w:rPr>
                <w:rFonts w:ascii="Arial" w:cs="Arial" w:eastAsia="Arial" w:hAnsi="Arial"/>
                <w:sz w:val="18"/>
                <w:szCs w:val="18"/>
                <w:color w:val="auto"/>
              </w:rPr>
              <w:t>Fiscal Year</w:t>
            </w:r>
          </w:p>
        </w:tc>
        <w:tc>
          <w:tcPr>
            <w:tcW w:w="560" w:type="dxa"/>
            <w:vAlign w:val="bottom"/>
          </w:tcPr>
          <w:p>
            <w:pPr>
              <w:spacing w:after="0"/>
              <w:rPr>
                <w:sz w:val="20"/>
                <w:szCs w:val="20"/>
                <w:color w:val="auto"/>
              </w:rPr>
            </w:pPr>
          </w:p>
        </w:tc>
      </w:tr>
      <w:tr>
        <w:trPr>
          <w:trHeight w:val="23"/>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40"/>
        </w:trPr>
        <w:tc>
          <w:tcPr>
            <w:tcW w:w="8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2025</w:t>
            </w: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2024</w:t>
            </w:r>
          </w:p>
        </w:tc>
        <w:tc>
          <w:tcPr>
            <w:tcW w:w="560" w:type="dxa"/>
            <w:vAlign w:val="bottom"/>
          </w:tcPr>
          <w:p>
            <w:pPr>
              <w:spacing w:after="0"/>
              <w:rPr>
                <w:sz w:val="20"/>
                <w:szCs w:val="20"/>
                <w:color w:val="auto"/>
              </w:rPr>
            </w:pPr>
          </w:p>
        </w:tc>
      </w:tr>
      <w:tr>
        <w:trPr>
          <w:trHeight w:val="23"/>
        </w:trPr>
        <w:tc>
          <w:tcPr>
            <w:tcW w:w="8100" w:type="dxa"/>
            <w:vAlign w:val="bottom"/>
          </w:tcPr>
          <w:p>
            <w:pPr>
              <w:spacing w:after="0" w:line="20" w:lineRule="exact"/>
              <w:rPr>
                <w:sz w:val="1"/>
                <w:szCs w:val="1"/>
                <w:color w:val="auto"/>
              </w:rPr>
            </w:pPr>
          </w:p>
        </w:tc>
        <w:tc>
          <w:tcPr>
            <w:tcW w:w="2580" w:type="dxa"/>
            <w:vAlign w:val="bottom"/>
            <w:tcBorders>
              <w:bottom w:val="single" w:sz="8" w:color="00497F"/>
            </w:tcBorders>
            <w:gridSpan w:val="3"/>
          </w:tcPr>
          <w:p>
            <w:pPr>
              <w:spacing w:after="0" w:line="20" w:lineRule="exact"/>
              <w:rPr>
                <w:sz w:val="1"/>
                <w:szCs w:val="1"/>
                <w:color w:val="auto"/>
              </w:rPr>
            </w:pPr>
          </w:p>
        </w:tc>
        <w:tc>
          <w:tcPr>
            <w:tcW w:w="560" w:type="dxa"/>
            <w:vAlign w:val="bottom"/>
            <w:tcBorders>
              <w:bottom w:val="single" w:sz="8" w:color="00497F"/>
            </w:tcBorders>
          </w:tcPr>
          <w:p>
            <w:pPr>
              <w:spacing w:after="0" w:line="20" w:lineRule="exact"/>
              <w:rPr>
                <w:sz w:val="1"/>
                <w:szCs w:val="1"/>
                <w:color w:val="auto"/>
              </w:rPr>
            </w:pPr>
          </w:p>
        </w:tc>
      </w:tr>
      <w:tr>
        <w:trPr>
          <w:trHeight w:val="228"/>
        </w:trPr>
        <w:tc>
          <w:tcPr>
            <w:tcW w:w="8100" w:type="dxa"/>
            <w:vAlign w:val="bottom"/>
          </w:tcPr>
          <w:p>
            <w:pPr>
              <w:spacing w:after="0"/>
              <w:rPr>
                <w:sz w:val="19"/>
                <w:szCs w:val="19"/>
                <w:color w:val="auto"/>
              </w:rPr>
            </w:pPr>
          </w:p>
        </w:tc>
        <w:tc>
          <w:tcPr>
            <w:tcW w:w="2580" w:type="dxa"/>
            <w:vAlign w:val="bottom"/>
            <w:gridSpan w:val="3"/>
          </w:tcPr>
          <w:p>
            <w:pPr>
              <w:jc w:val="right"/>
              <w:ind w:right="110"/>
              <w:spacing w:after="0"/>
              <w:rPr>
                <w:sz w:val="20"/>
                <w:szCs w:val="20"/>
                <w:color w:val="auto"/>
              </w:rPr>
            </w:pPr>
            <w:r>
              <w:rPr>
                <w:rFonts w:ascii="Arial" w:cs="Arial" w:eastAsia="Arial" w:hAnsi="Arial"/>
                <w:sz w:val="16"/>
                <w:szCs w:val="16"/>
                <w:i w:val="1"/>
                <w:iCs w:val="1"/>
                <w:color w:val="auto"/>
              </w:rPr>
              <w:t>(unaudited, in millions)</w:t>
            </w:r>
          </w:p>
        </w:tc>
        <w:tc>
          <w:tcPr>
            <w:tcW w:w="560" w:type="dxa"/>
            <w:vAlign w:val="bottom"/>
          </w:tcPr>
          <w:p>
            <w:pPr>
              <w:spacing w:after="0"/>
              <w:rPr>
                <w:sz w:val="19"/>
                <w:szCs w:val="19"/>
                <w:color w:val="auto"/>
              </w:rPr>
            </w:pPr>
          </w:p>
        </w:tc>
      </w:tr>
      <w:tr>
        <w:trPr>
          <w:trHeight w:val="256"/>
        </w:trPr>
        <w:tc>
          <w:tcPr>
            <w:tcW w:w="81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DBDBDB"/>
            </w:tcBorders>
            <w:shd w:val="clear" w:color="auto" w:fill="DBDBDB"/>
          </w:tcPr>
          <w:p>
            <w:pPr>
              <w:jc w:val="right"/>
              <w:ind w:right="8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(48.7)</w:t>
            </w:r>
          </w:p>
        </w:tc>
        <w:tc>
          <w:tcPr>
            <w:tcW w:w="1020" w:type="dxa"/>
            <w:vAlign w:val="bottom"/>
            <w:tcBorders>
              <w:bottom w:val="single" w:sz="8" w:color="DBDBDB"/>
            </w:tcBorders>
            <w:shd w:val="clear" w:color="auto" w:fill="DBDBDB"/>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58.3</w:t>
            </w:r>
          </w:p>
        </w:tc>
      </w:tr>
      <w:tr>
        <w:trPr>
          <w:trHeight w:val="246"/>
        </w:trPr>
        <w:tc>
          <w:tcPr>
            <w:tcW w:w="8100" w:type="dxa"/>
            <w:vAlign w:val="bottom"/>
          </w:tcPr>
          <w:p>
            <w:pPr>
              <w:ind w:left="20"/>
              <w:spacing w:after="0"/>
              <w:rPr>
                <w:sz w:val="20"/>
                <w:szCs w:val="20"/>
                <w:color w:val="auto"/>
              </w:rPr>
            </w:pPr>
            <w:r>
              <w:rPr>
                <w:rFonts w:ascii="Arial" w:cs="Arial" w:eastAsia="Arial" w:hAnsi="Arial"/>
                <w:sz w:val="18"/>
                <w:szCs w:val="18"/>
                <w:color w:val="auto"/>
              </w:rPr>
              <w:t>Add (deduct):</w:t>
            </w:r>
          </w:p>
        </w:tc>
        <w:tc>
          <w:tcPr>
            <w:tcW w:w="1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3"/>
        </w:trPr>
        <w:tc>
          <w:tcPr>
            <w:tcW w:w="8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810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8"/>
                <w:szCs w:val="18"/>
                <w:color w:val="auto"/>
              </w:rPr>
              <w:t>Interest expense, net</w:t>
            </w:r>
          </w:p>
        </w:tc>
        <w:tc>
          <w:tcPr>
            <w:tcW w:w="102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154.0</w:t>
            </w:r>
          </w:p>
        </w:tc>
        <w:tc>
          <w:tcPr>
            <w:tcW w:w="102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135.3</w:t>
            </w:r>
          </w:p>
        </w:tc>
      </w:tr>
      <w:tr>
        <w:trPr>
          <w:trHeight w:val="246"/>
        </w:trPr>
        <w:tc>
          <w:tcPr>
            <w:tcW w:w="8100" w:type="dxa"/>
            <w:vAlign w:val="bottom"/>
          </w:tcPr>
          <w:p>
            <w:pPr>
              <w:ind w:left="300"/>
              <w:spacing w:after="0"/>
              <w:rPr>
                <w:sz w:val="20"/>
                <w:szCs w:val="20"/>
                <w:color w:val="auto"/>
              </w:rPr>
            </w:pPr>
            <w:r>
              <w:rPr>
                <w:rFonts w:ascii="Arial" w:cs="Arial" w:eastAsia="Arial" w:hAnsi="Arial"/>
                <w:sz w:val="18"/>
                <w:szCs w:val="18"/>
                <w:color w:val="auto"/>
              </w:rPr>
              <w:t>Loss on debt refinancing</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3"/>
        </w:trPr>
        <w:tc>
          <w:tcPr>
            <w:tcW w:w="8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9"/>
        </w:trPr>
        <w:tc>
          <w:tcPr>
            <w:tcW w:w="8100" w:type="dxa"/>
            <w:vAlign w:val="bottom"/>
            <w:tcBorders>
              <w:bottom w:val="single" w:sz="8" w:color="DBDBDB"/>
            </w:tcBorders>
            <w:shd w:val="clear" w:color="auto" w:fill="DBDBDB"/>
          </w:tcPr>
          <w:p>
            <w:pPr>
              <w:ind w:left="300"/>
              <w:spacing w:after="0"/>
              <w:rPr>
                <w:sz w:val="20"/>
                <w:szCs w:val="20"/>
                <w:color w:val="auto"/>
              </w:rPr>
            </w:pPr>
            <w:r>
              <w:rPr>
                <w:rFonts w:ascii="Arial" w:cs="Arial" w:eastAsia="Arial" w:hAnsi="Arial"/>
                <w:sz w:val="18"/>
                <w:szCs w:val="18"/>
                <w:color w:val="auto"/>
              </w:rPr>
              <w:t>Provision for income tax</w:t>
            </w:r>
          </w:p>
        </w:tc>
        <w:tc>
          <w:tcPr>
            <w:tcW w:w="102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(19.2)</w:t>
            </w:r>
          </w:p>
        </w:tc>
        <w:tc>
          <w:tcPr>
            <w:tcW w:w="1020" w:type="dxa"/>
            <w:vAlign w:val="bottom"/>
            <w:tcBorders>
              <w:bottom w:val="single" w:sz="8" w:color="DBDBDB"/>
            </w:tcBorders>
            <w:shd w:val="clear" w:color="auto" w:fill="DBDBDB"/>
          </w:tcPr>
          <w:p>
            <w:pPr>
              <w:spacing w:after="0"/>
              <w:rPr>
                <w:sz w:val="21"/>
                <w:szCs w:val="21"/>
                <w:color w:val="auto"/>
              </w:rPr>
            </w:pPr>
          </w:p>
        </w:tc>
        <w:tc>
          <w:tcPr>
            <w:tcW w:w="5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11.6</w:t>
            </w:r>
          </w:p>
        </w:tc>
      </w:tr>
      <w:tr>
        <w:trPr>
          <w:trHeight w:val="246"/>
        </w:trPr>
        <w:tc>
          <w:tcPr>
            <w:tcW w:w="810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279.4</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238.2</w:t>
            </w:r>
          </w:p>
        </w:tc>
      </w:tr>
      <w:tr>
        <w:trPr>
          <w:trHeight w:val="23"/>
        </w:trPr>
        <w:tc>
          <w:tcPr>
            <w:tcW w:w="8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9"/>
        </w:trPr>
        <w:tc>
          <w:tcPr>
            <w:tcW w:w="81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(1)</w:t>
            </w:r>
          </w:p>
        </w:tc>
        <w:tc>
          <w:tcPr>
            <w:tcW w:w="1020" w:type="dxa"/>
            <w:vAlign w:val="bottom"/>
            <w:shd w:val="clear" w:color="auto" w:fill="DBDBDB"/>
          </w:tcPr>
          <w:p>
            <w:pPr>
              <w:spacing w:after="0"/>
              <w:rPr>
                <w:sz w:val="23"/>
                <w:szCs w:val="2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19.6</w:t>
            </w:r>
          </w:p>
        </w:tc>
        <w:tc>
          <w:tcPr>
            <w:tcW w:w="1020" w:type="dxa"/>
            <w:vAlign w:val="bottom"/>
            <w:shd w:val="clear" w:color="auto" w:fill="DBDBDB"/>
          </w:tcPr>
          <w:p>
            <w:pPr>
              <w:spacing w:after="0"/>
              <w:rPr>
                <w:sz w:val="23"/>
                <w:szCs w:val="23"/>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w:t>
            </w:r>
          </w:p>
        </w:tc>
      </w:tr>
      <w:tr>
        <w:trPr>
          <w:trHeight w:val="269"/>
        </w:trPr>
        <w:tc>
          <w:tcPr>
            <w:tcW w:w="8100" w:type="dxa"/>
            <w:vAlign w:val="bottom"/>
          </w:tcPr>
          <w:p>
            <w:pPr>
              <w:ind w:left="300"/>
              <w:spacing w:after="0"/>
              <w:rPr>
                <w:sz w:val="20"/>
                <w:szCs w:val="20"/>
                <w:color w:val="auto"/>
              </w:rPr>
            </w:pPr>
            <w:r>
              <w:rPr>
                <w:rFonts w:ascii="Arial" w:cs="Arial" w:eastAsia="Arial" w:hAnsi="Arial"/>
                <w:sz w:val="18"/>
                <w:szCs w:val="18"/>
                <w:color w:val="auto"/>
              </w:rPr>
              <w:t>Transaction and integration costs</w:t>
            </w:r>
            <w:r>
              <w:rPr>
                <w:rFonts w:ascii="Arial" w:cs="Arial" w:eastAsia="Arial" w:hAnsi="Arial"/>
                <w:sz w:val="23"/>
                <w:szCs w:val="23"/>
                <w:color w:val="auto"/>
                <w:vertAlign w:val="superscript"/>
              </w:rPr>
              <w:t>(2)</w:t>
            </w:r>
          </w:p>
        </w:tc>
        <w:tc>
          <w:tcPr>
            <w:tcW w:w="10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0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9"/>
        </w:trPr>
        <w:tc>
          <w:tcPr>
            <w:tcW w:w="81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System implementation costs</w:t>
            </w:r>
            <w:r>
              <w:rPr>
                <w:rFonts w:ascii="Arial" w:cs="Arial" w:eastAsia="Arial" w:hAnsi="Arial"/>
                <w:sz w:val="23"/>
                <w:szCs w:val="23"/>
                <w:color w:val="auto"/>
                <w:vertAlign w:val="superscript"/>
              </w:rPr>
              <w:t>(3)</w:t>
            </w:r>
          </w:p>
        </w:tc>
        <w:tc>
          <w:tcPr>
            <w:tcW w:w="1020" w:type="dxa"/>
            <w:vAlign w:val="bottom"/>
            <w:shd w:val="clear" w:color="auto" w:fill="DBDBDB"/>
          </w:tcPr>
          <w:p>
            <w:pPr>
              <w:spacing w:after="0"/>
              <w:rPr>
                <w:sz w:val="23"/>
                <w:szCs w:val="2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020" w:type="dxa"/>
            <w:vAlign w:val="bottom"/>
            <w:shd w:val="clear" w:color="auto" w:fill="DBDBDB"/>
          </w:tcPr>
          <w:p>
            <w:pPr>
              <w:spacing w:after="0"/>
              <w:rPr>
                <w:sz w:val="23"/>
                <w:szCs w:val="23"/>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w:t>
            </w:r>
          </w:p>
        </w:tc>
      </w:tr>
      <w:tr>
        <w:trPr>
          <w:trHeight w:val="223"/>
        </w:trPr>
        <w:tc>
          <w:tcPr>
            <w:tcW w:w="8100" w:type="dxa"/>
            <w:vAlign w:val="bottom"/>
          </w:tcPr>
          <w:p>
            <w:pPr>
              <w:ind w:left="300"/>
              <w:spacing w:after="0" w:line="223" w:lineRule="exact"/>
              <w:rPr>
                <w:sz w:val="20"/>
                <w:szCs w:val="20"/>
                <w:color w:val="auto"/>
              </w:rPr>
            </w:pPr>
            <w:r>
              <w:rPr>
                <w:rFonts w:ascii="Arial" w:cs="Arial" w:eastAsia="Arial" w:hAnsi="Arial"/>
                <w:sz w:val="18"/>
                <w:szCs w:val="18"/>
                <w:color w:val="auto"/>
              </w:rPr>
              <w:t>Loss on property and equipment</w:t>
            </w:r>
            <w:r>
              <w:rPr>
                <w:rFonts w:ascii="Arial" w:cs="Arial" w:eastAsia="Arial" w:hAnsi="Arial"/>
                <w:sz w:val="23"/>
                <w:szCs w:val="23"/>
                <w:color w:val="auto"/>
                <w:vertAlign w:val="superscript"/>
              </w:rPr>
              <w:t>(4)</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8"/>
        </w:trPr>
        <w:tc>
          <w:tcPr>
            <w:tcW w:w="8100" w:type="dxa"/>
            <w:vAlign w:val="bottom"/>
          </w:tcPr>
          <w:p>
            <w:pPr>
              <w:ind w:left="460"/>
              <w:spacing w:after="0"/>
              <w:rPr>
                <w:sz w:val="20"/>
                <w:szCs w:val="20"/>
                <w:color w:val="auto"/>
              </w:rPr>
            </w:pPr>
            <w:r>
              <w:rPr>
                <w:rFonts w:ascii="Arial" w:cs="Arial" w:eastAsia="Arial" w:hAnsi="Arial"/>
                <w:sz w:val="18"/>
                <w:szCs w:val="18"/>
                <w:color w:val="auto"/>
              </w:rPr>
              <w:t>transactions and impairments</w:t>
            </w: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36.9</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
        </w:trPr>
        <w:tc>
          <w:tcPr>
            <w:tcW w:w="8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9"/>
        </w:trPr>
        <w:tc>
          <w:tcPr>
            <w:tcW w:w="8100" w:type="dxa"/>
            <w:vAlign w:val="bottom"/>
            <w:shd w:val="clear" w:color="auto" w:fill="DBDBDB"/>
          </w:tcPr>
          <w:p>
            <w:pPr>
              <w:ind w:left="300"/>
              <w:spacing w:after="0"/>
              <w:rPr>
                <w:sz w:val="20"/>
                <w:szCs w:val="20"/>
                <w:color w:val="auto"/>
              </w:rPr>
            </w:pPr>
            <w:r>
              <w:rPr>
                <w:rFonts w:ascii="Arial" w:cs="Arial" w:eastAsia="Arial" w:hAnsi="Arial"/>
                <w:sz w:val="18"/>
                <w:szCs w:val="18"/>
                <w:color w:val="auto"/>
              </w:rPr>
              <w:t>Other costs, net</w:t>
            </w:r>
            <w:r>
              <w:rPr>
                <w:rFonts w:ascii="Arial" w:cs="Arial" w:eastAsia="Arial" w:hAnsi="Arial"/>
                <w:sz w:val="23"/>
                <w:szCs w:val="23"/>
                <w:color w:val="auto"/>
                <w:vertAlign w:val="superscript"/>
              </w:rPr>
              <w:t>(5)</w:t>
            </w:r>
          </w:p>
        </w:tc>
        <w:tc>
          <w:tcPr>
            <w:tcW w:w="1020" w:type="dxa"/>
            <w:vAlign w:val="bottom"/>
            <w:tcBorders>
              <w:bottom w:val="single" w:sz="8" w:color="auto"/>
            </w:tcBorders>
            <w:shd w:val="clear" w:color="auto" w:fill="DBDBDB"/>
          </w:tcPr>
          <w:p>
            <w:pPr>
              <w:spacing w:after="0"/>
              <w:rPr>
                <w:sz w:val="23"/>
                <w:szCs w:val="23"/>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10.6</w:t>
            </w:r>
          </w:p>
        </w:tc>
        <w:tc>
          <w:tcPr>
            <w:tcW w:w="1020" w:type="dxa"/>
            <w:vAlign w:val="bottom"/>
            <w:tcBorders>
              <w:bottom w:val="single" w:sz="8" w:color="auto"/>
            </w:tcBorders>
            <w:shd w:val="clear" w:color="auto" w:fill="DBDBDB"/>
          </w:tcPr>
          <w:p>
            <w:pPr>
              <w:spacing w:after="0"/>
              <w:rPr>
                <w:sz w:val="23"/>
                <w:szCs w:val="23"/>
                <w:color w:val="auto"/>
              </w:rPr>
            </w:pP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11.8</w:t>
            </w:r>
          </w:p>
        </w:tc>
      </w:tr>
      <w:tr>
        <w:trPr>
          <w:trHeight w:val="262"/>
        </w:trPr>
        <w:tc>
          <w:tcPr>
            <w:tcW w:w="8100" w:type="dxa"/>
            <w:vAlign w:val="bottom"/>
          </w:tcPr>
          <w:p>
            <w:pPr>
              <w:ind w:left="20"/>
              <w:spacing w:after="0"/>
              <w:rPr>
                <w:sz w:val="20"/>
                <w:szCs w:val="20"/>
                <w:color w:val="auto"/>
              </w:rPr>
            </w:pPr>
            <w:r>
              <w:rPr>
                <w:rFonts w:ascii="Arial" w:cs="Arial" w:eastAsia="Arial" w:hAnsi="Arial"/>
                <w:sz w:val="18"/>
                <w:szCs w:val="18"/>
                <w:color w:val="auto"/>
              </w:rPr>
              <w:t>Adjusted EBITDA, a non-GAAP measure</w:t>
            </w:r>
          </w:p>
        </w:tc>
        <w:tc>
          <w:tcPr>
            <w:tcW w:w="1020" w:type="dxa"/>
            <w:vAlign w:val="bottom"/>
            <w:tcBorders>
              <w:bottom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506.2</w:t>
            </w:r>
          </w:p>
        </w:tc>
      </w:tr>
      <w:tr>
        <w:trPr>
          <w:trHeight w:val="20"/>
        </w:trPr>
        <w:tc>
          <w:tcPr>
            <w:tcW w:w="8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right="20" w:hanging="333"/>
        <w:spacing w:after="0" w:line="221" w:lineRule="auto"/>
        <w:tabs>
          <w:tab w:leader="none" w:pos="434"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Non-cash share-based compensation expense, net of forfeitures, recorded in “General and administrative expenses” on the Consolidated Statement of Comprehensive Income (Loss).</w:t>
      </w:r>
    </w:p>
    <w:p>
      <w:pPr>
        <w:ind w:left="340" w:hanging="333"/>
        <w:spacing w:after="0" w:line="204" w:lineRule="auto"/>
        <w:tabs>
          <w:tab w:leader="none" w:pos="515"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Transaction and integration costs related to the acquisition and integration of Main Event recorded in “General and administrative expenses” on the Consolidated Statement of Comprehensive Income (Loss).</w:t>
      </w:r>
    </w:p>
    <w:p>
      <w:pPr>
        <w:spacing w:after="0" w:line="1" w:lineRule="exact"/>
        <w:rPr>
          <w:rFonts w:ascii="Arial" w:cs="Arial" w:eastAsia="Arial" w:hAnsi="Arial"/>
          <w:sz w:val="21"/>
          <w:szCs w:val="21"/>
          <w:color w:val="auto"/>
          <w:vertAlign w:val="superscript"/>
        </w:rPr>
      </w:pPr>
    </w:p>
    <w:p>
      <w:pPr>
        <w:jc w:val="both"/>
        <w:ind w:left="340" w:hanging="333"/>
        <w:spacing w:after="0" w:line="222" w:lineRule="auto"/>
        <w:tabs>
          <w:tab w:leader="none" w:pos="382"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System implementation costs represent expenses incurred related to the development of new enterprise resource planning, human capital management and inventory software for our stores and store support teams. These charges are recorded in “Other charges and gains” on the Consolidated Statement of Comprehensive Income (Loss).</w:t>
      </w:r>
    </w:p>
    <w:p>
      <w:pPr>
        <w:jc w:val="both"/>
        <w:ind w:left="340" w:hanging="333"/>
        <w:spacing w:after="0" w:line="227" w:lineRule="auto"/>
        <w:tabs>
          <w:tab w:leader="none" w:pos="477"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The amount related to fiscal 2025 primarily consisted of $17.8 million of impairment of long-lived assets and a $19.1 million loss on property and equipment transactions. The amount related to fiscal 2024 primarily consisted of $3.9 million of impairment of long-lived assets and a $12.8 million loss on property and equipment transactions. The impairment charges recorded in each period were related to underperforming stores identified in the respective periods as a result of the Company’s annual evaluation of long-lived assets. The loss on property and equipment transactions for each period consisted of assets disposed of or no longer in use, partially offset by gains resulting from lease terminations. These charges are recorded in “Other charges and gains” on the Consolidated Statement of Comprehensive Income (Loss).</w:t>
      </w:r>
    </w:p>
    <w:p>
      <w:pPr>
        <w:spacing w:after="0" w:line="3" w:lineRule="exact"/>
        <w:rPr>
          <w:rFonts w:ascii="Arial" w:cs="Arial" w:eastAsia="Arial" w:hAnsi="Arial"/>
          <w:sz w:val="21"/>
          <w:szCs w:val="21"/>
          <w:color w:val="auto"/>
          <w:vertAlign w:val="superscript"/>
        </w:rPr>
      </w:pPr>
    </w:p>
    <w:p>
      <w:pPr>
        <w:jc w:val="both"/>
        <w:ind w:left="340" w:hanging="333"/>
        <w:spacing w:after="0" w:line="235" w:lineRule="auto"/>
        <w:tabs>
          <w:tab w:leader="none" w:pos="359" w:val="left"/>
        </w:tabs>
        <w:numPr>
          <w:ilvl w:val="0"/>
          <w:numId w:val="102"/>
        </w:numPr>
        <w:rPr>
          <w:rFonts w:ascii="Arial" w:cs="Arial" w:eastAsia="Arial" w:hAnsi="Arial"/>
          <w:sz w:val="21"/>
          <w:szCs w:val="21"/>
          <w:color w:val="auto"/>
          <w:vertAlign w:val="superscript"/>
        </w:rPr>
      </w:pPr>
      <w:r>
        <w:rPr>
          <w:rFonts w:ascii="Arial" w:cs="Arial" w:eastAsia="Arial" w:hAnsi="Arial"/>
          <w:sz w:val="16"/>
          <w:szCs w:val="16"/>
          <w:color w:val="auto"/>
        </w:rPr>
        <w:t>These amounts primarily consisted of one-time, third-party consulting fees, discretionary retention incentives and severance. The third-party consulting fees for fiscal 2025 were not part of our ongoing operations and were incurred in association with a change in leadership to execute a discrete, project-based strategic initiative aimed at analyzing and summarizing growth opportunities for the Company. The third-party consulting fees for fiscal 2024 were not part of our ongoing operations and were incurred to execute two related, discrete, and project-based strategic initiatives aimed at transforming our marketing strategy and one discrete, project-based initiative to transform our supply chain operational efficiency. The transformative nature, narrow scope, and limited duration of these incremental consulting fees are not reflective of the ordinary course expenses incurred to operate our business. Third-party consulting fees, discretionary retention incentives and severance costs are included in General and administrative expenses on the 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29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ind w:left="20"/>
              <w:spacing w:after="0"/>
              <w:rPr>
                <w:sz w:val="20"/>
                <w:szCs w:val="20"/>
                <w:color w:val="auto"/>
              </w:rPr>
            </w:pPr>
            <w:r>
              <w:rPr>
                <w:rFonts w:ascii="Arial" w:cs="Arial" w:eastAsia="Arial" w:hAnsi="Arial"/>
                <w:sz w:val="18"/>
                <w:szCs w:val="18"/>
                <w:b w:val="1"/>
                <w:bCs w:val="1"/>
                <w:color w:val="003B71"/>
              </w:rPr>
              <w:t>Dave &amp; Buster’s Entertainment, Inc.</w:t>
            </w:r>
          </w:p>
        </w:tc>
        <w:tc>
          <w:tcPr>
            <w:tcW w:w="4200" w:type="dxa"/>
            <w:vAlign w:val="bottom"/>
          </w:tcPr>
          <w:p>
            <w:pPr>
              <w:jc w:val="right"/>
              <w:spacing w:after="0"/>
              <w:rPr>
                <w:sz w:val="20"/>
                <w:szCs w:val="20"/>
                <w:color w:val="auto"/>
              </w:rPr>
            </w:pPr>
            <w:r>
              <w:rPr>
                <w:rFonts w:ascii="Arial" w:cs="Arial" w:eastAsia="Arial" w:hAnsi="Arial"/>
                <w:sz w:val="18"/>
                <w:szCs w:val="18"/>
                <w:b w:val="1"/>
                <w:bCs w:val="1"/>
                <w:color w:val="4C4C4C"/>
              </w:rPr>
              <w:t>65</w:t>
            </w:r>
          </w:p>
        </w:tc>
      </w:tr>
      <w:tr>
        <w:trPr>
          <w:trHeight w:val="223"/>
        </w:trPr>
        <w:tc>
          <w:tcPr>
            <w:tcW w:w="704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8821420</wp:posOffset>
            </wp:positionV>
            <wp:extent cx="71583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page">
              <wp:posOffset>745490</wp:posOffset>
            </wp:positionH>
            <wp:positionV relativeFrom="page">
              <wp:posOffset>1317625</wp:posOffset>
            </wp:positionV>
            <wp:extent cx="6057900" cy="65868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6057900" cy="6586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668655</wp:posOffset>
            </wp:positionH>
            <wp:positionV relativeFrom="page">
              <wp:posOffset>737235</wp:posOffset>
            </wp:positionV>
            <wp:extent cx="6219825" cy="2294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6219825" cy="2294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o"/>
      <w:numFmt w:val="bullet"/>
      <w:start w:val="1"/>
    </w:lvl>
  </w:abstractNum>
  <w:abstractNum w:abstractNumId="1">
    <w:nsid w:val="75C6C33A"/>
    <w:multiLevelType w:val="hybridMultilevel"/>
    <w:lvl w:ilvl="0">
      <w:lvlJc w:val="left"/>
      <w:lvlText w:val="x"/>
      <w:numFmt w:val="bullet"/>
      <w:start w:val="1"/>
    </w:lvl>
  </w:abstractNum>
  <w:abstractNum w:abstractNumId="2">
    <w:nsid w:val="12E685FB"/>
    <w:multiLevelType w:val="hybridMultilevel"/>
    <w:lvl w:ilvl="0">
      <w:lvlJc w:val="left"/>
      <w:lvlText w:val="o"/>
      <w:numFmt w:val="bullet"/>
      <w:start w:val="1"/>
    </w:lvl>
  </w:abstractNum>
  <w:abstractNum w:abstractNumId="3">
    <w:nsid w:val="70C6A529"/>
    <w:multiLevelType w:val="hybridMultilevel"/>
    <w:lvl w:ilvl="0">
      <w:lvlJc w:val="left"/>
      <w:lvlText w:val="x"/>
      <w:numFmt w:val="bullet"/>
      <w:start w:val="1"/>
    </w:lvl>
  </w:abstractNum>
  <w:abstractNum w:abstractNumId="4">
    <w:nsid w:val="520EEDD1"/>
    <w:multiLevelType w:val="hybridMultilevel"/>
    <w:lvl w:ilvl="0">
      <w:lvlJc w:val="left"/>
      <w:lvlText w:val="o"/>
      <w:numFmt w:val="bullet"/>
      <w:start w:val="1"/>
    </w:lvl>
  </w:abstractNum>
  <w:abstractNum w:abstractNumId="5">
    <w:nsid w:val="374A3FE6"/>
    <w:multiLevelType w:val="hybridMultilevel"/>
    <w:lvl w:ilvl="0">
      <w:lvlJc w:val="left"/>
      <w:lvlText w:val="&amp;"/>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I"/>
      <w:numFmt w:val="bullet"/>
      <w:start w:val="1"/>
    </w:lvl>
  </w:abstractNum>
  <w:abstractNum w:abstractNumId="8">
    <w:nsid w:val="649BB77C"/>
    <w:multiLevelType w:val="hybridMultilevel"/>
    <w:lvl w:ilvl="0">
      <w:lvlJc w:val="left"/>
      <w:lvlText w:val="C"/>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lvl w:ilvl="1">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endash "/>
      <w:numFmt w:val="bullet"/>
      <w:start w:val="1"/>
    </w:lvl>
  </w:abstractNum>
  <w:abstractNum w:abstractNumId="13">
    <w:nsid w:val="235BA861"/>
    <w:multiLevelType w:val="hybridMultilevel"/>
    <w:lvl w:ilvl="0">
      <w:lvlJc w:val="left"/>
      <w:lvlText w:val="\endash "/>
      <w:numFmt w:val="bullet"/>
      <w:start w:val="1"/>
    </w:lvl>
  </w:abstractNum>
  <w:abstractNum w:abstractNumId="14">
    <w:nsid w:val="47398C89"/>
    <w:multiLevelType w:val="hybridMultilevel"/>
    <w:lvl w:ilvl="0">
      <w:lvlJc w:val="left"/>
      <w:lvlText w:val="\endash "/>
      <w:numFmt w:val="bullet"/>
      <w:start w:val="1"/>
    </w:lvl>
  </w:abstractNum>
  <w:abstractNum w:abstractNumId="15">
    <w:nsid w:val="354FE9F9"/>
    <w:multiLevelType w:val="hybridMultilevel"/>
    <w:lvl w:ilvl="0">
      <w:lvlJc w:val="left"/>
      <w:lvlText w:val="\endash "/>
      <w:numFmt w:val="bullet"/>
      <w:start w:val="1"/>
    </w:lvl>
  </w:abstractNum>
  <w:abstractNum w:abstractNumId="16">
    <w:nsid w:val="15B5AF5C"/>
    <w:multiLevelType w:val="hybridMultilevel"/>
    <w:lvl w:ilvl="0">
      <w:lvlJc w:val="left"/>
      <w:lvlText w:val="\endash "/>
      <w:numFmt w:val="bullet"/>
      <w:start w:val="1"/>
    </w:lvl>
    <w:lvl w:ilvl="1">
      <w:lvlJc w:val="left"/>
      <w:lvlText w:val="•"/>
      <w:numFmt w:val="bullet"/>
      <w:start w:val="1"/>
    </w:lvl>
    <w:lvl w:ilvl="2">
      <w:lvlJc w:val="left"/>
      <w:lvlText w:val="•"/>
      <w:numFmt w:val="bullet"/>
      <w:start w:val="1"/>
    </w:lvl>
  </w:abstractNum>
  <w:abstractNum w:abstractNumId="17">
    <w:nsid w:val="741226BB"/>
    <w:multiLevelType w:val="hybridMultilevel"/>
    <w:lvl w:ilvl="0">
      <w:lvlJc w:val="left"/>
      <w:lvlText w:val="\endash "/>
      <w:numFmt w:val="bullet"/>
      <w:start w:val="1"/>
    </w:lvl>
    <w:lvl w:ilvl="1">
      <w:lvlJc w:val="left"/>
      <w:lvlText w:val="•"/>
      <w:numFmt w:val="bullet"/>
      <w:start w:val="1"/>
    </w:lvl>
  </w:abstractNum>
  <w:abstractNum w:abstractNumId="18">
    <w:nsid w:val="D34B6A8"/>
    <w:multiLevelType w:val="hybridMultilevel"/>
    <w:lvl w:ilvl="0">
      <w:lvlJc w:val="left"/>
      <w:lvlText w:val="\endash "/>
      <w:numFmt w:val="bullet"/>
      <w:start w:val="1"/>
    </w:lvl>
    <w:lvl w:ilvl="1">
      <w:lvlJc w:val="left"/>
      <w:lvlText w:val="•"/>
      <w:numFmt w:val="bullet"/>
      <w:start w:val="1"/>
    </w:lvl>
  </w:abstractNum>
  <w:abstractNum w:abstractNumId="19">
    <w:nsid w:val="10233C99"/>
    <w:multiLevelType w:val="hybridMultilevel"/>
    <w:lvl w:ilvl="0">
      <w:lvlJc w:val="left"/>
      <w:lvlText w:val="\endash "/>
      <w:numFmt w:val="bullet"/>
      <w:start w:val="1"/>
    </w:lvl>
    <w:lvl w:ilvl="1">
      <w:lvlJc w:val="left"/>
      <w:lvlText w:val="•"/>
      <w:numFmt w:val="bullet"/>
      <w:start w:val="1"/>
    </w:lvl>
  </w:abstractNum>
  <w:abstractNum w:abstractNumId="20">
    <w:nsid w:val="3F6AB60F"/>
    <w:multiLevelType w:val="hybridMultilevel"/>
    <w:lvl w:ilvl="0">
      <w:lvlJc w:val="left"/>
      <w:lvlText w:val="\endash "/>
      <w:numFmt w:val="bullet"/>
      <w:start w:val="1"/>
    </w:lvl>
    <w:lvl w:ilvl="1">
      <w:lvlJc w:val="left"/>
      <w:lvlText w:val="•"/>
      <w:numFmt w:val="bullet"/>
      <w:start w:val="1"/>
    </w:lvl>
  </w:abstractNum>
  <w:abstractNum w:abstractNumId="21">
    <w:nsid w:val="61574095"/>
    <w:multiLevelType w:val="hybridMultilevel"/>
    <w:lvl w:ilvl="0">
      <w:lvlJc w:val="left"/>
      <w:lvlText w:val="\endash "/>
      <w:numFmt w:val="bullet"/>
      <w:start w:val="1"/>
    </w:lvl>
    <w:lvl w:ilvl="1">
      <w:lvlJc w:val="left"/>
      <w:lvlText w:val="•"/>
      <w:numFmt w:val="bullet"/>
      <w:start w:val="1"/>
    </w:lvl>
  </w:abstractNum>
  <w:abstractNum w:abstractNumId="22">
    <w:nsid w:val="7E0C57B1"/>
    <w:multiLevelType w:val="hybridMultilevel"/>
    <w:lvl w:ilvl="0">
      <w:lvlJc w:val="left"/>
      <w:lvlText w:val="\endash "/>
      <w:numFmt w:val="bullet"/>
      <w:start w:val="1"/>
    </w:lvl>
    <w:lvl w:ilvl="1">
      <w:lvlJc w:val="left"/>
      <w:lvlText w:val="•"/>
      <w:numFmt w:val="bullet"/>
      <w:start w:val="1"/>
    </w:lvl>
  </w:abstractNum>
  <w:abstractNum w:abstractNumId="23">
    <w:nsid w:val="77AE35EB"/>
    <w:multiLevelType w:val="hybridMultilevel"/>
    <w:lvl w:ilvl="0">
      <w:lvlJc w:val="left"/>
      <w:lvlText w:val="\endash "/>
      <w:numFmt w:val="bullet"/>
      <w:start w:val="1"/>
    </w:lvl>
    <w:lvl w:ilvl="1">
      <w:lvlJc w:val="left"/>
      <w:lvlText w:val="•"/>
      <w:numFmt w:val="bullet"/>
      <w:start w:val="1"/>
    </w:lvl>
  </w:abstractNum>
  <w:abstractNum w:abstractNumId="24">
    <w:nsid w:val="579BE4F1"/>
    <w:multiLevelType w:val="hybridMultilevel"/>
    <w:lvl w:ilvl="0">
      <w:lvlJc w:val="left"/>
      <w:lvlText w:val="\endash "/>
      <w:numFmt w:val="bullet"/>
      <w:start w:val="1"/>
    </w:lvl>
  </w:abstractNum>
  <w:abstractNum w:abstractNumId="25">
    <w:nsid w:val="310C50B3"/>
    <w:multiLevelType w:val="hybridMultilevel"/>
    <w:lvl w:ilvl="0">
      <w:lvlJc w:val="left"/>
      <w:lvlText w:val="\endash "/>
      <w:numFmt w:val="bullet"/>
      <w:start w:val="1"/>
    </w:lvl>
  </w:abstractNum>
  <w:abstractNum w:abstractNumId="26">
    <w:nsid w:val="5FF87E05"/>
    <w:multiLevelType w:val="hybridMultilevel"/>
    <w:lvl w:ilvl="0">
      <w:lvlJc w:val="left"/>
      <w:lvlText w:val="\endash "/>
      <w:numFmt w:val="bullet"/>
      <w:start w:val="1"/>
    </w:lvl>
  </w:abstractNum>
  <w:abstractNum w:abstractNumId="27">
    <w:nsid w:val="2F305DEF"/>
    <w:multiLevelType w:val="hybridMultilevel"/>
    <w:lvl w:ilvl="0">
      <w:lvlJc w:val="left"/>
      <w:lvlText w:val="\endash "/>
      <w:numFmt w:val="bullet"/>
      <w:start w:val="1"/>
    </w:lvl>
  </w:abstractNum>
  <w:abstractNum w:abstractNumId="28">
    <w:nsid w:val="25A70BF7"/>
    <w:multiLevelType w:val="hybridMultilevel"/>
    <w:lvl w:ilvl="0">
      <w:lvlJc w:val="left"/>
      <w:lvlText w:val="\endash "/>
      <w:numFmt w:val="bullet"/>
      <w:start w:val="1"/>
    </w:lvl>
  </w:abstractNum>
  <w:abstractNum w:abstractNumId="29">
    <w:nsid w:val="1DBABF00"/>
    <w:multiLevelType w:val="hybridMultilevel"/>
    <w:lvl w:ilvl="0">
      <w:lvlJc w:val="left"/>
      <w:lvlText w:val="\endash "/>
      <w:numFmt w:val="bullet"/>
      <w:start w:val="1"/>
    </w:lvl>
  </w:abstractNum>
  <w:abstractNum w:abstractNumId="30">
    <w:nsid w:val="4AD084E9"/>
    <w:multiLevelType w:val="hybridMultilevel"/>
    <w:lvl w:ilvl="0">
      <w:lvlJc w:val="left"/>
      <w:lvlText w:val="\endash "/>
      <w:numFmt w:val="bullet"/>
      <w:start w:val="1"/>
    </w:lvl>
  </w:abstractNum>
  <w:abstractNum w:abstractNumId="31">
    <w:nsid w:val="1F48EAA1"/>
    <w:multiLevelType w:val="hybridMultilevel"/>
    <w:lvl w:ilvl="0">
      <w:lvlJc w:val="left"/>
      <w:lvlText w:val="\endash "/>
      <w:numFmt w:val="bullet"/>
      <w:start w:val="1"/>
    </w:lvl>
  </w:abstractNum>
  <w:abstractNum w:abstractNumId="32">
    <w:nsid w:val="1381823A"/>
    <w:multiLevelType w:val="hybridMultilevel"/>
    <w:lvl w:ilvl="0">
      <w:lvlJc w:val="left"/>
      <w:lvlText w:val="\endash "/>
      <w:numFmt w:val="bullet"/>
      <w:start w:val="1"/>
    </w:lvl>
    <w:lvl w:ilvl="1">
      <w:lvlJc w:val="left"/>
      <w:lvlText w:val="•"/>
      <w:numFmt w:val="bullet"/>
      <w:start w:val="1"/>
    </w:lvl>
  </w:abstractNum>
  <w:abstractNum w:abstractNumId="33">
    <w:nsid w:val="5DB70AE5"/>
    <w:multiLevelType w:val="hybridMultilevel"/>
    <w:lvl w:ilvl="0">
      <w:lvlJc w:val="left"/>
      <w:lvlText w:val="\endash "/>
      <w:numFmt w:val="bullet"/>
      <w:start w:val="1"/>
    </w:lvl>
  </w:abstractNum>
  <w:abstractNum w:abstractNumId="34">
    <w:nsid w:val="100F8FCA"/>
    <w:multiLevelType w:val="hybridMultilevel"/>
    <w:lvl w:ilvl="0">
      <w:lvlJc w:val="left"/>
      <w:lvlText w:val="\endash "/>
      <w:numFmt w:val="bullet"/>
      <w:start w:val="1"/>
    </w:lvl>
  </w:abstractNum>
  <w:abstractNum w:abstractNumId="35">
    <w:nsid w:val="6590700B"/>
    <w:multiLevelType w:val="hybridMultilevel"/>
    <w:lvl w:ilvl="0">
      <w:lvlJc w:val="left"/>
      <w:lvlText w:val="\endash "/>
      <w:numFmt w:val="bullet"/>
      <w:start w:val="1"/>
    </w:lvl>
    <w:lvl w:ilvl="1">
      <w:lvlJc w:val="left"/>
      <w:lvlText w:val="•"/>
      <w:numFmt w:val="bullet"/>
      <w:start w:val="1"/>
    </w:lvl>
  </w:abstractNum>
  <w:abstractNum w:abstractNumId="36">
    <w:nsid w:val="15014ACB"/>
    <w:multiLevelType w:val="hybridMultilevel"/>
    <w:lvl w:ilvl="0">
      <w:lvlJc w:val="left"/>
      <w:lvlText w:val="\endash "/>
      <w:numFmt w:val="bullet"/>
      <w:start w:val="1"/>
    </w:lvl>
    <w:lvl w:ilvl="1">
      <w:lvlJc w:val="left"/>
      <w:lvlText w:val="•"/>
      <w:numFmt w:val="bullet"/>
      <w:start w:val="1"/>
    </w:lvl>
  </w:abstractNum>
  <w:abstractNum w:abstractNumId="37">
    <w:nsid w:val="5F5E7FD0"/>
    <w:multiLevelType w:val="hybridMultilevel"/>
    <w:lvl w:ilvl="0">
      <w:lvlJc w:val="left"/>
      <w:lvlText w:val="\endash "/>
      <w:numFmt w:val="bullet"/>
      <w:start w:val="1"/>
    </w:lvl>
    <w:lvl w:ilvl="1">
      <w:lvlJc w:val="left"/>
      <w:lvlText w:val="•"/>
      <w:numFmt w:val="bullet"/>
      <w:start w:val="1"/>
    </w:lvl>
  </w:abstractNum>
  <w:abstractNum w:abstractNumId="38">
    <w:nsid w:val="98A3148"/>
    <w:multiLevelType w:val="hybridMultilevel"/>
    <w:lvl w:ilvl="0">
      <w:lvlJc w:val="left"/>
      <w:lvlText w:val="\endash "/>
      <w:numFmt w:val="bullet"/>
      <w:start w:val="1"/>
    </w:lvl>
  </w:abstractNum>
  <w:abstractNum w:abstractNumId="39">
    <w:nsid w:val="799D0247"/>
    <w:multiLevelType w:val="hybridMultilevel"/>
    <w:lvl w:ilvl="0">
      <w:lvlJc w:val="left"/>
      <w:lvlText w:val="\endash "/>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endash "/>
      <w:numFmt w:val="bullet"/>
      <w:start w:val="1"/>
    </w:lvl>
  </w:abstractNum>
  <w:abstractNum w:abstractNumId="42">
    <w:nsid w:val="168E121F"/>
    <w:multiLevelType w:val="hybridMultilevel"/>
    <w:lvl w:ilvl="0">
      <w:lvlJc w:val="left"/>
      <w:lvlText w:val="\endash "/>
      <w:numFmt w:val="bullet"/>
      <w:start w:val="1"/>
    </w:lvl>
  </w:abstractNum>
  <w:abstractNum w:abstractNumId="43">
    <w:nsid w:val="1EBA5D23"/>
    <w:multiLevelType w:val="hybridMultilevel"/>
    <w:lvl w:ilvl="0">
      <w:lvlJc w:val="left"/>
      <w:lvlText w:val="\endash "/>
      <w:numFmt w:val="bullet"/>
      <w:start w:val="1"/>
    </w:lvl>
    <w:lvl w:ilvl="1">
      <w:lvlJc w:val="left"/>
      <w:lvlText w:val="•"/>
      <w:numFmt w:val="bullet"/>
      <w:start w:val="1"/>
    </w:lvl>
  </w:abstractNum>
  <w:abstractNum w:abstractNumId="44">
    <w:nsid w:val="661E3F1E"/>
    <w:multiLevelType w:val="hybridMultilevel"/>
    <w:lvl w:ilvl="0">
      <w:lvlJc w:val="left"/>
      <w:lvlText w:val="\endash "/>
      <w:numFmt w:val="bullet"/>
      <w:start w:val="1"/>
    </w:lvl>
  </w:abstractNum>
  <w:abstractNum w:abstractNumId="45">
    <w:nsid w:val="5DC79EA8"/>
    <w:multiLevelType w:val="hybridMultilevel"/>
    <w:lvl w:ilvl="0">
      <w:lvlJc w:val="left"/>
      <w:lvlText w:val="(%1)"/>
      <w:numFmt w:val="decimal"/>
      <w:start w:val="1"/>
    </w:lvl>
  </w:abstractNum>
  <w:abstractNum w:abstractNumId="46">
    <w:nsid w:val="540A471C"/>
    <w:multiLevelType w:val="hybridMultilevel"/>
    <w:lvl w:ilvl="0">
      <w:lvlJc w:val="left"/>
      <w:lvlText w:val="(%1)"/>
      <w:numFmt w:val="lowerRoman"/>
      <w:start w:val="3"/>
    </w:lvl>
  </w:abstractNum>
  <w:abstractNum w:abstractNumId="47">
    <w:nsid w:val="7BD3EE7B"/>
    <w:multiLevelType w:val="hybridMultilevel"/>
    <w:lvl w:ilvl="0">
      <w:lvlJc w:val="left"/>
      <w:lvlText w:val="%1."/>
      <w:numFmt w:val="decimal"/>
      <w:start w:val="1"/>
    </w:lvl>
    <w:lvl w:ilvl="1">
      <w:lvlJc w:val="left"/>
      <w:lvlText w:val="•"/>
      <w:numFmt w:val="bullet"/>
      <w:start w:val="1"/>
    </w:lvl>
  </w:abstractNum>
  <w:abstractNum w:abstractNumId="48">
    <w:nsid w:val="51D9C564"/>
    <w:multiLevelType w:val="hybridMultilevel"/>
    <w:lvl w:ilvl="0">
      <w:lvlJc w:val="left"/>
      <w:lvlText w:val="(%1)"/>
      <w:numFmt w:val="decimal"/>
      <w:start w:val="1"/>
    </w:lvl>
  </w:abstractNum>
  <w:abstractNum w:abstractNumId="49">
    <w:nsid w:val="613EFDC5"/>
    <w:multiLevelType w:val="hybridMultilevel"/>
    <w:lvl w:ilvl="0">
      <w:lvlJc w:val="left"/>
      <w:lvlText w:val="(%1)"/>
      <w:numFmt w:val="decimal"/>
      <w:start w:val="2"/>
    </w:lvl>
  </w:abstractNum>
  <w:abstractNum w:abstractNumId="50">
    <w:nsid w:val="BF72B14"/>
    <w:multiLevelType w:val="hybridMultilevel"/>
    <w:lvl w:ilvl="0">
      <w:lvlJc w:val="left"/>
      <w:lvlText w:val="(%1)"/>
      <w:numFmt w:val="decimal"/>
      <w:start w:val="1"/>
    </w:lvl>
  </w:abstractNum>
  <w:abstractNum w:abstractNumId="51">
    <w:nsid w:val="11447B73"/>
    <w:multiLevelType w:val="hybridMultilevel"/>
    <w:lvl w:ilvl="0">
      <w:lvlJc w:val="left"/>
      <w:lvlText w:val="(%1)"/>
      <w:numFmt w:val="decimal"/>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endash "/>
      <w:numFmt w:val="bullet"/>
      <w:start w:val="1"/>
    </w:lvl>
  </w:abstractNum>
  <w:abstractNum w:abstractNumId="56">
    <w:nsid w:val="3B0FD379"/>
    <w:multiLevelType w:val="hybridMultilevel"/>
    <w:lvl w:ilvl="0">
      <w:lvlJc w:val="left"/>
      <w:lvlText w:val="\endash "/>
      <w:numFmt w:val="bullet"/>
      <w:start w:val="1"/>
    </w:lvl>
    <w:lvl w:ilvl="1">
      <w:lvlJc w:val="left"/>
      <w:lvlText w:val="•"/>
      <w:numFmt w:val="bullet"/>
      <w:start w:val="1"/>
    </w:lvl>
  </w:abstractNum>
  <w:abstractNum w:abstractNumId="57">
    <w:nsid w:val="68EB2F63"/>
    <w:multiLevelType w:val="hybridMultilevel"/>
    <w:lvl w:ilvl="0">
      <w:lvlJc w:val="left"/>
      <w:lvlText w:val="\endash "/>
      <w:numFmt w:val="bullet"/>
      <w:start w:val="1"/>
    </w:lvl>
  </w:abstractNum>
  <w:abstractNum w:abstractNumId="58">
    <w:nsid w:val="4962813B"/>
    <w:multiLevelType w:val="hybridMultilevel"/>
    <w:lvl w:ilvl="0">
      <w:lvlJc w:val="left"/>
      <w:lvlText w:val="\endash "/>
      <w:numFmt w:val="bullet"/>
      <w:start w:val="1"/>
    </w:lvl>
  </w:abstractNum>
  <w:abstractNum w:abstractNumId="59">
    <w:nsid w:val="60B6DF70"/>
    <w:multiLevelType w:val="hybridMultilevel"/>
    <w:lvl w:ilvl="0">
      <w:lvlJc w:val="left"/>
      <w:lvlText w:val="\endash "/>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1)"/>
      <w:numFmt w:val="decimal"/>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ü"/>
      <w:numFmt w:val="bullet"/>
      <w:start w:val="1"/>
    </w:lvl>
  </w:abstractNum>
  <w:abstractNum w:abstractNumId="71">
    <w:nsid w:val="76272110"/>
    <w:multiLevelType w:val="hybridMultilevel"/>
    <w:lvl w:ilvl="0">
      <w:lvlJc w:val="left"/>
      <w:lvlText w:val="x"/>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decimal"/>
      <w:start w:val="1"/>
    </w:lvl>
  </w:abstractNum>
  <w:abstractNum w:abstractNumId="79">
    <w:nsid w:val="46B7D447"/>
    <w:multiLevelType w:val="hybridMultilevel"/>
    <w:lvl w:ilvl="0">
      <w:lvlJc w:val="left"/>
      <w:lvlText w:val="(%1)"/>
      <w:numFmt w:val="decimal"/>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1)"/>
      <w:numFmt w:val="decimal"/>
      <w:start w:val="1"/>
    </w:lvl>
  </w:abstractNum>
  <w:abstractNum w:abstractNumId="82">
    <w:nsid w:val="57FC4FBB"/>
    <w:multiLevelType w:val="hybridMultilevel"/>
    <w:lvl w:ilvl="0">
      <w:lvlJc w:val="left"/>
      <w:lvlText w:val="(%1)"/>
      <w:numFmt w:val="decimal"/>
      <w:start w:val="1"/>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decimal"/>
      <w:start w:val="1"/>
    </w:lvl>
    <w:lvl w:ilvl="1">
      <w:lvlJc w:val="left"/>
      <w:lvlText w:val="%2."/>
      <w:numFmt w:val="lowerLetter"/>
      <w:start w:val="1"/>
    </w:lvl>
  </w:abstractNum>
  <w:abstractNum w:abstractNumId="86">
    <w:nsid w:val="26F324BA"/>
    <w:multiLevelType w:val="hybridMultilevel"/>
    <w:lvl w:ilvl="0">
      <w:lvlJc w:val="left"/>
      <w:lvlText w:val="(%1)"/>
      <w:numFmt w:val="decimal"/>
      <w:start w:val="8"/>
    </w:lvl>
    <w:lvl w:ilvl="1">
      <w:lvlJc w:val="left"/>
      <w:lvlText w:val="%2"/>
      <w:numFmt w:val="lowerLetter"/>
      <w:start w:val="1"/>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decimal"/>
      <w:start w:val="6"/>
    </w:lvl>
    <w:lvl w:ilvl="1">
      <w:lvlJc w:val="left"/>
      <w:lvlText w:val="%2."/>
      <w:numFmt w:val="lowerLetter"/>
      <w:start w:val="1"/>
    </w:lvl>
  </w:abstractNum>
  <w:abstractNum w:abstractNumId="89">
    <w:nsid w:val="7055A5F5"/>
    <w:multiLevelType w:val="hybridMultilevel"/>
    <w:lvl w:ilvl="0">
      <w:lvlJc w:val="left"/>
      <w:lvlText w:val="(%1)"/>
      <w:numFmt w:val="decimal"/>
      <w:start w:val="1"/>
    </w:lvl>
  </w:abstractNum>
  <w:abstractNum w:abstractNumId="90">
    <w:nsid w:val="5FB8370B"/>
    <w:multiLevelType w:val="hybridMultilevel"/>
    <w:lvl w:ilvl="0">
      <w:lvlJc w:val="left"/>
      <w:lvlText w:val="(%1)"/>
      <w:numFmt w:val="decimal"/>
      <w:start w:val="1"/>
    </w:lvl>
  </w:abstractNum>
  <w:abstractNum w:abstractNumId="91">
    <w:nsid w:val="50801EE1"/>
    <w:multiLevelType w:val="hybridMultilevel"/>
    <w:lvl w:ilvl="0">
      <w:lvlJc w:val="left"/>
      <w:lvlText w:val="(%1)"/>
      <w:numFmt w:val="decimal"/>
      <w:start w:val="2"/>
    </w:lvl>
  </w:abstractNum>
  <w:abstractNum w:abstractNumId="92">
    <w:nsid w:val="488AC1A"/>
    <w:multiLevelType w:val="hybridMultilevel"/>
    <w:lvl w:ilvl="0">
      <w:lvlJc w:val="left"/>
      <w:lvlText w:val="(%1)"/>
      <w:numFmt w:val="decimal"/>
      <w:start w:val="3"/>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decimal"/>
      <w:start w:val="1"/>
    </w:lvl>
  </w:abstractNum>
  <w:abstractNum w:abstractNumId="95">
    <w:nsid w:val="7672BD23"/>
    <w:multiLevelType w:val="hybridMultilevel"/>
    <w:lvl w:ilvl="0">
      <w:lvlJc w:val="left"/>
      <w:lvlText w:val="(%1)"/>
      <w:numFmt w:val="decimal"/>
      <w:start w:val="1"/>
    </w:lvl>
  </w:abstractNum>
  <w:abstractNum w:abstractNumId="96">
    <w:nsid w:val="6FC75AF8"/>
    <w:multiLevelType w:val="hybridMultilevel"/>
    <w:lvl w:ilvl="0">
      <w:lvlJc w:val="left"/>
      <w:lvlText w:val="(%1)"/>
      <w:numFmt w:val="decimal"/>
      <w:start w:val="1"/>
    </w:lvl>
  </w:abstractNum>
  <w:abstractNum w:abstractNumId="97">
    <w:nsid w:val="6A5F7029"/>
    <w:multiLevelType w:val="hybridMultilevel"/>
    <w:lvl w:ilvl="0">
      <w:lvlJc w:val="left"/>
      <w:lvlText w:val="(%1)"/>
      <w:numFmt w:val="decimal"/>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2026-05-06T15:24:51Z</dcterms:created>
  <dcterms:modified xsi:type="dcterms:W3CDTF">2026-05-06T15:24:51Z</dcterms:modified>
</cp:coreProperties>
</file>