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November 1,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DAVE &amp; BUSTER’S ENTERTAINMENT,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1960" w:type="dxa"/>
            <w:vAlign w:val="bottom"/>
          </w:tcPr>
          <w:p>
            <w:pPr>
              <w:jc w:val="center"/>
              <w:ind w:right="850"/>
              <w:spacing w:after="0"/>
              <w:rPr>
                <w:sz w:val="20"/>
                <w:szCs w:val="20"/>
                <w:color w:val="auto"/>
              </w:rPr>
            </w:pPr>
            <w:r>
              <w:rPr>
                <w:rFonts w:ascii="Arial" w:cs="Arial" w:eastAsia="Arial" w:hAnsi="Arial"/>
                <w:sz w:val="18"/>
                <w:szCs w:val="18"/>
                <w:b w:val="1"/>
                <w:bCs w:val="1"/>
                <w:color w:val="auto"/>
                <w:w w:val="93"/>
              </w:rPr>
              <w:t>Delaware</w:t>
            </w:r>
          </w:p>
        </w:tc>
        <w:tc>
          <w:tcPr>
            <w:tcW w:w="458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001-35664</w:t>
            </w:r>
          </w:p>
        </w:tc>
        <w:tc>
          <w:tcPr>
            <w:tcW w:w="244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35-2382255</w:t>
            </w:r>
          </w:p>
        </w:tc>
      </w:tr>
      <w:tr>
        <w:trPr>
          <w:trHeight w:val="216"/>
        </w:trPr>
        <w:tc>
          <w:tcPr>
            <w:tcW w:w="1960" w:type="dxa"/>
            <w:vAlign w:val="bottom"/>
          </w:tcPr>
          <w:p>
            <w:pPr>
              <w:jc w:val="center"/>
              <w:ind w:right="850"/>
              <w:spacing w:after="0"/>
              <w:rPr>
                <w:sz w:val="20"/>
                <w:szCs w:val="20"/>
                <w:color w:val="auto"/>
              </w:rPr>
            </w:pPr>
            <w:r>
              <w:rPr>
                <w:rFonts w:ascii="Arial" w:cs="Arial" w:eastAsia="Arial" w:hAnsi="Arial"/>
                <w:sz w:val="18"/>
                <w:szCs w:val="18"/>
                <w:color w:val="auto"/>
                <w:w w:val="91"/>
              </w:rPr>
              <w:t>(State of</w:t>
            </w:r>
          </w:p>
        </w:tc>
        <w:tc>
          <w:tcPr>
            <w:tcW w:w="458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w:t>
            </w:r>
          </w:p>
        </w:tc>
        <w:tc>
          <w:tcPr>
            <w:tcW w:w="2440" w:type="dxa"/>
            <w:vAlign w:val="bottom"/>
          </w:tcPr>
          <w:p>
            <w:pPr>
              <w:jc w:val="center"/>
              <w:ind w:left="690"/>
              <w:spacing w:after="0"/>
              <w:rPr>
                <w:sz w:val="20"/>
                <w:szCs w:val="20"/>
                <w:color w:val="auto"/>
              </w:rPr>
            </w:pPr>
            <w:r>
              <w:rPr>
                <w:rFonts w:ascii="Arial" w:cs="Arial" w:eastAsia="Arial" w:hAnsi="Arial"/>
                <w:sz w:val="18"/>
                <w:szCs w:val="18"/>
                <w:color w:val="auto"/>
                <w:w w:val="93"/>
              </w:rPr>
              <w:t>(IRS Employer</w:t>
            </w:r>
          </w:p>
        </w:tc>
      </w:tr>
      <w:tr>
        <w:trPr>
          <w:trHeight w:val="230"/>
        </w:trPr>
        <w:tc>
          <w:tcPr>
            <w:tcW w:w="1960" w:type="dxa"/>
            <w:vAlign w:val="bottom"/>
          </w:tcPr>
          <w:p>
            <w:pPr>
              <w:jc w:val="center"/>
              <w:ind w:right="850"/>
              <w:spacing w:after="0"/>
              <w:rPr>
                <w:sz w:val="20"/>
                <w:szCs w:val="20"/>
                <w:color w:val="auto"/>
              </w:rPr>
            </w:pPr>
            <w:r>
              <w:rPr>
                <w:rFonts w:ascii="Arial" w:cs="Arial" w:eastAsia="Arial" w:hAnsi="Arial"/>
                <w:sz w:val="18"/>
                <w:szCs w:val="18"/>
                <w:color w:val="auto"/>
                <w:w w:val="92"/>
              </w:rPr>
              <w:t>incorporation)</w:t>
            </w:r>
          </w:p>
        </w:tc>
        <w:tc>
          <w:tcPr>
            <w:tcW w:w="4580" w:type="dxa"/>
            <w:vAlign w:val="bottom"/>
          </w:tcPr>
          <w:p>
            <w:pPr>
              <w:jc w:val="center"/>
              <w:ind w:left="90"/>
              <w:spacing w:after="0"/>
              <w:rPr>
                <w:sz w:val="20"/>
                <w:szCs w:val="20"/>
                <w:color w:val="auto"/>
              </w:rPr>
            </w:pPr>
            <w:r>
              <w:rPr>
                <w:rFonts w:ascii="Arial" w:cs="Arial" w:eastAsia="Arial" w:hAnsi="Arial"/>
                <w:sz w:val="18"/>
                <w:szCs w:val="18"/>
                <w:color w:val="auto"/>
                <w:w w:val="91"/>
              </w:rPr>
              <w:t>Number)</w:t>
            </w:r>
          </w:p>
        </w:tc>
        <w:tc>
          <w:tcPr>
            <w:tcW w:w="2440" w:type="dxa"/>
            <w:vAlign w:val="bottom"/>
          </w:tcPr>
          <w:p>
            <w:pPr>
              <w:jc w:val="center"/>
              <w:ind w:left="69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1960" w:type="dxa"/>
            <w:vAlign w:val="bottom"/>
          </w:tcPr>
          <w:p>
            <w:pPr>
              <w:spacing w:after="0"/>
              <w:rPr>
                <w:sz w:val="24"/>
                <w:szCs w:val="24"/>
                <w:color w:val="auto"/>
              </w:rPr>
            </w:pPr>
          </w:p>
        </w:tc>
        <w:tc>
          <w:tcPr>
            <w:tcW w:w="45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2481 Manana Drive</w:t>
            </w:r>
          </w:p>
        </w:tc>
        <w:tc>
          <w:tcPr>
            <w:tcW w:w="2440" w:type="dxa"/>
            <w:vAlign w:val="bottom"/>
          </w:tcPr>
          <w:p>
            <w:pPr>
              <w:spacing w:after="0"/>
              <w:rPr>
                <w:sz w:val="24"/>
                <w:szCs w:val="24"/>
                <w:color w:val="auto"/>
              </w:rPr>
            </w:pPr>
          </w:p>
        </w:tc>
      </w:tr>
      <w:tr>
        <w:trPr>
          <w:trHeight w:val="220"/>
        </w:trPr>
        <w:tc>
          <w:tcPr>
            <w:tcW w:w="1960" w:type="dxa"/>
            <w:vAlign w:val="bottom"/>
          </w:tcPr>
          <w:p>
            <w:pPr>
              <w:spacing w:after="0"/>
              <w:rPr>
                <w:sz w:val="19"/>
                <w:szCs w:val="19"/>
                <w:color w:val="auto"/>
              </w:rPr>
            </w:pPr>
          </w:p>
        </w:tc>
        <w:tc>
          <w:tcPr>
            <w:tcW w:w="458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Dallas TX 75220</w:t>
            </w:r>
          </w:p>
        </w:tc>
        <w:tc>
          <w:tcPr>
            <w:tcW w:w="244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4580" w:type="dxa"/>
            <w:vAlign w:val="bottom"/>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244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(214) 357-9588</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reporting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of the Exchange Act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Exchange Act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Exchange Act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2"/>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60" w:type="dxa"/>
            <w:vAlign w:val="bottom"/>
          </w:tcPr>
          <w:p>
            <w:pPr>
              <w:spacing w:after="0"/>
              <w:rPr>
                <w:sz w:val="24"/>
                <w:szCs w:val="24"/>
                <w:color w:val="auto"/>
              </w:rPr>
            </w:pPr>
          </w:p>
        </w:tc>
        <w:tc>
          <w:tcPr>
            <w:tcW w:w="296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5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Common Stock $0.01 par value</w:t>
            </w:r>
          </w:p>
        </w:tc>
        <w:tc>
          <w:tcPr>
            <w:tcW w:w="400" w:type="dxa"/>
            <w:vAlign w:val="bottom"/>
          </w:tcPr>
          <w:p>
            <w:pPr>
              <w:spacing w:after="0"/>
              <w:rPr>
                <w:sz w:val="20"/>
                <w:szCs w:val="20"/>
                <w:color w:val="auto"/>
              </w:rPr>
            </w:pPr>
          </w:p>
        </w:tc>
        <w:tc>
          <w:tcPr>
            <w:tcW w:w="2560" w:type="dxa"/>
            <w:vAlign w:val="bottom"/>
            <w:gridSpan w:val="2"/>
          </w:tcPr>
          <w:p>
            <w:pPr>
              <w:jc w:val="center"/>
              <w:ind w:right="1200"/>
              <w:spacing w:after="0"/>
              <w:rPr>
                <w:sz w:val="20"/>
                <w:szCs w:val="20"/>
                <w:color w:val="auto"/>
              </w:rPr>
            </w:pPr>
            <w:r>
              <w:rPr>
                <w:rFonts w:ascii="Arial" w:cs="Arial" w:eastAsia="Arial" w:hAnsi="Arial"/>
                <w:sz w:val="18"/>
                <w:szCs w:val="18"/>
                <w:color w:val="auto"/>
                <w:w w:val="95"/>
              </w:rPr>
              <w:t>PLAY</w:t>
            </w: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NASDAQ Stock Market LLC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November 1, 2021, Dave &amp; Buster’s Entertainment, Inc. (the “Company”) announced its intent to redeem a further $55,000,000 aggregate principal amount of its 7.625% Senior Secured Notes due 2025 (the “Notes”). A notice of redemption will be sent to the holders of the Notes in accordance with the requirements of the indenture governing the Notes (the “Indenture”). Pursuant to the terms of the Indenture, the Notes will be redeemed at a redemption price equal to 103% of the principal amount of the Notes redeemed, plus accrued and unpaid interest to, but excluding, the redemption date.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anticipated redemption date is November 11,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disclosure shall not constitute an offer to sell or a solicitation of an offer to buy any security nor a notice of redemption under the Indenture and shall not constitute an offer, solicitation or sale in any jurisdiction in which such offer, solicitation or sale would be unlawful.</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under this Item 7.01 of this report on Form 8-K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Statements contained in this disclosure that state expectations or predictions about the future are forward-looking statements intended to be covered by the safe harbor provisions of the Securities Act and the Exchange Act. The Registrant’s actual results could differ materially from those projected in such forward-looking statements. Factors that could affect those results include “Risk Factors” and the other factors appearing in the documents that the Registrant has filed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communication includes certain statements that may constitute “forward-looking statements” within the meaning of the federal securities laws, including Section 27A of the Securities Act and Section 21E of the Securities Exchange Act of 1934, as amended. Forward-looking statements may be identified by words such as “expects,” “intends,” “anticipates,” “plans,” “believes,” “seeks,” “estimates,” “will” or words of similar meaning, and include statements regarding the proposed redemption and the closing thereof. Forward-looking statements are based on management’s current expectations and assumptions, which are subject to inherent uncertainties, risks and changes in circumstances that are difficult to predict. Actual outcomes and results may differ materially from those in the forward-looking statements and factors that may cause such a difference and may include the risks and uncertainties described in Dave &amp; Buster’s Annual Report on Form 10-K, filed with the SEC on March 31, 2021 and Dave &amp; Buster’s Quarterly Report on Form 10-Q, filed with the SEC on September 9, 2021.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Dave &amp; Buster’s consolidated financial condition, results of operations, credit ratings or liquidity. Accordingly, we caution you against relying on any forward-looking statements. Further, forward-looking statements should not be relied upon as representing Dave &amp; Buster’s views as of any subsequent date, and Dave &amp; Buster’s does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DAVE &amp; BUSTER’S ENTERTAINMENT, INC.</w:t>
            </w:r>
          </w:p>
        </w:tc>
      </w:tr>
      <w:tr>
        <w:trPr>
          <w:trHeight w:val="675"/>
        </w:trPr>
        <w:tc>
          <w:tcPr>
            <w:tcW w:w="3720" w:type="dxa"/>
            <w:vAlign w:val="bottom"/>
          </w:tcPr>
          <w:p>
            <w:pPr>
              <w:spacing w:after="0"/>
              <w:rPr>
                <w:sz w:val="20"/>
                <w:szCs w:val="20"/>
                <w:color w:val="auto"/>
              </w:rPr>
            </w:pPr>
            <w:r>
              <w:rPr>
                <w:rFonts w:ascii="Arial" w:cs="Arial" w:eastAsia="Arial" w:hAnsi="Arial"/>
                <w:sz w:val="18"/>
                <w:szCs w:val="18"/>
                <w:color w:val="auto"/>
              </w:rPr>
              <w:t>Date: November 1, 2021</w:t>
            </w: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By:  /s/ Robert W. Edmund</w:t>
            </w:r>
          </w:p>
        </w:tc>
      </w:tr>
      <w:tr>
        <w:trPr>
          <w:trHeight w:val="195"/>
        </w:trPr>
        <w:tc>
          <w:tcPr>
            <w:tcW w:w="3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W. Edmund</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General Counsel, Secretary and</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of Human Resources</w:t>
            </w:r>
          </w:p>
        </w:tc>
      </w:tr>
      <w:tr>
        <w:trPr>
          <w:trHeight w:val="675"/>
        </w:trPr>
        <w:tc>
          <w:tcPr>
            <w:tcW w:w="3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2021-11-01T16:09:48Z</dcterms:created>
  <dcterms:modified xsi:type="dcterms:W3CDTF">2021-11-01T16:09:48Z</dcterms:modified>
</cp:coreProperties>
</file>