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3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3682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vMerge w:val="restart"/>
          </w:tcPr>
          <w:p>
            <w:pPr>
              <w:spacing w:after="0" w:line="23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Lehner Les</w:t>
              </w:r>
            </w:hyperlink>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0"/>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Dave &amp; Buster's Entertainment,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PLAY</w:t>
            </w:r>
          </w:p>
        </w:tc>
        <w:tc>
          <w:tcPr>
            <w:tcW w:w="1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940" w:type="dxa"/>
            <w:vAlign w:val="bottom"/>
            <w:tcBorders>
              <w:bottom w:val="single" w:sz="8" w:color="0000EE"/>
            </w:tcBorders>
            <w:gridSpan w:val="2"/>
            <w:vMerge w:val="continue"/>
          </w:tcPr>
          <w:p>
            <w:pPr>
              <w:spacing w:after="0"/>
              <w:rPr>
                <w:sz w:val="4"/>
                <w:szCs w:val="4"/>
                <w:color w:val="auto"/>
              </w:rPr>
            </w:pPr>
          </w:p>
        </w:tc>
        <w:tc>
          <w:tcPr>
            <w:tcW w:w="28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gridSpan w:val="4"/>
            <w:vMerge w:val="restart"/>
          </w:tcPr>
          <w:p>
            <w:pPr>
              <w:ind w:left="260"/>
              <w:spacing w:after="0" w:line="238" w:lineRule="exact"/>
              <w:rPr>
                <w:sz w:val="20"/>
                <w:szCs w:val="20"/>
                <w:color w:val="auto"/>
              </w:rPr>
            </w:pPr>
            <w:r>
              <w:rPr>
                <w:rFonts w:ascii="Times New Roman" w:cs="Times New Roman" w:eastAsia="Times New Roman" w:hAnsi="Times New Roman"/>
                <w:sz w:val="21"/>
                <w:szCs w:val="21"/>
                <w:color w:val="auto"/>
              </w:rPr>
              <w:t>]</w:t>
            </w: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940" w:type="dxa"/>
            <w:vAlign w:val="bottom"/>
            <w:gridSpan w:val="2"/>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9A9A9A"/>
              <w:bottom w:val="single" w:sz="8" w:color="9A9A9A"/>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360" w:type="dxa"/>
            <w:vAlign w:val="bottom"/>
            <w:tcBorders>
              <w:top w:val="single" w:sz="8" w:color="9A9A9A"/>
            </w:tcBorders>
          </w:tcPr>
          <w:p>
            <w:pPr>
              <w:spacing w:after="0"/>
              <w:rPr>
                <w:sz w:val="9"/>
                <w:szCs w:val="9"/>
                <w:color w:val="auto"/>
              </w:rPr>
            </w:pPr>
          </w:p>
        </w:tc>
        <w:tc>
          <w:tcPr>
            <w:tcW w:w="280" w:type="dxa"/>
            <w:vAlign w:val="bottom"/>
            <w:tcBorders>
              <w:top w:val="single" w:sz="8" w:color="9A9A9A"/>
            </w:tcBorders>
          </w:tcPr>
          <w:p>
            <w:pPr>
              <w:spacing w:after="0"/>
              <w:rPr>
                <w:sz w:val="9"/>
                <w:szCs w:val="9"/>
                <w:color w:val="auto"/>
              </w:rPr>
            </w:pPr>
          </w:p>
        </w:tc>
        <w:tc>
          <w:tcPr>
            <w:tcW w:w="1220" w:type="dxa"/>
            <w:vAlign w:val="bottom"/>
            <w:tcBorders>
              <w:top w:val="single" w:sz="8" w:color="9A9A9A"/>
              <w:bottom w:val="single" w:sz="8" w:color="9A9A9A"/>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Development Officer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1221 S. BELT LINE RD., SUITE 500</w:t>
            </w: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04/24/2026</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2040" w:type="dxa"/>
            <w:vAlign w:val="bottom"/>
            <w:tcBorders>
              <w:bottom w:val="single" w:sz="8" w:color="2C2C2C"/>
            </w:tcBorders>
            <w:gridSpan w:val="5"/>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7"/>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7"/>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04/24/2026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7,991</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61,661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04/24/2026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vertAlign w:val="subscript"/>
              </w:rPr>
              <w:t>364</w:t>
            </w:r>
            <w:r>
              <w:rPr>
                <w:rFonts w:ascii="Times New Roman" w:cs="Times New Roman" w:eastAsia="Times New Roman" w:hAnsi="Times New Roman"/>
                <w:sz w:val="11"/>
                <w:szCs w:val="11"/>
                <w:color w:val="008000"/>
              </w:rPr>
              <w:t>(2)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12.33</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61,297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2"/>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12.33</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04/24/2026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11,549</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04/24/2036</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11,549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11,549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151"/>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"Plan"). The restricted stock units will vest in three equal annual installements on each of April 24, 2027, 2028 and 2029.</w:t>
      </w:r>
    </w:p>
    <w:p>
      <w:pPr>
        <w:spacing w:after="0" w:line="17"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Dave &amp; Buster's Entertainment, Inc. to satisfy tax withholding obligations in connection with the vesting of restricted stock units. No shares were sold in this transaction.</w:t>
      </w:r>
    </w:p>
    <w:p>
      <w:pPr>
        <w:spacing w:after="0" w:line="1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the reporting person under the Plan. The shares underlying these stock options will vest and become exercisable in three equal annual installments on each of April 24, 2027, 2028 and 2029.</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Sherri M. Smith,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9974"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2026-04-28T19:39:58Z</dcterms:created>
  <dcterms:modified xsi:type="dcterms:W3CDTF">2026-04-28T19:39:58Z</dcterms:modified>
</cp:coreProperties>
</file>