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36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3682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3"/>
            <w:vMerge w:val="restart"/>
          </w:tcPr>
          <w:p>
            <w:pPr>
              <w:spacing w:after="0" w:line="238" w:lineRule="exact"/>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Pineiro Antonio</w:t>
              </w:r>
            </w:hyperlink>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10"/>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Dave &amp; Buster's Entertainment,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PLAY</w:t>
            </w:r>
          </w:p>
        </w:tc>
        <w:tc>
          <w:tcPr>
            <w:tcW w:w="12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320" w:type="dxa"/>
            <w:vAlign w:val="bottom"/>
            <w:tcBorders>
              <w:bottom w:val="single" w:sz="8" w:color="0000EE"/>
            </w:tcBorders>
            <w:gridSpan w:val="3"/>
            <w:vMerge w:val="continue"/>
          </w:tcPr>
          <w:p>
            <w:pPr>
              <w:spacing w:after="0"/>
              <w:rPr>
                <w:sz w:val="4"/>
                <w:szCs w:val="4"/>
                <w:color w:val="auto"/>
              </w:rPr>
            </w:pPr>
          </w:p>
        </w:tc>
        <w:tc>
          <w:tcPr>
            <w:tcW w:w="60" w:type="dxa"/>
            <w:vAlign w:val="bottom"/>
            <w:vMerge w:val="restart"/>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gridSpan w:val="4"/>
            <w:vMerge w:val="restart"/>
          </w:tcPr>
          <w:p>
            <w:pPr>
              <w:ind w:left="260"/>
              <w:spacing w:after="0" w:line="238" w:lineRule="exact"/>
              <w:rPr>
                <w:sz w:val="20"/>
                <w:szCs w:val="20"/>
                <w:color w:val="auto"/>
              </w:rPr>
            </w:pPr>
            <w:r>
              <w:rPr>
                <w:rFonts w:ascii="Times New Roman" w:cs="Times New Roman" w:eastAsia="Times New Roman" w:hAnsi="Times New Roman"/>
                <w:sz w:val="21"/>
                <w:szCs w:val="21"/>
                <w:color w:val="auto"/>
              </w:rPr>
              <w:t>]</w:t>
            </w: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320" w:type="dxa"/>
            <w:vAlign w:val="bottom"/>
            <w:gridSpan w:val="3"/>
          </w:tcPr>
          <w:p>
            <w:pPr>
              <w:spacing w:after="0"/>
              <w:rPr>
                <w:sz w:val="3"/>
                <w:szCs w:val="3"/>
                <w:color w:val="auto"/>
              </w:rPr>
            </w:pPr>
          </w:p>
        </w:tc>
        <w:tc>
          <w:tcPr>
            <w:tcW w:w="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gridSpan w:val="4"/>
            <w:vMerge w:val="continue"/>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1"/>
                <w:szCs w:val="11"/>
                <w:color w:val="auto"/>
              </w:rPr>
            </w:pPr>
          </w:p>
        </w:tc>
        <w:tc>
          <w:tcPr>
            <w:tcW w:w="148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9A9A9A"/>
              <w:bottom w:val="single" w:sz="8" w:color="9A9A9A"/>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9A9A9A"/>
            </w:tcBorders>
          </w:tcPr>
          <w:p>
            <w:pPr>
              <w:spacing w:after="0"/>
              <w:rPr>
                <w:sz w:val="9"/>
                <w:szCs w:val="9"/>
                <w:color w:val="auto"/>
              </w:rPr>
            </w:pPr>
          </w:p>
        </w:tc>
        <w:tc>
          <w:tcPr>
            <w:tcW w:w="1220" w:type="dxa"/>
            <w:vAlign w:val="bottom"/>
            <w:tcBorders>
              <w:top w:val="single" w:sz="8" w:color="9A9A9A"/>
              <w:bottom w:val="single" w:sz="8" w:color="9A9A9A"/>
            </w:tcBorders>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tcBorders>
              <w:top w:val="single" w:sz="8" w:color="9A9A9A"/>
              <w:bottom w:val="single" w:sz="8" w:color="9A9A9A"/>
            </w:tcBorders>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Borders>
              <w:top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8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4"/>
            <w:vMerge w:val="restart"/>
          </w:tcPr>
          <w:p>
            <w:pPr>
              <w:ind w:left="420"/>
              <w:spacing w:after="0"/>
              <w:rPr>
                <w:sz w:val="20"/>
                <w:szCs w:val="20"/>
                <w:color w:val="auto"/>
              </w:rPr>
            </w:pPr>
            <w:r>
              <w:rPr>
                <w:rFonts w:ascii="Times New Roman" w:cs="Times New Roman" w:eastAsia="Times New Roman" w:hAnsi="Times New Roman"/>
                <w:sz w:val="17"/>
                <w:szCs w:val="17"/>
                <w:color w:val="0000FF"/>
              </w:rPr>
              <w:t>President, International</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7"/>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1221 S. BELT LINE RD., SUITE 500</w:t>
            </w:r>
          </w:p>
        </w:tc>
        <w:tc>
          <w:tcPr>
            <w:tcW w:w="1300" w:type="dxa"/>
            <w:vAlign w:val="bottom"/>
            <w:gridSpan w:val="5"/>
            <w:vMerge w:val="restart"/>
          </w:tcPr>
          <w:p>
            <w:pPr>
              <w:ind w:left="260"/>
              <w:spacing w:after="0"/>
              <w:rPr>
                <w:sz w:val="20"/>
                <w:szCs w:val="20"/>
                <w:color w:val="auto"/>
              </w:rPr>
            </w:pPr>
            <w:r>
              <w:rPr>
                <w:rFonts w:ascii="Times New Roman" w:cs="Times New Roman" w:eastAsia="Times New Roman" w:hAnsi="Times New Roman"/>
                <w:sz w:val="17"/>
                <w:szCs w:val="17"/>
                <w:color w:val="0000FF"/>
              </w:rPr>
              <w:t>04/24/2026</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4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continue"/>
          </w:tcPr>
          <w:p>
            <w:pPr>
              <w:spacing w:after="0"/>
              <w:rPr>
                <w:sz w:val="11"/>
                <w:szCs w:val="11"/>
                <w:color w:val="auto"/>
              </w:rPr>
            </w:pPr>
          </w:p>
        </w:tc>
        <w:tc>
          <w:tcPr>
            <w:tcW w:w="1300" w:type="dxa"/>
            <w:vAlign w:val="bottom"/>
            <w:gridSpan w:val="5"/>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gridSpan w:val="4"/>
          </w:tcPr>
          <w:p>
            <w:pPr>
              <w:spacing w:after="0"/>
              <w:rPr>
                <w:sz w:val="9"/>
                <w:szCs w:val="9"/>
                <w:color w:val="auto"/>
              </w:rPr>
            </w:pPr>
          </w:p>
        </w:tc>
        <w:tc>
          <w:tcPr>
            <w:tcW w:w="2040" w:type="dxa"/>
            <w:vAlign w:val="bottom"/>
            <w:tcBorders>
              <w:bottom w:val="single" w:sz="8" w:color="2C2C2C"/>
            </w:tcBorders>
            <w:gridSpan w:val="5"/>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980" w:type="dxa"/>
            <w:vAlign w:val="bottom"/>
            <w:tcBorders>
              <w:bottom w:val="single" w:sz="8" w:color="2C2C2C"/>
            </w:tcBorders>
            <w:gridSpan w:val="7"/>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2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COPPELL</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75019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7"/>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0"/>
          </w:tcPr>
          <w:p>
            <w:pPr>
              <w:ind w:left="8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6"/>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4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7"/>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5"/>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40" w:type="dxa"/>
            <w:vAlign w:val="bottom"/>
          </w:tcPr>
          <w:p>
            <w:pPr>
              <w:jc w:val="right"/>
              <w:ind w:right="11"/>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4"/>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ind w:right="151"/>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04/24/2026</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8,029</w:t>
            </w:r>
            <w:r>
              <w:rPr>
                <w:rFonts w:ascii="Times New Roman" w:cs="Times New Roman" w:eastAsia="Times New Roman" w:hAnsi="Times New Roman"/>
                <w:sz w:val="21"/>
                <w:szCs w:val="21"/>
                <w:color w:val="008000"/>
                <w:vertAlign w:val="superscript"/>
              </w:rPr>
              <w:t>(1)</w:t>
            </w:r>
          </w:p>
        </w:tc>
        <w:tc>
          <w:tcPr>
            <w:tcW w:w="54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60,408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04/24/2026</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vertAlign w:val="subscript"/>
              </w:rPr>
              <w:t>476</w:t>
            </w:r>
            <w:r>
              <w:rPr>
                <w:rFonts w:ascii="Times New Roman" w:cs="Times New Roman" w:eastAsia="Times New Roman" w:hAnsi="Times New Roman"/>
                <w:sz w:val="11"/>
                <w:szCs w:val="11"/>
                <w:color w:val="008000"/>
              </w:rPr>
              <w:t>(2)</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12.33</w:t>
            </w: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59,932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20"/>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18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6"/>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0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of Securities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line="129" w:lineRule="exact"/>
              <w:rPr>
                <w:sz w:val="20"/>
                <w:szCs w:val="20"/>
                <w:color w:val="auto"/>
              </w:rPr>
            </w:pPr>
            <w:r>
              <w:rPr>
                <w:rFonts w:ascii="Arial" w:cs="Arial" w:eastAsia="Arial" w:hAnsi="Arial"/>
                <w:sz w:val="12"/>
                <w:szCs w:val="12"/>
                <w:b w:val="1"/>
                <w:bCs w:val="1"/>
                <w:color w:val="auto"/>
                <w:w w:val="82"/>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line="129" w:lineRule="exact"/>
              <w:rPr>
                <w:sz w:val="20"/>
                <w:szCs w:val="20"/>
                <w:color w:val="auto"/>
              </w:rPr>
            </w:pPr>
            <w:r>
              <w:rPr>
                <w:rFonts w:ascii="Arial" w:cs="Arial" w:eastAsia="Arial" w:hAnsi="Arial"/>
                <w:sz w:val="12"/>
                <w:szCs w:val="12"/>
                <w:b w:val="1"/>
                <w:bCs w:val="1"/>
                <w:color w:val="auto"/>
                <w:w w:val="87"/>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12.33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04/24/2026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11,603</w:t>
            </w:r>
          </w:p>
        </w:tc>
        <w:tc>
          <w:tcPr>
            <w:tcW w:w="320" w:type="dxa"/>
            <w:vAlign w:val="bottom"/>
          </w:tcPr>
          <w:p>
            <w:pPr>
              <w:spacing w:after="0"/>
              <w:rPr>
                <w:sz w:val="16"/>
                <w:szCs w:val="16"/>
                <w:color w:val="auto"/>
              </w:rPr>
            </w:pP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04/24/2036</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11,603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11,603</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ind w:right="151"/>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under the Dave &amp; Buster's Entertainment, Inc. 2025 Omnibus Incentive Plan (the "Plan"). The restricted stock units will vest in three equal annual installements on each of April 24, 2027, 2028 and 2029.</w:t>
      </w:r>
    </w:p>
    <w:p>
      <w:pPr>
        <w:spacing w:after="0" w:line="17" w:lineRule="exact"/>
        <w:rPr>
          <w:rFonts w:ascii="Times New Roman" w:cs="Times New Roman" w:eastAsia="Times New Roman" w:hAnsi="Times New Roman"/>
          <w:sz w:val="13"/>
          <w:szCs w:val="13"/>
          <w:color w:val="008000"/>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Dave &amp; Buster's Entertainment, Inc. to satisfy tax withholding obligations in connection with the vesting of restricted stock units. No shares were sold in this transaction.</w:t>
      </w:r>
    </w:p>
    <w:p>
      <w:pPr>
        <w:spacing w:after="0" w:line="17" w:lineRule="exact"/>
        <w:rPr>
          <w:rFonts w:ascii="Times New Roman" w:cs="Times New Roman" w:eastAsia="Times New Roman" w:hAnsi="Times New Roman"/>
          <w:sz w:val="13"/>
          <w:szCs w:val="13"/>
          <w:color w:val="008000"/>
        </w:rPr>
      </w:pPr>
    </w:p>
    <w:p>
      <w:pPr>
        <w:ind w:left="40" w:right="4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granted to the reporting person under the Plan. The shares underlying these stock options will vest and become exercisable in three equal annual installments on each of April 24, 2027, 2028 and 2029.</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Sherri M. Smith, Attorney-in-</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04/28/2026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38669" TargetMode="External"/><Relationship Id="rId14" Type="http://schemas.openxmlformats.org/officeDocument/2006/relationships/hyperlink" Target="http://www.sec.gov/cgi-bin/browse-edgar?action=getcompany&amp;CIK=0001525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2026-04-28T19:45:52Z</dcterms:created>
  <dcterms:modified xsi:type="dcterms:W3CDTF">2026-04-28T19:45:52Z</dcterms:modified>
</cp:coreProperties>
</file>