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CHAMBERS JAMES P.</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040" w:type="dxa"/>
            <w:vAlign w:val="bottom"/>
          </w:tcPr>
          <w:p>
            <w:pPr>
              <w:ind w:left="100"/>
              <w:spacing w:after="0"/>
              <w:rPr>
                <w:sz w:val="20"/>
                <w:szCs w:val="20"/>
                <w:color w:val="auto"/>
              </w:rPr>
            </w:pPr>
            <w:r>
              <w:rPr>
                <w:rFonts w:ascii="Arial" w:cs="Arial" w:eastAsia="Arial" w:hAnsi="Arial"/>
                <w:sz w:val="13"/>
                <w:szCs w:val="13"/>
                <w:color w:val="auto"/>
              </w:rPr>
              <w:t>(First)</w:t>
            </w:r>
          </w:p>
        </w:tc>
        <w:tc>
          <w:tcPr>
            <w:tcW w:w="1480" w:type="dxa"/>
            <w:vAlign w:val="bottom"/>
          </w:tcPr>
          <w:p>
            <w:pPr>
              <w:ind w:left="2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150 EAST 58TH STREET</w:t>
            </w:r>
          </w:p>
        </w:tc>
        <w:tc>
          <w:tcPr>
            <w:tcW w:w="148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33RD FLOOR</w:t>
            </w:r>
          </w:p>
        </w:tc>
        <w:tc>
          <w:tcPr>
            <w:tcW w:w="104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2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0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NY</w:t>
            </w:r>
          </w:p>
        </w:tc>
        <w:tc>
          <w:tcPr>
            <w:tcW w:w="14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10155</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100"/>
              <w:spacing w:after="0"/>
              <w:rPr>
                <w:sz w:val="20"/>
                <w:szCs w:val="20"/>
                <w:color w:val="auto"/>
              </w:rPr>
            </w:pPr>
            <w:r>
              <w:rPr>
                <w:rFonts w:ascii="Arial" w:cs="Arial" w:eastAsia="Arial" w:hAnsi="Arial"/>
                <w:sz w:val="13"/>
                <w:szCs w:val="13"/>
                <w:color w:val="auto"/>
              </w:rPr>
              <w:t>(State)</w:t>
            </w:r>
          </w:p>
        </w:tc>
        <w:tc>
          <w:tcPr>
            <w:tcW w:w="1480" w:type="dxa"/>
            <w:vAlign w:val="bottom"/>
          </w:tcPr>
          <w:p>
            <w:pPr>
              <w:ind w:left="2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Dave &amp; Buster's Entertainment,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6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PLAY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3"/>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9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860" w:type="dxa"/>
            <w:vAlign w:val="bottom"/>
          </w:tcPr>
          <w:p>
            <w:pPr>
              <w:ind w:left="600"/>
              <w:spacing w:after="0" w:line="11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1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1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04/24/2026</w:t>
            </w:r>
          </w:p>
        </w:tc>
        <w:tc>
          <w:tcPr>
            <w:tcW w:w="6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9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33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2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04/24/2026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11,278</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29,361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granted to the reporting person under the Dave &amp; Buster's Entertainment, Inc. 2025 Omnibus Incentive Plan. The restricted stock units will vest on April 24, 2027. The reporting person has elected to defer the receipt of shares upon vesting of the restricted stock units until his service on the Board of Directors is terminated, pursuant to the Dave &amp; Buster's Entertainment, Inc. Amended and Restated 2016 Deferred Compensation Plan for Non-Employee Directors.</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James P. Chambers</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04/28/2026</w:t>
            </w:r>
          </w:p>
        </w:tc>
      </w:tr>
      <w:tr>
        <w:trPr>
          <w:trHeight w:val="20"/>
        </w:trPr>
        <w:tc>
          <w:tcPr>
            <w:tcW w:w="13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8860" TargetMode="External"/><Relationship Id="rId14" Type="http://schemas.openxmlformats.org/officeDocument/2006/relationships/hyperlink" Target="http://www.sec.gov/cgi-bin/browse-edgar?action=getcompany&amp;CIK=00015257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2026-04-28T20:28:53Z</dcterms:created>
  <dcterms:modified xsi:type="dcterms:W3CDTF">2026-04-28T20:28:53Z</dcterms:modified>
</cp:coreProperties>
</file>