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May 1,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DAVE &amp; BUSTER’S ENTERTAINMENT,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001-35664</w:t>
            </w:r>
          </w:p>
        </w:tc>
        <w:tc>
          <w:tcPr>
            <w:tcW w:w="2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35-2382255</w:t>
            </w:r>
          </w:p>
        </w:tc>
      </w:tr>
      <w:tr>
        <w:trPr>
          <w:trHeight w:val="225"/>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(State of</w:t>
            </w:r>
          </w:p>
        </w:tc>
        <w:tc>
          <w:tcPr>
            <w:tcW w:w="4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 File</w:t>
            </w:r>
          </w:p>
        </w:tc>
        <w:tc>
          <w:tcPr>
            <w:tcW w:w="2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incorporation)</w:t>
            </w: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Number)</w:t>
            </w:r>
          </w:p>
        </w:tc>
        <w:tc>
          <w:tcPr>
            <w:tcW w:w="2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572"/>
        </w:trPr>
        <w:tc>
          <w:tcPr>
            <w:tcW w:w="1940" w:type="dxa"/>
            <w:vAlign w:val="bottom"/>
          </w:tcPr>
          <w:p>
            <w:pPr>
              <w:spacing w:after="0"/>
              <w:rPr>
                <w:sz w:val="24"/>
                <w:szCs w:val="24"/>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1221 S. Belt Line Rd., Suite 500</w:t>
            </w:r>
          </w:p>
        </w:tc>
        <w:tc>
          <w:tcPr>
            <w:tcW w:w="2400" w:type="dxa"/>
            <w:vAlign w:val="bottom"/>
          </w:tcPr>
          <w:p>
            <w:pPr>
              <w:spacing w:after="0"/>
              <w:rPr>
                <w:sz w:val="24"/>
                <w:szCs w:val="24"/>
                <w:color w:val="auto"/>
              </w:rPr>
            </w:pPr>
          </w:p>
        </w:tc>
      </w:tr>
      <w:tr>
        <w:trPr>
          <w:trHeight w:val="238"/>
        </w:trPr>
        <w:tc>
          <w:tcPr>
            <w:tcW w:w="1940" w:type="dxa"/>
            <w:vAlign w:val="bottom"/>
          </w:tcPr>
          <w:p>
            <w:pPr>
              <w:spacing w:after="0"/>
              <w:rPr>
                <w:sz w:val="20"/>
                <w:szCs w:val="20"/>
                <w:color w:val="auto"/>
              </w:rPr>
            </w:pPr>
          </w:p>
        </w:tc>
        <w:tc>
          <w:tcPr>
            <w:tcW w:w="45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Coppell, TX 75019</w:t>
            </w:r>
          </w:p>
        </w:tc>
        <w:tc>
          <w:tcPr>
            <w:tcW w:w="2400" w:type="dxa"/>
            <w:vAlign w:val="bottom"/>
          </w:tcPr>
          <w:p>
            <w:pPr>
              <w:spacing w:after="0"/>
              <w:rPr>
                <w:sz w:val="20"/>
                <w:szCs w:val="20"/>
                <w:color w:val="auto"/>
              </w:rPr>
            </w:pPr>
          </w:p>
        </w:tc>
      </w:tr>
      <w:tr>
        <w:trPr>
          <w:trHeight w:val="270"/>
        </w:trPr>
        <w:tc>
          <w:tcPr>
            <w:tcW w:w="1940" w:type="dxa"/>
            <w:vAlign w:val="bottom"/>
          </w:tcPr>
          <w:p>
            <w:pPr>
              <w:spacing w:after="0"/>
              <w:rPr>
                <w:sz w:val="23"/>
                <w:szCs w:val="23"/>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spacing w:after="0"/>
              <w:rPr>
                <w:sz w:val="23"/>
                <w:szCs w:val="23"/>
                <w:color w:val="auto"/>
              </w:rPr>
            </w:pPr>
          </w:p>
        </w:tc>
      </w:tr>
    </w:tbl>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(214) 357-9588</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reporting obligation of the registrant under any of the following provisions:</w:t>
      </w:r>
    </w:p>
    <w:p>
      <w:pPr>
        <w:spacing w:after="0" w:line="279" w:lineRule="exact"/>
        <w:rPr>
          <w:sz w:val="24"/>
          <w:szCs w:val="24"/>
          <w:color w:val="auto"/>
        </w:rPr>
      </w:pPr>
    </w:p>
    <w:p>
      <w:pPr>
        <w:ind w:left="780" w:hanging="714"/>
        <w:spacing w:after="0"/>
        <w:tabs>
          <w:tab w:leader="none" w:pos="7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w:t>
      </w:r>
    </w:p>
    <w:p>
      <w:pPr>
        <w:spacing w:after="0" w:line="197" w:lineRule="exact"/>
        <w:rPr>
          <w:rFonts w:ascii="MS PGothic" w:cs="MS PGothic" w:eastAsia="MS PGothic" w:hAnsi="MS PGothic"/>
          <w:sz w:val="36"/>
          <w:szCs w:val="36"/>
          <w:color w:val="auto"/>
          <w:vertAlign w:val="superscript"/>
        </w:rPr>
      </w:pPr>
    </w:p>
    <w:p>
      <w:pPr>
        <w:ind w:left="780" w:hanging="714"/>
        <w:spacing w:after="0" w:line="181" w:lineRule="auto"/>
        <w:tabs>
          <w:tab w:leader="none" w:pos="780" w:val="left"/>
        </w:tabs>
        <w:numPr>
          <w:ilvl w:val="0"/>
          <w:numId w:val="1"/>
        </w:numPr>
        <w:rPr>
          <w:rFonts w:ascii="MS PGothic" w:cs="MS PGothic" w:eastAsia="MS PGothic" w:hAnsi="MS PGothic"/>
          <w:sz w:val="31"/>
          <w:szCs w:val="31"/>
          <w:color w:val="auto"/>
          <w:vertAlign w:val="superscript"/>
        </w:rPr>
      </w:pPr>
      <w:r>
        <w:rPr>
          <w:rFonts w:ascii="Times New Roman" w:cs="Times New Roman" w:eastAsia="Times New Roman" w:hAnsi="Times New Roman"/>
          <w:sz w:val="16"/>
          <w:szCs w:val="16"/>
          <w:color w:val="auto"/>
        </w:rPr>
        <w:t>Soliciting material pursuant to Rule 14a-12 of the Exchange Act</w:t>
      </w:r>
    </w:p>
    <w:p>
      <w:pPr>
        <w:spacing w:after="0" w:line="198" w:lineRule="exact"/>
        <w:rPr>
          <w:rFonts w:ascii="MS PGothic" w:cs="MS PGothic" w:eastAsia="MS PGothic" w:hAnsi="MS PGothic"/>
          <w:sz w:val="31"/>
          <w:szCs w:val="31"/>
          <w:color w:val="auto"/>
          <w:vertAlign w:val="superscript"/>
        </w:rPr>
      </w:pPr>
    </w:p>
    <w:p>
      <w:pPr>
        <w:ind w:left="780" w:hanging="714"/>
        <w:spacing w:after="0" w:line="181" w:lineRule="auto"/>
        <w:tabs>
          <w:tab w:leader="none" w:pos="780" w:val="left"/>
        </w:tabs>
        <w:numPr>
          <w:ilvl w:val="0"/>
          <w:numId w:val="1"/>
        </w:numPr>
        <w:rPr>
          <w:rFonts w:ascii="MS PGothic" w:cs="MS PGothic" w:eastAsia="MS PGothic" w:hAnsi="MS PGothic"/>
          <w:sz w:val="31"/>
          <w:szCs w:val="31"/>
          <w:color w:val="auto"/>
          <w:vertAlign w:val="superscript"/>
        </w:rPr>
      </w:pPr>
      <w:r>
        <w:rPr>
          <w:rFonts w:ascii="Times New Roman" w:cs="Times New Roman" w:eastAsia="Times New Roman" w:hAnsi="Times New Roman"/>
          <w:sz w:val="16"/>
          <w:szCs w:val="16"/>
          <w:color w:val="auto"/>
        </w:rPr>
        <w:t>Pre-commencement communications pursuant to Rule 14d-2(b) Exchange Act</w:t>
      </w:r>
    </w:p>
    <w:p>
      <w:pPr>
        <w:spacing w:after="0" w:line="198" w:lineRule="exact"/>
        <w:rPr>
          <w:rFonts w:ascii="MS PGothic" w:cs="MS PGothic" w:eastAsia="MS PGothic" w:hAnsi="MS PGothic"/>
          <w:sz w:val="31"/>
          <w:szCs w:val="31"/>
          <w:color w:val="auto"/>
          <w:vertAlign w:val="superscript"/>
        </w:rPr>
      </w:pPr>
    </w:p>
    <w:p>
      <w:pPr>
        <w:ind w:right="4840" w:firstLine="66"/>
        <w:spacing w:after="0" w:line="355" w:lineRule="auto"/>
        <w:tabs>
          <w:tab w:leader="none" w:pos="774"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Exchange Act 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8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PLAY</w:t>
            </w:r>
          </w:p>
        </w:tc>
        <w:tc>
          <w:tcPr>
            <w:tcW w:w="100" w:type="dxa"/>
            <w:vAlign w:val="bottom"/>
          </w:tcPr>
          <w:p>
            <w:pPr>
              <w:spacing w:after="0"/>
              <w:rPr>
                <w:sz w:val="19"/>
                <w:szCs w:val="19"/>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28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818515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27, 2026, the Board of Directors (“Board”) of Dave &amp; Buster’s Entertainment, Inc. (the “Company”) appointed Charles H. Protell, 51, to the Board and to the Audit Committee of the Board, in each case effective April 27, 2026.</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Protell and any other person pursuant to which he was appointed as a director. Additionally, with Mr. Protell’s appointment to the Audit Committee, members of such Committee are now Atish Shah (Chair), Nathaniel J. Lipman, Allen R. Weiss, and Charles Protell.</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Charles H. Protell is currently the President and Chief Financial Officer of Golden Entertainment, Inc. Mr. Protell joined Golden as Executive Vice President, Chief Strategy Officer and Chief Financial Officer in November 2016 and was promoted to President in August 2019. He currently serves on Golden’s compliance committee and previously also served as Golden’s Treasurer. Prior to joining Golden, Mr. Protell served as managing director at Macquarie Capital’s investment banking group since May 2011, and as co-founder and a managing director at REGAL Capital Advisors from January 2009 until its acquisition by Macquarie Capital in May 2011. Prior to co-founding REGAL Capital Advisors, Mr. Protell held various investment banking roles at Credit Suisse, Deutsche Bank and CIBC World Markets. Mr. Protell received a Bachelor of Science degree in Commerce from the University of Virginia.</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Protell’s compensation for his service as non-employee director will be consistent with that of the Company’s other non-employee directors. Mr. Protell is not a party to any transaction that would require disclosure under Item 404(a) of Regulation S-K.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2026, Atish Shah notified the Company of his decision to not stand for reelection to the Board at the Company’s 2026 annual meeting of shareholders, to be held on June 18, 2026 (the “Annual Meeting”). Mr. Shah is the Chair of the Audit Committee of the Board and is also member of the Nominating and Corporate Governance Committee. Mr. Shah will continue to serve as a director until the Annual Meeting.</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Shah’s decision to not stand for reelection at the Annual Meeting is not the result of any disagreement with the Company or the Board on any matter relating to the Company’s operations, policies or practices, or any other matter. In connection with Mr. Shah’s decision to not stand for reelection at the Annual Meeting, the Board determined to decrease the number of directors on the Board from eight to seven, effective as of the date of the Annual Meeting. Also effective as of the date of the Annual Meeting, the Board has determined that Nathaniel J. Lipman will serve as the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Section 7 – Regulation FD</w:t>
      </w:r>
    </w:p>
    <w:p>
      <w:pPr>
        <w:spacing w:after="0" w:line="1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2026, the Company issued a press release announcing the appointment of Mr. Protell to the Board of the Company, among other things. A copy of the press release is furnished with this Current Report on Form 8-K as Exhibit 99.1 and is incorporated herein by reference.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shall not be deemed “filed” for purposes of Section 18 of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1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6" w:lineRule="exact"/>
        <w:rPr>
          <w:sz w:val="20"/>
          <w:szCs w:val="20"/>
          <w:color w:val="auto"/>
        </w:rPr>
      </w:pPr>
    </w:p>
    <w:p>
      <w:pPr>
        <w:ind w:left="102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issued May 1, 2026</w:t>
      </w:r>
    </w:p>
    <w:p>
      <w:pPr>
        <w:spacing w:after="0" w:line="27" w:lineRule="exact"/>
        <w:rPr>
          <w:sz w:val="20"/>
          <w:szCs w:val="20"/>
          <w:color w:val="auto"/>
        </w:rPr>
      </w:pPr>
    </w:p>
    <w:p>
      <w:pPr>
        <w:ind w:left="1040"/>
        <w:spacing w:after="0"/>
        <w:tabs>
          <w:tab w:leader="none" w:pos="1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DAVE &amp; BUSTER’S ENTERTAINMENT, INC.</w:t>
            </w:r>
          </w:p>
        </w:tc>
      </w:tr>
      <w:tr>
        <w:trPr>
          <w:trHeight w:val="40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29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Rodolfo Rodriguez, Jr.</w:t>
            </w:r>
          </w:p>
        </w:tc>
      </w:tr>
      <w:tr>
        <w:trPr>
          <w:trHeight w:val="205"/>
        </w:trPr>
        <w:tc>
          <w:tcPr>
            <w:tcW w:w="3500" w:type="dxa"/>
            <w:vAlign w:val="bottom"/>
          </w:tcPr>
          <w:p>
            <w:pPr>
              <w:spacing w:after="0"/>
              <w:rPr>
                <w:sz w:val="17"/>
                <w:szCs w:val="17"/>
                <w:color w:val="auto"/>
              </w:rPr>
            </w:pPr>
          </w:p>
        </w:tc>
        <w:tc>
          <w:tcPr>
            <w:tcW w:w="2900" w:type="dxa"/>
            <w:vAlign w:val="bottom"/>
          </w:tcPr>
          <w:p>
            <w:pPr>
              <w:ind w:left="2160"/>
              <w:spacing w:after="0" w:line="205" w:lineRule="exact"/>
              <w:rPr>
                <w:sz w:val="20"/>
                <w:szCs w:val="20"/>
                <w:color w:val="auto"/>
              </w:rPr>
            </w:pPr>
            <w:r>
              <w:rPr>
                <w:rFonts w:ascii="Times New Roman" w:cs="Times New Roman" w:eastAsia="Times New Roman" w:hAnsi="Times New Roman"/>
                <w:sz w:val="18"/>
                <w:szCs w:val="18"/>
                <w:color w:val="auto"/>
              </w:rPr>
              <w:t>Rodolfo</w:t>
            </w:r>
          </w:p>
        </w:tc>
        <w:tc>
          <w:tcPr>
            <w:tcW w:w="4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Rodriguez, Jr.</w:t>
            </w:r>
          </w:p>
        </w:tc>
      </w:tr>
      <w:tr>
        <w:trPr>
          <w:trHeight w:val="234"/>
        </w:trPr>
        <w:tc>
          <w:tcPr>
            <w:tcW w:w="3500" w:type="dxa"/>
            <w:vAlign w:val="bottom"/>
          </w:tcPr>
          <w:p>
            <w:pPr>
              <w:spacing w:after="0"/>
              <w:rPr>
                <w:sz w:val="20"/>
                <w:szCs w:val="20"/>
                <w:color w:val="auto"/>
              </w:rPr>
            </w:pPr>
          </w:p>
        </w:tc>
        <w:tc>
          <w:tcPr>
            <w:tcW w:w="77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tc>
      </w:tr>
    </w:tbl>
    <w:p>
      <w:pPr>
        <w:sectPr>
          <w:pgSz w:w="11900" w:h="16838" w:orient="portrait"/>
          <w:cols w:equalWidth="0" w:num="1">
            <w:col w:w="11240"/>
          </w:cols>
          <w:pgMar w:left="320" w:top="114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156845</wp:posOffset>
            </wp:positionV>
            <wp:extent cx="1200150" cy="925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Dave &amp; Buster’s Announces Board of Directors Transitions</w:t>
      </w: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333333"/>
        </w:rPr>
        <w:t xml:space="preserve">DALLAS, </w:t>
      </w:r>
      <w:r>
        <w:rPr>
          <w:rFonts w:ascii="Times New Roman" w:cs="Times New Roman" w:eastAsia="Times New Roman" w:hAnsi="Times New Roman"/>
          <w:sz w:val="18"/>
          <w:szCs w:val="18"/>
          <w:color w:val="000000"/>
        </w:rPr>
        <w:t>May 1,</w:t>
      </w:r>
      <w:r>
        <w:rPr>
          <w:rFonts w:ascii="Times New Roman" w:cs="Times New Roman" w:eastAsia="Times New Roman" w:hAnsi="Times New Roman"/>
          <w:sz w:val="18"/>
          <w:szCs w:val="18"/>
          <w:color w:val="333333"/>
        </w:rPr>
        <w:t xml:space="preserve"> 2026 (GLOBE NEWSWIRE) -- Dave &amp; Buster's Entertainment, Inc., (NASDAQ: PLAY), ("Dave &amp; Buster's" or "the Company") today announced the appointment of Charles Protell to the Company’s Board of Directors and Audit Committee of the Board, effective </w:t>
      </w:r>
      <w:r>
        <w:rPr>
          <w:rFonts w:ascii="Times New Roman" w:cs="Times New Roman" w:eastAsia="Times New Roman" w:hAnsi="Times New Roman"/>
          <w:sz w:val="18"/>
          <w:szCs w:val="18"/>
          <w:color w:val="000000"/>
        </w:rPr>
        <w:t>April 27, 2026.</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33333"/>
        </w:rPr>
        <w:t>On April 30, 2026, Atish Shah notified the Company of his decision to not stand for reelection to the Company’s Board of Directors at the Company’s 2026 annual meeting of shareholders, to be held on June 18, 2026 (the “Annual Meeting”). Mr. Shah is the Chair of the Audit Committee of the Board and is also a member of the Nominating and Corporate Governance Committee. Mr. Shah will continue to serve as a director until the Annual Meeting.</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333333"/>
        </w:rPr>
        <w:t>“On behalf of the Board, we are pleased to welcome Charles to our team,” said Kevin Sheehan, Board Chair. “Charles has an exceptional background in entertainment management and broader finance that we believe will be a tremendous asset to our organization for many years to come. We would also like to take the opportunity to thank Atish for his over five years of service as a member of our Board. His dedication as the Chair of our Audit Committee will not be forgotten and we wish him the very best in his undoubtedly bright professional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About Charles Protell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333333"/>
        </w:rPr>
        <w:t>Mr. Protell is currently the President and Chief Financial Officer of Golden Entertainment. He joined Golden as Executive Vice President, Chief Strategy Officer and Chief Financial Officer in November 2016 and was promoted to President in August 2019. Mr. Protell currently serves on Golden’s compliance committee and previously also served as Golden’s Treasurer. Prior to joining Golden, Mr. Protell served as managing director at Macquarie Capital’s investment banking group since May 2011, and as co-founder and a managing director at REGAL Capital Advisors from January 2009 until its acquisition by Macquarie Capital in May 2011. Prior to co-founding REGAL Capital Advisors, Mr. Protell held various investment banking roles at Credit Suisse, Deutsche Bank and CIBC World Markets. Mr. Protell received a Bachelor of Science degree in Commerce from the University of Virginia.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About Dave &amp; Buster’s Entertainment, Inc.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333333"/>
        </w:rPr>
        <w:t>Founded in 1982 and headquartered in Coppell, Texas, Dave &amp; Buster’s Entertainment, Inc., is the owner and operator of 243 venues in North America that offer premier entertainment and dining experiences to guests through two distinct brands: Dave &amp; Buster’s and Main Event. The Company has 179 Dave &amp; Buster’s branded stores in 43 states, Puerto Rico, and Canada and offers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The Company also operates 64 Main Event branded stores in 22 states across the country, and offers state-of-the-art bowling, laser tag, hundreds of arcade games and virtual reality, making it the perfect place for families to connect and make memories. Internationally, the Company is in early-stage growth as a franchisor of its brands with four Dave &amp; Buster’s franchise stores currently open. For more information about each brand, visit daveandbusters.com and mainevent.com.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For Investor Relations Inquiries: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Cory Hatton, Head of Entertainment Finance, Investor Relations &amp; Treasurer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Dave &amp; Buster’s Entertainment,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Cory.Hatton@daveandbusters.com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2026-05-01T15:31:30Z</dcterms:created>
  <dcterms:modified xsi:type="dcterms:W3CDTF">2026-05-01T15:31:30Z</dcterms:modified>
</cp:coreProperties>
</file>