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Hill Path Capital Partners LP</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0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4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10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NY</w:t>
            </w:r>
          </w:p>
        </w:tc>
        <w:tc>
          <w:tcPr>
            <w:tcW w:w="14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10155</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00"/>
              <w:spacing w:after="0"/>
              <w:rPr>
                <w:sz w:val="20"/>
                <w:szCs w:val="20"/>
                <w:color w:val="auto"/>
              </w:rPr>
            </w:pPr>
            <w:r>
              <w:rPr>
                <w:rFonts w:ascii="Arial" w:cs="Arial" w:eastAsia="Arial" w:hAnsi="Arial"/>
                <w:sz w:val="13"/>
                <w:szCs w:val="13"/>
                <w:color w:val="auto"/>
              </w:rPr>
              <w:t>(State)</w:t>
            </w:r>
          </w:p>
        </w:tc>
        <w:tc>
          <w:tcPr>
            <w:tcW w:w="148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Dave &amp; Buster's Entertainment,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PLAY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Borders>
              <w:bottom w:val="single" w:sz="8" w:color="808080"/>
            </w:tcBorders>
          </w:tcPr>
          <w:p>
            <w:pPr>
              <w:spacing w:after="0"/>
              <w:rPr>
                <w:sz w:val="17"/>
                <w:szCs w:val="17"/>
                <w:color w:val="auto"/>
              </w:rPr>
            </w:pPr>
          </w:p>
        </w:tc>
        <w:tc>
          <w:tcPr>
            <w:tcW w:w="3080" w:type="dxa"/>
            <w:vAlign w:val="bottom"/>
            <w:tcBorders>
              <w:bottom w:val="single" w:sz="8" w:color="808080"/>
            </w:tcBorders>
          </w:tcPr>
          <w:p>
            <w:pPr>
              <w:spacing w:after="0"/>
              <w:rPr>
                <w:sz w:val="17"/>
                <w:szCs w:val="17"/>
                <w:color w:val="auto"/>
              </w:rPr>
            </w:pPr>
          </w:p>
        </w:tc>
        <w:tc>
          <w:tcPr>
            <w:tcW w:w="660" w:type="dxa"/>
            <w:vAlign w:val="bottom"/>
            <w:tcBorders>
              <w:bottom w:val="single" w:sz="8" w:color="808080"/>
            </w:tcBorders>
          </w:tcPr>
          <w:p>
            <w:pPr>
              <w:spacing w:after="0"/>
              <w:rPr>
                <w:sz w:val="17"/>
                <w:szCs w:val="17"/>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9"/>
        </w:trPr>
        <w:tc>
          <w:tcPr>
            <w:tcW w:w="80" w:type="dxa"/>
            <w:vAlign w:val="bottom"/>
            <w:tcBorders>
              <w:top w:val="single" w:sz="8" w:color="2C2C2C"/>
            </w:tcBorders>
          </w:tcPr>
          <w:p>
            <w:pPr>
              <w:spacing w:after="0"/>
              <w:rPr>
                <w:sz w:val="15"/>
                <w:szCs w:val="15"/>
                <w:color w:val="auto"/>
              </w:rPr>
            </w:pPr>
          </w:p>
        </w:tc>
        <w:tc>
          <w:tcPr>
            <w:tcW w:w="37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240"/>
              <w:spacing w:after="0" w:line="179" w:lineRule="exact"/>
              <w:rPr>
                <w:sz w:val="20"/>
                <w:szCs w:val="20"/>
                <w:color w:val="auto"/>
              </w:rPr>
            </w:pPr>
            <w:r>
              <w:rPr>
                <w:rFonts w:ascii="Times New Roman" w:cs="Times New Roman" w:eastAsia="Times New Roman" w:hAnsi="Times New Roman"/>
                <w:sz w:val="17"/>
                <w:szCs w:val="17"/>
                <w:color w:val="0000FF"/>
              </w:rPr>
              <w:t>SEE EXPLANATION OF RESPONSES</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05/06/2026</w:t>
            </w:r>
          </w:p>
        </w:tc>
        <w:tc>
          <w:tcPr>
            <w:tcW w:w="6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0" w:type="dxa"/>
            <w:vAlign w:val="bottom"/>
            <w:tcBorders>
              <w:bottom w:val="single" w:sz="8" w:color="2C2C2C"/>
            </w:tcBorders>
          </w:tcPr>
          <w:p>
            <w:pPr>
              <w:spacing w:after="0"/>
              <w:rPr>
                <w:sz w:val="16"/>
                <w:szCs w:val="16"/>
                <w:color w:val="auto"/>
              </w:rPr>
            </w:pPr>
          </w:p>
        </w:tc>
        <w:tc>
          <w:tcPr>
            <w:tcW w:w="30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3300" w:type="dxa"/>
            <w:vAlign w:val="bottom"/>
            <w:tcBorders>
              <w:bottom w:val="single" w:sz="8" w:color="2C2C2C"/>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36"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05/06/2026</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34"/>
                <w:szCs w:val="34"/>
                <w:color w:val="0000FF"/>
                <w:vertAlign w:val="subscript"/>
              </w:rPr>
              <w:t>867</w:t>
            </w:r>
            <w:r>
              <w:rPr>
                <w:rFonts w:ascii="Times New Roman" w:cs="Times New Roman" w:eastAsia="Times New Roman" w:hAnsi="Times New Roman"/>
                <w:sz w:val="11"/>
                <w:szCs w:val="11"/>
                <w:color w:val="008000"/>
              </w:rPr>
              <w:t>(3)</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vMerge w:val="restart"/>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17,941</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Scott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Ross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156,760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 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1,293,990</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 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650,501</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 J</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2,095,246</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2,869,527</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 II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Hill</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Path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ind w:left="60"/>
              <w:spacing w:after="0" w:line="213" w:lineRule="exact"/>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(1)(2)</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53,231</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8"/>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(9)</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40" w:type="dxa"/>
            <w:vAlign w:val="bottom"/>
            <w:tcBorders>
              <w:top w:val="single" w:sz="8" w:color="808080"/>
            </w:tcBorders>
            <w:shd w:val="clear" w:color="auto" w:fill="2C2C2C"/>
          </w:tcPr>
          <w:p>
            <w:pPr>
              <w:spacing w:after="0" w:line="20" w:lineRule="exact"/>
              <w:rPr>
                <w:sz w:val="1"/>
                <w:szCs w:val="1"/>
                <w:color w:val="auto"/>
              </w:rPr>
            </w:pPr>
          </w:p>
        </w:tc>
        <w:tc>
          <w:tcPr>
            <w:tcW w:w="17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1"/>
                <w:szCs w:val="11"/>
                <w:color w:val="auto"/>
              </w:rPr>
            </w:pP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1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6"/>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50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gridSpan w:val="5"/>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gridSpan w:val="5"/>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4"/>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gridSpan w:val="5"/>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1180" w:type="dxa"/>
            <w:vAlign w:val="bottom"/>
          </w:tcPr>
          <w:p>
            <w:pPr>
              <w:spacing w:after="0"/>
              <w:rPr>
                <w:sz w:val="4"/>
                <w:szCs w:val="4"/>
                <w:color w:val="auto"/>
              </w:rPr>
            </w:pPr>
          </w:p>
        </w:tc>
        <w:tc>
          <w:tcPr>
            <w:tcW w:w="1100" w:type="dxa"/>
            <w:vAlign w:val="bottom"/>
            <w:gridSpan w:val="5"/>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2"/>
                <w:szCs w:val="2"/>
                <w:color w:val="0000EE"/>
              </w:rPr>
              <w:t>Hill Path Capital Partners LP</w:t>
            </w: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Deriv tive</w:t>
              </w:r>
            </w:hyperlink>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Security</w:t>
              </w:r>
            </w:hyperlink>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tcPr>
          <w:p>
            <w:pPr>
              <w:ind w:left="20"/>
              <w:spacing w:after="0" w:line="148" w:lineRule="exact"/>
              <w:rPr>
                <w:sz w:val="20"/>
                <w:szCs w:val="20"/>
                <w:color w:val="auto"/>
              </w:rPr>
            </w:pPr>
            <w:r>
              <w:rPr>
                <w:rFonts w:ascii="Arial" w:cs="Arial" w:eastAsia="Arial" w:hAnsi="Arial"/>
                <w:sz w:val="13"/>
                <w:szCs w:val="13"/>
                <w:color w:val="auto"/>
              </w:rPr>
              <w:t>(First)</w:t>
            </w:r>
          </w:p>
        </w:tc>
        <w:tc>
          <w:tcPr>
            <w:tcW w:w="120" w:type="dxa"/>
            <w:vAlign w:val="bottom"/>
          </w:tcPr>
          <w:p>
            <w:pPr>
              <w:spacing w:after="0"/>
              <w:rPr>
                <w:sz w:val="12"/>
                <w:szCs w:val="12"/>
                <w:color w:val="auto"/>
              </w:rPr>
            </w:pPr>
          </w:p>
        </w:tc>
        <w:tc>
          <w:tcPr>
            <w:tcW w:w="980" w:type="dxa"/>
            <w:vAlign w:val="bottom"/>
            <w:gridSpan w:val="4"/>
          </w:tcPr>
          <w:p>
            <w:pPr>
              <w:ind w:left="120"/>
              <w:spacing w:after="0" w:line="148" w:lineRule="exact"/>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150 EAST 58TH STREET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808080"/>
            </w:tcBorders>
          </w:tcPr>
          <w:p>
            <w:pPr>
              <w:spacing w:after="0" w:line="20" w:lineRule="exact"/>
              <w:rPr>
                <w:sz w:val="1"/>
                <w:szCs w:val="1"/>
                <w:color w:val="auto"/>
              </w:rPr>
            </w:pPr>
          </w:p>
        </w:tc>
        <w:tc>
          <w:tcPr>
            <w:tcW w:w="28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highlight w:val="white"/>
              </w:rPr>
              <w:t>33RD FLOOR</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Borders>
              <w:bottom w:val="single" w:sz="8" w:color="2C2C2C"/>
            </w:tcBorders>
          </w:tcPr>
          <w:p>
            <w:pPr>
              <w:spacing w:after="0"/>
              <w:rPr>
                <w:sz w:val="22"/>
                <w:szCs w:val="22"/>
                <w:color w:val="auto"/>
              </w:rPr>
            </w:pPr>
          </w:p>
        </w:tc>
        <w:tc>
          <w:tcPr>
            <w:tcW w:w="28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7" w:lineRule="exact"/>
              <w:rPr>
                <w:sz w:val="20"/>
                <w:szCs w:val="20"/>
                <w:color w:val="auto"/>
              </w:rPr>
            </w:pPr>
            <w:r>
              <w:rPr>
                <w:rFonts w:ascii="Times New Roman" w:cs="Times New Roman" w:eastAsia="Times New Roman" w:hAnsi="Times New Roman"/>
                <w:sz w:val="17"/>
                <w:szCs w:val="17"/>
                <w:color w:val="0000FF"/>
                <w:highlight w:val="white"/>
              </w:rPr>
              <w:t>NEW YORK</w:t>
            </w:r>
          </w:p>
        </w:tc>
        <w:tc>
          <w:tcPr>
            <w:tcW w:w="118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NY</w:t>
            </w:r>
          </w:p>
        </w:tc>
        <w:tc>
          <w:tcPr>
            <w:tcW w:w="1100" w:type="dxa"/>
            <w:vAlign w:val="bottom"/>
            <w:gridSpan w:val="5"/>
          </w:tcPr>
          <w:p>
            <w:pPr>
              <w:ind w:left="240"/>
              <w:spacing w:after="0" w:line="187" w:lineRule="exact"/>
              <w:rPr>
                <w:sz w:val="20"/>
                <w:szCs w:val="20"/>
                <w:color w:val="auto"/>
              </w:rPr>
            </w:pPr>
            <w:r>
              <w:rPr>
                <w:rFonts w:ascii="Times New Roman" w:cs="Times New Roman" w:eastAsia="Times New Roman" w:hAnsi="Times New Roman"/>
                <w:sz w:val="17"/>
                <w:szCs w:val="17"/>
                <w:color w:val="0000FF"/>
              </w:rPr>
              <w:t>10155</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gridSpan w:val="2"/>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Hill Path Capital Partners II LP</w:t>
              </w:r>
            </w:hyperlink>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10155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00" w:type="dxa"/>
            <w:vAlign w:val="bottom"/>
            <w:gridSpan w:val="10"/>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Hill Path Capital Co-Investment Partners LP</w:t>
              </w:r>
            </w:hyperlink>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10155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Hill Path Capital Partners GP LLC</w:t>
              </w:r>
            </w:hyperlink>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10155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Hill Path Capital Partners II GP LLC</w:t>
              </w:r>
            </w:hyperlink>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10155</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Hill Path Investment Holdings LLC</w:t>
              </w:r>
            </w:hyperlink>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EAST 58TH STREET</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33RD FLOOR</w:t>
      </w:r>
    </w:p>
    <w:p>
      <w:pPr>
        <w:sectPr>
          <w:pgSz w:w="11900" w:h="16838" w:orient="portrait"/>
          <w:cols w:equalWidth="0" w:num="1">
            <w:col w:w="11080"/>
          </w:cols>
          <w:pgMar w:left="460" w:top="73" w:right="359" w:bottom="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10155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865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786511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Hill Path Investment Holdings II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Hill Path Capital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Hill Path Holdings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3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ROSS SCOTT I</w:t>
              </w:r>
            </w:hyperlink>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150 EAST 58TH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33RD FLOOR</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10155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jointly by Hill Path Capital Partners LP ("Hill Path Capital"), Hill Path Capital Partners II LP ("Hill Path Capital II"), Hill Path Co-Investment Partners LP ("Hill Path Co-Investment"), Hill Path D Fund LP ("Hill Path D Fund"), Hill Path G Fund LP ("Hill Path G Fund"), Hill Path J Fund LP ("Hill Path J Fund"), Hill Path Capital Partners GP LLC ("Hill Path GP"), Hill Path Capital Partners II GP LLC ("Hill Path GP II"), HP D GP LLC ("HP D GP"), HP G GP LLC ("HP G GP"), HP J GP LLC ("HP J GP"), Hill Path Investment Holdings LLC ("Hill Path Investment Holdings"), Hill Path Investment Holdings II LLC ("Hill Path Investment Holdings II"), Hill Path Capital LP ("Hill Path"), Hill Path Holdings LLC ("Hill Path Holdings") and Scott Ross ("Mr. Ross," and collectively with the aforementioned entities, the "Reporting Persons").</w:t>
      </w:r>
    </w:p>
    <w:p>
      <w:pPr>
        <w:spacing w:after="0" w:line="26"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 enable the Reporting Persons to gain access to the Securities and Exchange Commission's electronic filing system (which only accepts a maximum of 10 joint filers per report), this report is the first of two identical reports relating to the same transactions being filed with the Securities and Exchange Commission. Each of the Reporting Persons may be deemed to be a member of a Section 13(d) group that collectively beneficially own more than 10% of the Issuer's outstanding shares of Common Stock (the "Common Stock"). Each Reporting Person disclaims beneficial ownership of the securities reported herein except to the extent of his or its pecuniary interest therein, and this report shall not be deemed to be an admission that any Reporting Person is the beneficial owner of such securities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Mr. Ross under the Dave &amp; Buster's Entertainment, Inc. 2025 Omnibus Incentive Plan. The restricted stock units will vest on May 6, 2027.</w:t>
      </w:r>
    </w:p>
    <w:p>
      <w:pPr>
        <w:spacing w:after="0" w:line="50"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D Fund. HP D GP, as the general partner of Hill Path D Fund, may be deemed to beneficially own the shares of Common Stock owned directly by Hill Path D Fund. Hill Path Investment Holdings II, as the managing member of HP D GP, may be deemed to beneficially own the shares of Common Stock owned directly by Hill Path D Fund. Hill Path, as the investment manager of Hill Path D Fund, may be deemed to beneficially own the shares of Common Stock owned directly by Hill Path D Fund. Hill Path Holdings, as the general partner of Hill Path, may be deemed to beneficially own the shares of Common Stock owned directly by Hill Path D Fund. Mr. Ross, as the managing partner of each of Hill Path Investment Holdings II, Hill Path and Hill Path Holdings, may be deemed to beneficially own the shares of Common Stock owned directly by Hill Path D Fund.</w:t>
      </w:r>
    </w:p>
    <w:p>
      <w:pPr>
        <w:spacing w:after="0" w:line="26"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G Fund. HP G GP, as the general partner of Hill Path G Fund, may be deemed to beneficially own the shares of Common Stock owned directly by Hill Path G Fund. Hill Path Investment Holdings II, as the managing member of HP G GP, may be deemed to beneficially own the shares of Common Stock owned directly by Hill Path G Fund. Hill Path, as the investment manager of Hill Path G Fund, may be deemed to beneficially own the shares of Common Stock owned directly by Hill Path G Fund. Hill Path Holdings, as the general partner of Hill Path, may be deemed to beneficially own the shares of Common Stock owned directly by Hill Path G Fund. Mr. Ross, as the managing partner of each of Hill Path Investment Holdings II, Hill Path and Hill Path Holdings, may be deemed to beneficially own the shares of Common Stock owned directly by Hill Path G Fund.</w:t>
      </w:r>
    </w:p>
    <w:p>
      <w:pPr>
        <w:spacing w:after="0" w:line="26"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J Fund. HP J GP, as the general partner of Hill Path J Fund, may be deemed to beneficially own the shares of Common Stock owned directly by Hill Path J Fund. Hill Path Investment Holdings II, as the managing member of HP J GP, may be deemed to beneficially own the shares of Common Stock owned directly by Hill Path J Fund. Hill Path, as the investment manager of Hill Path J Fund, may be deemed to beneficially own the shares of Common Stock owned directly by Hill Path J Fund. Hill Path Holdings, as the general partner of Hill Path,</w:t>
      </w:r>
    </w:p>
    <w:p>
      <w:pPr>
        <w:sectPr>
          <w:pgSz w:w="11900" w:h="16838" w:orient="portrait"/>
          <w:cols w:equalWidth="0" w:num="1">
            <w:col w:w="10900"/>
          </w:cols>
          <w:pgMar w:left="480" w:top="260" w:right="519" w:bottom="0" w:gutter="0" w:footer="0" w:header="0"/>
        </w:sectPr>
      </w:pPr>
    </w:p>
    <w:bookmarkStart w:id="3" w:name="page4"/>
    <w:bookmarkEnd w:id="3"/>
    <w:p>
      <w:pPr>
        <w:ind w:right="260"/>
        <w:spacing w:after="0" w:line="272" w:lineRule="auto"/>
        <w:rPr>
          <w:sz w:val="20"/>
          <w:szCs w:val="20"/>
          <w:color w:val="auto"/>
        </w:rPr>
      </w:pPr>
      <w:r>
        <w:rPr>
          <w:rFonts w:ascii="Times New Roman" w:cs="Times New Roman" w:eastAsia="Times New Roman" w:hAnsi="Times New Roman"/>
          <w:sz w:val="13"/>
          <w:szCs w:val="13"/>
          <w:color w:val="008000"/>
        </w:rPr>
        <w:t>may be deemed to beneficially own the shares of Common Stock owned directly by Hill Path J Fund. Mr. Ross, as the managing partner of each of Hill Path Investment Holdings II, Hill Path and Hill Path Holdings, may be deemed to beneficially own the shares of Common Stock owned directly by Hill Path J Fund.</w:t>
      </w:r>
    </w:p>
    <w:p>
      <w:pPr>
        <w:spacing w:after="0" w:line="8" w:lineRule="exact"/>
        <w:rPr>
          <w:sz w:val="20"/>
          <w:szCs w:val="20"/>
          <w:color w:val="auto"/>
        </w:rPr>
      </w:pPr>
    </w:p>
    <w:p>
      <w:pPr>
        <w:ind w:right="4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Capital. Hill Path GP, as the general partner of Hill Path Capital, may be deemed to beneficially own the shares of Common Stock owned directly by Hill Path Capital. Hill Path Investment Holdings, as the managing member of Hill Path GP, may be deemed to beneficially own the shares of Common Stock owned directly by Hill Path Capital. Hill Path, as the investment manager of Hill Path Capital, may be deemed to beneficially own the shares of Common Stock owned directly by Hill Path Capital. Hill Path Holdings, as the general partner of Hill Path, may be deemed to beneficially own the shares of Common Stock owned directly by Hill Path Capital. Mr. Ross, as the managing partner of each of Hill Path Investment Holdings, Hill Path and Hill Path Holdings, may be deemed to beneficially own the shares of Common Stock owned directly by Hill Path Capital.</w:t>
      </w:r>
    </w:p>
    <w:p>
      <w:pPr>
        <w:spacing w:after="0" w:line="26" w:lineRule="exact"/>
        <w:rPr>
          <w:rFonts w:ascii="Times New Roman" w:cs="Times New Roman" w:eastAsia="Times New Roman" w:hAnsi="Times New Roman"/>
          <w:sz w:val="13"/>
          <w:szCs w:val="13"/>
          <w:color w:val="008000"/>
        </w:rPr>
      </w:pPr>
    </w:p>
    <w:p>
      <w:pPr>
        <w:ind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Capital II. Hill Path GP II, as the general partner of Hill Path Capital II, may be deemed to beneficially own the shares of Common Stock owned directly by Hill Path Capital II. Hill Path Investment Holdings II, as the managing member of Hill Path GP II, may be deemed to beneficially own the shares of Common Stock owned directly by Hill Path Capital II. Hill Path, as the investment manager of Hill Path Capital II, may be deemed to beneficially own the shares of Common Stock owned directly by Hill Path Capital II. Hill Path Holdings, as the general partner of Hill Path, may be deemed to beneficially own the shares of Common Stock owned directly by Hill Path Capital II. Mr. Ross, as the managing partner of each of Hill Path Investment Holdings II, Hill Path and Hill Path Holdings, may be deemed to beneficially own the shares of Common Stock owned directly by Hill Path Capital II.</w:t>
      </w:r>
    </w:p>
    <w:p>
      <w:pPr>
        <w:spacing w:after="0" w:line="26" w:lineRule="exact"/>
        <w:rPr>
          <w:rFonts w:ascii="Times New Roman" w:cs="Times New Roman" w:eastAsia="Times New Roman" w:hAnsi="Times New Roman"/>
          <w:sz w:val="13"/>
          <w:szCs w:val="13"/>
          <w:color w:val="008000"/>
        </w:rPr>
      </w:pPr>
    </w:p>
    <w:p>
      <w:pPr>
        <w:jc w:val="both"/>
        <w:ind w:right="80" w:firstLine="7"/>
        <w:spacing w:after="0" w:line="24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owned directly by Hill Path Co-Investment. Hill Path GP, as the general partner of Hill Path Co-Investment, may be deemed to beneficially own the shares of Common Stock owned directly by Hill Path Co-Investment. Hill Path Investment Holdings, as the managing member of Hill Path GP, may be deemed to beneficially own the shares of Common Stock owned directly by Hill Path Co-Investment. Hill Path, as the investment manager of Hill Path Co-Investment, may be deemed to beneficially own the shares of Common Stock owned directly by Hill Path Co-Investment.</w:t>
      </w:r>
    </w:p>
    <w:p>
      <w:pPr>
        <w:spacing w:after="0" w:line="1" w:lineRule="exact"/>
        <w:rPr>
          <w:rFonts w:ascii="Times New Roman" w:cs="Times New Roman" w:eastAsia="Times New Roman" w:hAnsi="Times New Roman"/>
          <w:sz w:val="13"/>
          <w:szCs w:val="13"/>
          <w:color w:val="008000"/>
        </w:rPr>
      </w:pPr>
    </w:p>
    <w:p>
      <w:pPr>
        <w:ind w:right="10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Hill Path Holdings, as the general partner of Hill Path, may be deemed to beneficially own the shares of Common Stock owned directly by Hill Path Co-Investment. Mr. Ross, as the managing partner of each of Hill Path Investment Holdings, Hill Path and Hill Path Holdings, may be deemed to beneficially own the shares of Common Stock owned directly by Hill Path Co-Investment.</w:t>
      </w:r>
    </w:p>
    <w:p>
      <w:pPr>
        <w:sectPr>
          <w:pgSz w:w="11900" w:h="16838" w:orient="portrait"/>
          <w:cols w:equalWidth="0" w:num="1">
            <w:col w:w="10880"/>
          </w:cols>
          <w:pgMar w:left="500" w:top="127" w:right="519" w:bottom="1440" w:gutter="0" w:footer="0" w:header="0"/>
        </w:sectPr>
      </w:pPr>
    </w:p>
    <w:p>
      <w:pPr>
        <w:spacing w:after="0" w:line="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Capital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85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Hill Path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 By: /s/ Scott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9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2439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Capital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80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Hill Path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72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 II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96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Scott Ross,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Capital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315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Investment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Hill Path Capital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54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By: /s/ Scott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5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Capital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54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Hill Path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9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Holdings LLC, By: /s/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7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Ross,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598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Capital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280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GP LLC, By: Hill Path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15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Scott Ross,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65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7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11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Scott 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56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0756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Investment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11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11" w:lineRule="exact"/>
        <w:rPr>
          <w:sz w:val="20"/>
          <w:szCs w:val="20"/>
          <w:color w:val="auto"/>
        </w:rPr>
      </w:pPr>
    </w:p>
    <w:p>
      <w:pPr>
        <w:ind w:left="6540" w:right="300" w:firstLine="9"/>
        <w:spacing w:after="0" w:line="283" w:lineRule="auto"/>
        <w:tabs>
          <w:tab w:leader="none" w:pos="6699" w:val="left"/>
        </w:tabs>
        <w:numPr>
          <w:ilvl w:val="0"/>
          <w:numId w:val="3"/>
        </w:numPr>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0000FF"/>
        </w:rPr>
        <w:t>LLC, By: /s/ Scott Ross,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-180975</wp:posOffset>
            </wp:positionV>
            <wp:extent cx="11766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176655" cy="8255"/>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-45720</wp:posOffset>
            </wp:positionV>
            <wp:extent cx="79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Hill Path Capital LP, By: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954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Path 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71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Scott Ross,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38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Hill Path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44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744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Scott Ross,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7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8700" w:space="40"/>
            <w:col w:w="2140"/>
          </w:cols>
          <w:pgMar w:left="500" w:top="127" w:right="519" w:bottom="1440" w:gutter="0" w:footer="0" w:header="0"/>
          <w:type w:val="continuous"/>
        </w:sect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By: /s/ Scott Ross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05/08/2026</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7"/>
    </w:lvl>
  </w:abstractNum>
  <w:abstractNum w:abstractNumId="2">
    <w:nsid w:val="2AE8944A"/>
    <w:multiLevelType w:val="hybridMultilevel"/>
    <w:lvl w:ilvl="0">
      <w:lvlJc w:val="left"/>
      <w:lvlText w:val="%1"/>
      <w:numFmt w:val="upperLetter"/>
      <w:start w:val="3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13" Type="http://schemas.openxmlformats.org/officeDocument/2006/relationships/hyperlink" Target="http://www.sec.gov/cgi-bin/browse-edgar?action=getcompany&amp;CIK=0001661914" TargetMode="External"/><Relationship Id="rId14" Type="http://schemas.openxmlformats.org/officeDocument/2006/relationships/hyperlink" Target="http://www.sec.gov/cgi-bin/browse-edgar?action=getcompany&amp;CIK=0001525769" TargetMode="External"/><Relationship Id="rId16" Type="http://schemas.openxmlformats.org/officeDocument/2006/relationships/hyperlink" Target="http://www.sec.gov/cgi-bin/browse-edgar?action=getcompany&amp;CIK=0001756658" TargetMode="External"/><Relationship Id="rId17" Type="http://schemas.openxmlformats.org/officeDocument/2006/relationships/hyperlink" Target="http://www.sec.gov/cgi-bin/browse-edgar?action=getcompany&amp;CIK=0001661913" TargetMode="External"/><Relationship Id="rId18" Type="http://schemas.openxmlformats.org/officeDocument/2006/relationships/hyperlink" Target="http://www.sec.gov/cgi-bin/browse-edgar?action=getcompany&amp;CIK=0001676386" TargetMode="External"/><Relationship Id="rId19" Type="http://schemas.openxmlformats.org/officeDocument/2006/relationships/hyperlink" Target="http://www.sec.gov/cgi-bin/browse-edgar?action=getcompany&amp;CIK=0001826029" TargetMode="External"/><Relationship Id="rId20" Type="http://schemas.openxmlformats.org/officeDocument/2006/relationships/hyperlink" Target="http://www.sec.gov/cgi-bin/browse-edgar?action=getcompany&amp;CIK=0001676389" TargetMode="External"/><Relationship Id="rId22" Type="http://schemas.openxmlformats.org/officeDocument/2006/relationships/hyperlink" Target="http://www.sec.gov/cgi-bin/browse-edgar?action=getcompany&amp;CIK=0001826028" TargetMode="External"/><Relationship Id="rId23" Type="http://schemas.openxmlformats.org/officeDocument/2006/relationships/hyperlink" Target="http://www.sec.gov/cgi-bin/browse-edgar?action=getcompany&amp;CIK=0001676292" TargetMode="External"/><Relationship Id="rId24" Type="http://schemas.openxmlformats.org/officeDocument/2006/relationships/hyperlink" Target="http://www.sec.gov/cgi-bin/browse-edgar?action=getcompany&amp;CIK=0001676388" TargetMode="External"/><Relationship Id="rId25" Type="http://schemas.openxmlformats.org/officeDocument/2006/relationships/hyperlink" Target="http://www.sec.gov/cgi-bin/browse-edgar?action=getcompany&amp;CIK=0001549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2026-05-08T16:19:56Z</dcterms:created>
  <dcterms:modified xsi:type="dcterms:W3CDTF">2026-05-08T16:19:56Z</dcterms:modified>
</cp:coreProperties>
</file>