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DAVE &amp; BUSTER’S ENTERTAINMENT,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106"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985520</wp:posOffset>
            </wp:positionV>
            <wp:extent cx="2468880" cy="2468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88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80"/>
        <w:spacing w:after="0"/>
        <w:rPr>
          <w:sz w:val="20"/>
          <w:szCs w:val="20"/>
          <w:color w:val="auto"/>
        </w:rPr>
      </w:pPr>
      <w:r>
        <w:rPr>
          <w:rFonts w:ascii="Arial" w:cs="Arial" w:eastAsia="Arial" w:hAnsi="Arial"/>
          <w:sz w:val="43"/>
          <w:szCs w:val="43"/>
          <w:b w:val="1"/>
          <w:bCs w:val="1"/>
          <w:color w:val="003B71"/>
        </w:rPr>
        <w:t>EAT DRINK PLAY WATCH</w:t>
      </w:r>
      <w:r>
        <w:rPr>
          <w:rFonts w:ascii="Arial" w:cs="Arial" w:eastAsia="Arial" w:hAnsi="Arial"/>
          <w:sz w:val="36"/>
          <w:szCs w:val="36"/>
          <w:color w:val="003B71"/>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00"/>
        <w:spacing w:after="0"/>
        <w:rPr>
          <w:sz w:val="20"/>
          <w:szCs w:val="20"/>
          <w:color w:val="auto"/>
        </w:rPr>
      </w:pPr>
      <w:r>
        <w:rPr>
          <w:rFonts w:ascii="Arial" w:cs="Arial" w:eastAsia="Arial" w:hAnsi="Arial"/>
          <w:sz w:val="115"/>
          <w:szCs w:val="115"/>
          <w:color w:val="003B71"/>
        </w:rPr>
        <w:t>2021</w:t>
      </w:r>
    </w:p>
    <w:p>
      <w:pPr>
        <w:jc w:val="center"/>
        <w:ind w:right="-1100"/>
        <w:spacing w:after="0"/>
        <w:rPr>
          <w:sz w:val="20"/>
          <w:szCs w:val="20"/>
          <w:color w:val="auto"/>
        </w:rPr>
      </w:pPr>
      <w:r>
        <w:rPr>
          <w:rFonts w:ascii="Arial" w:cs="Arial" w:eastAsia="Arial" w:hAnsi="Arial"/>
          <w:sz w:val="43"/>
          <w:szCs w:val="43"/>
          <w:color w:val="003B71"/>
        </w:rPr>
        <w:t>NOTICE OF ANNUAL MEETING</w:t>
      </w:r>
    </w:p>
    <w:p>
      <w:pPr>
        <w:spacing w:after="0" w:line="5" w:lineRule="exact"/>
        <w:rPr>
          <w:sz w:val="20"/>
          <w:szCs w:val="20"/>
          <w:color w:val="auto"/>
        </w:rPr>
      </w:pPr>
    </w:p>
    <w:p>
      <w:pPr>
        <w:jc w:val="center"/>
        <w:ind w:right="-1100"/>
        <w:spacing w:after="0"/>
        <w:rPr>
          <w:sz w:val="20"/>
          <w:szCs w:val="20"/>
          <w:color w:val="auto"/>
        </w:rPr>
      </w:pPr>
      <w:r>
        <w:rPr>
          <w:rFonts w:ascii="Arial" w:cs="Arial" w:eastAsia="Arial" w:hAnsi="Arial"/>
          <w:sz w:val="43"/>
          <w:szCs w:val="43"/>
          <w:color w:val="003B71"/>
        </w:rPr>
        <w:t>AND PROXY STATEMENT</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003B71"/>
        </w:rPr>
        <w:t>Thursday, June 17, 2021, 8:30 a.m., Central Daylight Time</w:t>
      </w:r>
    </w:p>
    <w:p>
      <w:pPr>
        <w:spacing w:after="0" w:line="42"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003B71"/>
        </w:rPr>
        <w:t>Grand Hyatt DFW, 2337 S. International Parkway, Dallas, TX 75261</w:t>
      </w:r>
    </w:p>
    <w:p>
      <w:pPr>
        <w:sectPr>
          <w:pgSz w:w="11900" w:h="16838" w:orient="portrait"/>
          <w:cols w:equalWidth="0" w:num="1">
            <w:col w:w="10139"/>
          </w:cols>
          <w:pgMar w:left="320" w:top="459" w:right="1440"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205740</wp:posOffset>
            </wp:positionV>
            <wp:extent cx="1234440" cy="1234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May 5, 2021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1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On behalf of the Board of Directors, it is our pleasure to cordially invite you to participate in the 2021 Annual Meeting of Shareholders of Dave &amp; Buster’s Entertainment, Inc. (the “Annual Meeting”) on June 17, 2021, at 8:30 a.m. Central Daylight Time. The Annual Meeting will be held at the Grand Hyatt DFW, 2337 S. International Parkway, Dallas, Texas 75261. You will find information regarding the matters expected to be addressed at the Annual Meeting described in detail in the accompanying Notice of Annual Meeting of Shareholders and Proxy Statement.</w:t>
      </w:r>
    </w:p>
    <w:p>
      <w:pPr>
        <w:spacing w:after="0" w:line="20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As a precaution regarding the COVID-19 Pandemic, we also planning for the possibility that the Annual Meeting may be held over the web in a virtual meeting format like our 2020 Annual Meeting. If we take this step, we will announce the decision to do so in advance via press release. Please follow us on our investor’s relations webpage (https://ir.daveandbusters.com) for current information regarding any change in location or format of the Annual Meeting.</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Your vote is important to us. While we invite you to attend the meeting and exercise your right to vote your shares in person, we recognize that many of you may not be able to attend or may choose not to do so. Whether or not you plan to attend, we respectfully request you vote as soon as possible over the internet, by telephone, or, upon your request, after receipt of paper copies of the proxy materials. Your vote will mean that you are represented at the Annual Meeting of Shareholders regardless of whether you attend in person. You may also request a paper copy of the proxy card to submit your vote, if you prefer. If you have voted by internet, by mail or by telephone and later decide to attend the Annual Meeting, you may come to the meeting and vote in person. </w:t>
      </w:r>
      <w:r>
        <w:rPr>
          <w:rFonts w:ascii="Arial" w:cs="Arial" w:eastAsia="Arial" w:hAnsi="Arial"/>
          <w:sz w:val="18"/>
          <w:szCs w:val="18"/>
          <w:b w:val="1"/>
          <w:bCs w:val="1"/>
          <w:color w:val="auto"/>
        </w:rPr>
        <w:t>We encourage you to vote by internet.</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being a shareholder and we look forward to seeing you at the meeting.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028700" cy="436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Kevin M. Sheehan</w:t>
      </w:r>
    </w:p>
    <w:p>
      <w:pPr>
        <w:ind w:left="120"/>
        <w:spacing w:after="0"/>
        <w:rPr>
          <w:sz w:val="20"/>
          <w:szCs w:val="20"/>
          <w:color w:val="auto"/>
        </w:rPr>
      </w:pPr>
      <w:r>
        <w:rPr>
          <w:rFonts w:ascii="Arial" w:cs="Arial" w:eastAsia="Arial" w:hAnsi="Arial"/>
          <w:sz w:val="18"/>
          <w:szCs w:val="18"/>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1139825" cy="591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3982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Brian A. Jenkins</w:t>
      </w:r>
    </w:p>
    <w:p>
      <w:pPr>
        <w:ind w:left="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234440" cy="1234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003B71"/>
        </w:rPr>
        <w:t>DAVE &amp; BUSTER’S ENTERTAINMENT, INC.</w:t>
      </w:r>
    </w:p>
    <w:p>
      <w:pPr>
        <w:spacing w:after="0" w:line="13"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2481 Mañana Drive</w:t>
      </w:r>
    </w:p>
    <w:p>
      <w:pPr>
        <w:ind w:left="2980"/>
        <w:spacing w:after="0"/>
        <w:rPr>
          <w:sz w:val="20"/>
          <w:szCs w:val="20"/>
          <w:color w:val="auto"/>
        </w:rPr>
      </w:pPr>
      <w:r>
        <w:rPr>
          <w:rFonts w:ascii="Arial" w:cs="Arial" w:eastAsia="Arial" w:hAnsi="Arial"/>
          <w:sz w:val="18"/>
          <w:szCs w:val="18"/>
          <w:color w:val="auto"/>
        </w:rPr>
        <w:t>Dallas, TX 75220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NOTICE OF ANNUAL MEETING</w:t>
      </w:r>
    </w:p>
    <w:p>
      <w:pPr>
        <w:jc w:val="center"/>
        <w:ind w:right="-119"/>
        <w:spacing w:after="0"/>
        <w:rPr>
          <w:sz w:val="20"/>
          <w:szCs w:val="20"/>
          <w:color w:val="auto"/>
        </w:rPr>
      </w:pPr>
      <w:r>
        <w:rPr>
          <w:rFonts w:ascii="Arial" w:cs="Arial" w:eastAsia="Arial" w:hAnsi="Arial"/>
          <w:sz w:val="40"/>
          <w:szCs w:val="40"/>
          <w:color w:val="003B71"/>
        </w:rPr>
        <w:t>OF SHAREHOLDERS</w:t>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Shareholders: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NOTICE IS HEREBY GIVEN that the 2021 Annual Meeting of Shareholders of Dave &amp; Buster’s Entertainment, Inc. (the “Annual Meeting”)</w:t>
      </w:r>
    </w:p>
    <w:p>
      <w:pPr>
        <w:ind w:left="120"/>
        <w:spacing w:after="0"/>
        <w:rPr>
          <w:sz w:val="20"/>
          <w:szCs w:val="20"/>
          <w:color w:val="auto"/>
        </w:rPr>
      </w:pPr>
      <w:r>
        <w:rPr>
          <w:rFonts w:ascii="Arial" w:cs="Arial" w:eastAsia="Arial" w:hAnsi="Arial"/>
          <w:sz w:val="18"/>
          <w:szCs w:val="18"/>
          <w:color w:val="auto"/>
        </w:rPr>
        <w:t>will be held at the noted time and place below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173355</wp:posOffset>
            </wp:positionV>
            <wp:extent cx="7020560" cy="1800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0560" cy="180022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07" w:lineRule="exact"/>
        <w:rPr>
          <w:sz w:val="20"/>
          <w:szCs w:val="20"/>
          <w:color w:val="auto"/>
        </w:rPr>
      </w:pPr>
    </w:p>
    <w:p>
      <w:pPr>
        <w:ind w:left="300"/>
        <w:spacing w:after="0"/>
        <w:tabs>
          <w:tab w:leader="none" w:pos="1380" w:val="left"/>
        </w:tabs>
        <w:rPr>
          <w:sz w:val="20"/>
          <w:szCs w:val="20"/>
          <w:color w:val="auto"/>
        </w:rPr>
      </w:pPr>
      <w:r>
        <w:rPr>
          <w:rFonts w:ascii="Arial" w:cs="Arial" w:eastAsia="Arial" w:hAnsi="Arial"/>
          <w:sz w:val="18"/>
          <w:szCs w:val="18"/>
          <w:b w:val="1"/>
          <w:bCs w:val="1"/>
          <w:color w:val="FFFFFF"/>
        </w:rPr>
        <w:t>When:</w:t>
      </w:r>
      <w:r>
        <w:rPr>
          <w:sz w:val="20"/>
          <w:szCs w:val="20"/>
          <w:color w:val="auto"/>
        </w:rPr>
        <w:tab/>
      </w:r>
      <w:r>
        <w:rPr>
          <w:rFonts w:ascii="Arial" w:cs="Arial" w:eastAsia="Arial" w:hAnsi="Arial"/>
          <w:sz w:val="18"/>
          <w:szCs w:val="18"/>
          <w:color w:val="FFFFFF"/>
        </w:rPr>
        <w:t>8:30 a.m.</w:t>
      </w:r>
    </w:p>
    <w:p>
      <w:pPr>
        <w:spacing w:after="0" w:line="18" w:lineRule="exact"/>
        <w:rPr>
          <w:sz w:val="20"/>
          <w:szCs w:val="20"/>
          <w:color w:val="auto"/>
        </w:rPr>
      </w:pPr>
    </w:p>
    <w:p>
      <w:pPr>
        <w:ind w:left="1400"/>
        <w:spacing w:after="0"/>
        <w:rPr>
          <w:sz w:val="20"/>
          <w:szCs w:val="20"/>
          <w:color w:val="auto"/>
        </w:rPr>
      </w:pPr>
      <w:r>
        <w:rPr>
          <w:rFonts w:ascii="Arial" w:cs="Arial" w:eastAsia="Arial" w:hAnsi="Arial"/>
          <w:sz w:val="18"/>
          <w:szCs w:val="18"/>
          <w:color w:val="FFFFFF"/>
        </w:rPr>
        <w:t>Central Daylight Time</w:t>
      </w:r>
    </w:p>
    <w:p>
      <w:pPr>
        <w:ind w:left="1400"/>
        <w:spacing w:after="0" w:line="234" w:lineRule="auto"/>
        <w:rPr>
          <w:sz w:val="20"/>
          <w:szCs w:val="20"/>
          <w:color w:val="auto"/>
        </w:rPr>
      </w:pPr>
      <w:r>
        <w:rPr>
          <w:rFonts w:ascii="Arial" w:cs="Arial" w:eastAsia="Arial" w:hAnsi="Arial"/>
          <w:sz w:val="18"/>
          <w:szCs w:val="18"/>
          <w:color w:val="FFFFFF"/>
        </w:rPr>
        <w:t>Thursday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8"/>
          <w:szCs w:val="18"/>
          <w:color w:val="FFFFFF"/>
        </w:rPr>
        <w:t>June 17, 2021</w:t>
      </w:r>
    </w:p>
    <w:p>
      <w:pPr>
        <w:spacing w:after="0" w:line="140" w:lineRule="exact"/>
        <w:rPr>
          <w:sz w:val="20"/>
          <w:szCs w:val="20"/>
          <w:color w:val="auto"/>
        </w:rPr>
      </w:pPr>
    </w:p>
    <w:p>
      <w:pPr>
        <w:ind w:left="300"/>
        <w:spacing w:after="0"/>
        <w:tabs>
          <w:tab w:leader="none" w:pos="1380" w:val="left"/>
        </w:tabs>
        <w:rPr>
          <w:sz w:val="20"/>
          <w:szCs w:val="20"/>
          <w:color w:val="auto"/>
        </w:rPr>
      </w:pPr>
      <w:r>
        <w:rPr>
          <w:rFonts w:ascii="Arial" w:cs="Arial" w:eastAsia="Arial" w:hAnsi="Arial"/>
          <w:sz w:val="18"/>
          <w:szCs w:val="18"/>
          <w:color w:val="FFFFFF"/>
        </w:rPr>
        <w:t>Where:</w:t>
      </w:r>
      <w:r>
        <w:rPr>
          <w:sz w:val="20"/>
          <w:szCs w:val="20"/>
          <w:color w:val="auto"/>
        </w:rPr>
        <w:tab/>
      </w:r>
      <w:r>
        <w:rPr>
          <w:rFonts w:ascii="Arial" w:cs="Arial" w:eastAsia="Arial" w:hAnsi="Arial"/>
          <w:sz w:val="18"/>
          <w:szCs w:val="18"/>
          <w:color w:val="FFFFFF"/>
        </w:rPr>
        <w:t>Grand Hyatt DFW</w:t>
      </w:r>
    </w:p>
    <w:p>
      <w:pPr>
        <w:ind w:left="1400"/>
        <w:spacing w:after="0" w:line="234" w:lineRule="auto"/>
        <w:rPr>
          <w:sz w:val="20"/>
          <w:szCs w:val="20"/>
          <w:color w:val="auto"/>
        </w:rPr>
      </w:pPr>
      <w:r>
        <w:rPr>
          <w:rFonts w:ascii="Arial" w:cs="Arial" w:eastAsia="Arial" w:hAnsi="Arial"/>
          <w:sz w:val="18"/>
          <w:szCs w:val="18"/>
          <w:color w:val="FFFFFF"/>
        </w:rPr>
        <w:t>2337 S. International Parkway</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8"/>
          <w:szCs w:val="18"/>
          <w:color w:val="FFFFFF"/>
        </w:rPr>
        <w:t>Dallas, TX 75261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173355</wp:posOffset>
            </wp:positionV>
            <wp:extent cx="3282950" cy="771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82950" cy="771525"/>
                    </a:xfrm>
                    <a:prstGeom prst="rect">
                      <a:avLst/>
                    </a:prstGeom>
                    <a:noFill/>
                  </pic:spPr>
                </pic:pic>
              </a:graphicData>
            </a:graphic>
          </wp:anchor>
        </w:drawing>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3B71"/>
        </w:rPr>
        <w:t>Who Can Vote:</w:t>
      </w:r>
    </w:p>
    <w:p>
      <w:pPr>
        <w:spacing w:after="0" w:line="63" w:lineRule="exact"/>
        <w:rPr>
          <w:sz w:val="20"/>
          <w:szCs w:val="20"/>
          <w:color w:val="auto"/>
        </w:rPr>
      </w:pPr>
    </w:p>
    <w:p>
      <w:pPr>
        <w:jc w:val="both"/>
        <w:ind w:left="300" w:right="289"/>
        <w:spacing w:after="0" w:line="247" w:lineRule="auto"/>
        <w:rPr>
          <w:sz w:val="20"/>
          <w:szCs w:val="20"/>
          <w:color w:val="auto"/>
        </w:rPr>
      </w:pPr>
      <w:r>
        <w:rPr>
          <w:rFonts w:ascii="Arial" w:cs="Arial" w:eastAsia="Arial" w:hAnsi="Arial"/>
          <w:sz w:val="18"/>
          <w:szCs w:val="18"/>
          <w:b w:val="1"/>
          <w:bCs w:val="1"/>
          <w:i w:val="1"/>
          <w:iCs w:val="1"/>
          <w:color w:val="003B71"/>
        </w:rPr>
        <w:t>Only shareholders of record at the close of business on April 23, 2021, are entitled to notice of, and to vote at, the meeting or any adjournment or postponement thereof.</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003B71"/>
        </w:rPr>
        <w:t>Items of Business:</w:t>
      </w:r>
    </w:p>
    <w:p>
      <w:pPr>
        <w:spacing w:after="0" w:line="85" w:lineRule="exact"/>
        <w:rPr>
          <w:sz w:val="20"/>
          <w:szCs w:val="20"/>
          <w:color w:val="auto"/>
        </w:rPr>
      </w:pPr>
    </w:p>
    <w:p>
      <w:pPr>
        <w:jc w:val="both"/>
        <w:ind w:left="331" w:right="180" w:hanging="331"/>
        <w:spacing w:after="0" w:line="238" w:lineRule="auto"/>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elect the nine (9) directors named in the Proxy Statement, each to serve for one year or until his or her successor has been elected and qualified, or until his or her earlier death, resignation or removal.</w:t>
      </w:r>
    </w:p>
    <w:p>
      <w:pPr>
        <w:spacing w:after="0" w:line="56" w:lineRule="exact"/>
        <w:rPr>
          <w:rFonts w:ascii="Arial" w:cs="Arial" w:eastAsia="Arial" w:hAnsi="Arial"/>
          <w:sz w:val="18"/>
          <w:szCs w:val="18"/>
          <w:color w:val="003B71"/>
        </w:rPr>
      </w:pPr>
    </w:p>
    <w:p>
      <w:pPr>
        <w:jc w:val="both"/>
        <w:ind w:left="331" w:right="180" w:hanging="331"/>
        <w:spacing w:after="0"/>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ratify the appointment of KPMG LLP as our independent registered public accounting firm for the year ending January 30, 2022.</w:t>
      </w:r>
    </w:p>
    <w:p>
      <w:pPr>
        <w:spacing w:after="0" w:line="54" w:lineRule="exact"/>
        <w:rPr>
          <w:rFonts w:ascii="Arial" w:cs="Arial" w:eastAsia="Arial" w:hAnsi="Arial"/>
          <w:sz w:val="18"/>
          <w:szCs w:val="18"/>
          <w:color w:val="003B71"/>
        </w:rPr>
      </w:pPr>
    </w:p>
    <w:p>
      <w:pPr>
        <w:ind w:left="331" w:hanging="331"/>
        <w:spacing w:after="0"/>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cast an advisory vote on executive compensation.</w:t>
      </w:r>
    </w:p>
    <w:p>
      <w:pPr>
        <w:spacing w:after="0" w:line="63" w:lineRule="exact"/>
        <w:rPr>
          <w:rFonts w:ascii="Arial" w:cs="Arial" w:eastAsia="Arial" w:hAnsi="Arial"/>
          <w:sz w:val="18"/>
          <w:szCs w:val="18"/>
          <w:color w:val="003B71"/>
        </w:rPr>
      </w:pPr>
    </w:p>
    <w:p>
      <w:pPr>
        <w:jc w:val="both"/>
        <w:ind w:left="331" w:right="180" w:hanging="331"/>
        <w:spacing w:after="0"/>
        <w:tabs>
          <w:tab w:leader="none" w:pos="331"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transact such other business as may properly come before the meeting or any adjournment or postponement thereof.</w:t>
      </w:r>
    </w:p>
    <w:p>
      <w:pPr>
        <w:spacing w:after="0" w:line="490" w:lineRule="exact"/>
        <w:rPr>
          <w:sz w:val="20"/>
          <w:szCs w:val="20"/>
          <w:color w:val="auto"/>
        </w:rPr>
      </w:pPr>
    </w:p>
    <w:p>
      <w:pPr>
        <w:sectPr>
          <w:pgSz w:w="11900" w:h="16838" w:orient="portrait"/>
          <w:cols w:equalWidth="0" w:num="2">
            <w:col w:w="5189" w:space="720"/>
            <w:col w:w="5211"/>
          </w:cols>
          <w:pgMar w:left="320" w:top="459" w:right="459" w:bottom="1440" w:gutter="0" w:footer="0" w:header="0"/>
          <w:type w:val="continuous"/>
        </w:sectPr>
      </w:pP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12"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Beginning on May 5, 2021, we sent a Notice Regarding the Availability of Proxy Materials to all shareholders entitled to vote at the Annual Meeting, together with instructions on how to access our proxy materials over the Internet and how to vote.</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1225550" cy="651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55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Robert W. Edmund</w:t>
      </w:r>
    </w:p>
    <w:p>
      <w:pPr>
        <w:ind w:left="120"/>
        <w:spacing w:after="0" w:line="234" w:lineRule="auto"/>
        <w:rPr>
          <w:sz w:val="20"/>
          <w:szCs w:val="20"/>
          <w:color w:val="auto"/>
        </w:rPr>
      </w:pPr>
      <w:r>
        <w:rPr>
          <w:rFonts w:ascii="Arial" w:cs="Arial" w:eastAsia="Arial" w:hAnsi="Arial"/>
          <w:sz w:val="18"/>
          <w:szCs w:val="18"/>
          <w:color w:val="auto"/>
        </w:rPr>
        <w:t>General Counsel, Secretary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SVP of Human Resources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Texas</w:t>
      </w:r>
    </w:p>
    <w:p>
      <w:pPr>
        <w:ind w:left="120"/>
        <w:spacing w:after="0"/>
        <w:rPr>
          <w:sz w:val="20"/>
          <w:szCs w:val="20"/>
          <w:color w:val="auto"/>
        </w:rPr>
      </w:pPr>
      <w:r>
        <w:rPr>
          <w:rFonts w:ascii="Arial" w:cs="Arial" w:eastAsia="Arial" w:hAnsi="Arial"/>
          <w:sz w:val="18"/>
          <w:szCs w:val="18"/>
          <w:color w:val="auto"/>
        </w:rPr>
        <w:t>May 5, 2021</w:t>
      </w:r>
    </w:p>
    <w:p>
      <w:pPr>
        <w:spacing w:after="0" w:line="82"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JUNE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120650</wp:posOffset>
            </wp:positionV>
            <wp:extent cx="7011670" cy="342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11670" cy="342900"/>
                    </a:xfrm>
                    <a:prstGeom prst="rect">
                      <a:avLst/>
                    </a:prstGeom>
                    <a:noFill/>
                  </pic:spPr>
                </pic:pic>
              </a:graphicData>
            </a:graphic>
          </wp:anchor>
        </w:drawing>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Company’s Proxy Statement and Annual Report on Form 10-K</w:t>
      </w:r>
    </w:p>
    <w:p>
      <w:pPr>
        <w:jc w:val="center"/>
        <w:ind w:right="-119"/>
        <w:spacing w:after="0"/>
        <w:rPr>
          <w:sz w:val="20"/>
          <w:szCs w:val="20"/>
          <w:color w:val="auto"/>
        </w:rPr>
      </w:pPr>
      <w:r>
        <w:rPr>
          <w:rFonts w:ascii="Arial" w:cs="Arial" w:eastAsia="Arial" w:hAnsi="Arial"/>
          <w:sz w:val="18"/>
          <w:szCs w:val="18"/>
          <w:color w:val="auto"/>
        </w:rPr>
        <w:t>are available at http://edocumentview.com/play.</w:t>
      </w:r>
    </w:p>
    <w:p>
      <w:pPr>
        <w:sectPr>
          <w:pgSz w:w="11900" w:h="16838" w:orient="portrait"/>
          <w:cols w:equalWidth="0" w:num="1">
            <w:col w:w="11120"/>
          </w:cols>
          <w:pgMar w:left="320" w:top="459" w:right="4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003B71"/>
        </w:rPr>
        <w:t>DAVE &amp; BUSTER’S ENTERTAINMENT, INC.</w:t>
      </w:r>
    </w:p>
    <w:p>
      <w:pPr>
        <w:spacing w:after="0" w:line="206"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003B71"/>
        </w:rPr>
        <w:t>Proxy Statement</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003B71"/>
        </w:rPr>
        <w:t>For the Annual Meeting of Shareholders</w:t>
      </w:r>
    </w:p>
    <w:p>
      <w:pPr>
        <w:jc w:val="center"/>
        <w:ind w:right="-99"/>
        <w:spacing w:after="0"/>
        <w:rPr>
          <w:sz w:val="20"/>
          <w:szCs w:val="20"/>
          <w:color w:val="auto"/>
        </w:rPr>
      </w:pPr>
      <w:r>
        <w:rPr>
          <w:rFonts w:ascii="Arial" w:cs="Arial" w:eastAsia="Arial" w:hAnsi="Arial"/>
          <w:sz w:val="22"/>
          <w:szCs w:val="22"/>
          <w:b w:val="1"/>
          <w:bCs w:val="1"/>
          <w:color w:val="003B71"/>
        </w:rPr>
        <w:t>To Be Held on June 17, 2021</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TABLE OF CONTENTS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0" w:type="dxa"/>
            <w:vAlign w:val="bottom"/>
            <w:tcBorders>
              <w:bottom w:val="single" w:sz="8" w:color="003B71"/>
            </w:tcBorders>
          </w:tcPr>
          <w:p>
            <w:pPr>
              <w:spacing w:after="0"/>
              <w:rPr>
                <w:sz w:val="15"/>
                <w:szCs w:val="15"/>
                <w:color w:val="auto"/>
              </w:rPr>
            </w:pPr>
          </w:p>
        </w:tc>
        <w:tc>
          <w:tcPr>
            <w:tcW w:w="120" w:type="dxa"/>
            <w:vAlign w:val="bottom"/>
            <w:tcBorders>
              <w:bottom w:val="single" w:sz="8" w:color="003B71"/>
            </w:tcBorders>
          </w:tcPr>
          <w:p>
            <w:pPr>
              <w:spacing w:after="0"/>
              <w:rPr>
                <w:sz w:val="15"/>
                <w:szCs w:val="15"/>
                <w:color w:val="auto"/>
              </w:rPr>
            </w:pPr>
          </w:p>
        </w:tc>
        <w:tc>
          <w:tcPr>
            <w:tcW w:w="1080" w:type="dxa"/>
            <w:vAlign w:val="bottom"/>
            <w:tcBorders>
              <w:bottom w:val="single" w:sz="8" w:color="003B71"/>
            </w:tcBorders>
          </w:tcPr>
          <w:p>
            <w:pPr>
              <w:spacing w:after="0"/>
              <w:rPr>
                <w:sz w:val="15"/>
                <w:szCs w:val="15"/>
                <w:color w:val="auto"/>
              </w:rPr>
            </w:pPr>
          </w:p>
        </w:tc>
        <w:tc>
          <w:tcPr>
            <w:tcW w:w="100" w:type="dxa"/>
            <w:vAlign w:val="bottom"/>
            <w:tcBorders>
              <w:bottom w:val="single" w:sz="8" w:color="003B71"/>
            </w:tcBorders>
          </w:tcPr>
          <w:p>
            <w:pPr>
              <w:spacing w:after="0"/>
              <w:rPr>
                <w:sz w:val="15"/>
                <w:szCs w:val="15"/>
                <w:color w:val="auto"/>
              </w:rPr>
            </w:pPr>
          </w:p>
        </w:tc>
        <w:tc>
          <w:tcPr>
            <w:tcW w:w="160" w:type="dxa"/>
            <w:vAlign w:val="bottom"/>
            <w:tcBorders>
              <w:bottom w:val="single" w:sz="8" w:color="003B71"/>
            </w:tcBorders>
          </w:tcPr>
          <w:p>
            <w:pPr>
              <w:spacing w:after="0"/>
              <w:rPr>
                <w:sz w:val="15"/>
                <w:szCs w:val="15"/>
                <w:color w:val="auto"/>
              </w:rPr>
            </w:pPr>
          </w:p>
        </w:tc>
        <w:tc>
          <w:tcPr>
            <w:tcW w:w="120" w:type="dxa"/>
            <w:vAlign w:val="bottom"/>
            <w:tcBorders>
              <w:bottom w:val="single" w:sz="8" w:color="003B71"/>
            </w:tcBorders>
          </w:tcPr>
          <w:p>
            <w:pPr>
              <w:spacing w:after="0"/>
              <w:rPr>
                <w:sz w:val="15"/>
                <w:szCs w:val="15"/>
                <w:color w:val="auto"/>
              </w:rPr>
            </w:pPr>
          </w:p>
        </w:tc>
        <w:tc>
          <w:tcPr>
            <w:tcW w:w="80" w:type="dxa"/>
            <w:vAlign w:val="bottom"/>
            <w:tcBorders>
              <w:bottom w:val="single" w:sz="8" w:color="003B71"/>
            </w:tcBorders>
          </w:tcPr>
          <w:p>
            <w:pPr>
              <w:spacing w:after="0"/>
              <w:rPr>
                <w:sz w:val="15"/>
                <w:szCs w:val="15"/>
                <w:color w:val="auto"/>
              </w:rPr>
            </w:pPr>
          </w:p>
        </w:tc>
        <w:tc>
          <w:tcPr>
            <w:tcW w:w="60" w:type="dxa"/>
            <w:vAlign w:val="bottom"/>
            <w:tcBorders>
              <w:bottom w:val="single" w:sz="8" w:color="003B71"/>
            </w:tcBorders>
          </w:tcPr>
          <w:p>
            <w:pPr>
              <w:spacing w:after="0"/>
              <w:rPr>
                <w:sz w:val="15"/>
                <w:szCs w:val="15"/>
                <w:color w:val="auto"/>
              </w:rPr>
            </w:pPr>
          </w:p>
        </w:tc>
        <w:tc>
          <w:tcPr>
            <w:tcW w:w="100" w:type="dxa"/>
            <w:vAlign w:val="bottom"/>
            <w:tcBorders>
              <w:bottom w:val="single" w:sz="8" w:color="003B71"/>
            </w:tcBorders>
          </w:tcPr>
          <w:p>
            <w:pPr>
              <w:spacing w:after="0"/>
              <w:rPr>
                <w:sz w:val="15"/>
                <w:szCs w:val="15"/>
                <w:color w:val="auto"/>
              </w:rPr>
            </w:pPr>
          </w:p>
        </w:tc>
        <w:tc>
          <w:tcPr>
            <w:tcW w:w="220" w:type="dxa"/>
            <w:vAlign w:val="bottom"/>
            <w:tcBorders>
              <w:bottom w:val="single" w:sz="8" w:color="003B71"/>
            </w:tcBorders>
          </w:tcPr>
          <w:p>
            <w:pPr>
              <w:spacing w:after="0"/>
              <w:rPr>
                <w:sz w:val="15"/>
                <w:szCs w:val="15"/>
                <w:color w:val="auto"/>
              </w:rPr>
            </w:pPr>
          </w:p>
        </w:tc>
        <w:tc>
          <w:tcPr>
            <w:tcW w:w="20" w:type="dxa"/>
            <w:vAlign w:val="bottom"/>
            <w:tcBorders>
              <w:bottom w:val="single" w:sz="8" w:color="003B71"/>
            </w:tcBorders>
          </w:tcPr>
          <w:p>
            <w:pPr>
              <w:spacing w:after="0"/>
              <w:rPr>
                <w:sz w:val="15"/>
                <w:szCs w:val="15"/>
                <w:color w:val="auto"/>
              </w:rPr>
            </w:pPr>
          </w:p>
        </w:tc>
        <w:tc>
          <w:tcPr>
            <w:tcW w:w="100" w:type="dxa"/>
            <w:vAlign w:val="bottom"/>
            <w:tcBorders>
              <w:bottom w:val="single" w:sz="8" w:color="003B71"/>
            </w:tcBorders>
          </w:tcPr>
          <w:p>
            <w:pPr>
              <w:spacing w:after="0"/>
              <w:rPr>
                <w:sz w:val="15"/>
                <w:szCs w:val="15"/>
                <w:color w:val="auto"/>
              </w:rPr>
            </w:pPr>
          </w:p>
        </w:tc>
        <w:tc>
          <w:tcPr>
            <w:tcW w:w="200" w:type="dxa"/>
            <w:vAlign w:val="bottom"/>
            <w:tcBorders>
              <w:bottom w:val="single" w:sz="8" w:color="003B71"/>
            </w:tcBorders>
          </w:tcPr>
          <w:p>
            <w:pPr>
              <w:spacing w:after="0"/>
              <w:rPr>
                <w:sz w:val="15"/>
                <w:szCs w:val="15"/>
                <w:color w:val="auto"/>
              </w:rPr>
            </w:pPr>
          </w:p>
        </w:tc>
        <w:tc>
          <w:tcPr>
            <w:tcW w:w="40" w:type="dxa"/>
            <w:vAlign w:val="bottom"/>
            <w:tcBorders>
              <w:bottom w:val="single" w:sz="8" w:color="003B71"/>
            </w:tcBorders>
          </w:tcPr>
          <w:p>
            <w:pPr>
              <w:spacing w:after="0"/>
              <w:rPr>
                <w:sz w:val="15"/>
                <w:szCs w:val="15"/>
                <w:color w:val="auto"/>
              </w:rPr>
            </w:pPr>
          </w:p>
        </w:tc>
        <w:tc>
          <w:tcPr>
            <w:tcW w:w="120" w:type="dxa"/>
            <w:vAlign w:val="bottom"/>
            <w:tcBorders>
              <w:bottom w:val="single" w:sz="8" w:color="003B71"/>
            </w:tcBorders>
          </w:tcPr>
          <w:p>
            <w:pPr>
              <w:spacing w:after="0"/>
              <w:rPr>
                <w:sz w:val="15"/>
                <w:szCs w:val="15"/>
                <w:color w:val="auto"/>
              </w:rPr>
            </w:pPr>
          </w:p>
        </w:tc>
        <w:tc>
          <w:tcPr>
            <w:tcW w:w="120" w:type="dxa"/>
            <w:vAlign w:val="bottom"/>
            <w:tcBorders>
              <w:bottom w:val="single" w:sz="8" w:color="003B71"/>
            </w:tcBorders>
          </w:tcPr>
          <w:p>
            <w:pPr>
              <w:spacing w:after="0"/>
              <w:rPr>
                <w:sz w:val="15"/>
                <w:szCs w:val="15"/>
                <w:color w:val="auto"/>
              </w:rPr>
            </w:pPr>
          </w:p>
        </w:tc>
        <w:tc>
          <w:tcPr>
            <w:tcW w:w="20" w:type="dxa"/>
            <w:vAlign w:val="bottom"/>
            <w:tcBorders>
              <w:bottom w:val="single" w:sz="8" w:color="003B71"/>
            </w:tcBorders>
          </w:tcPr>
          <w:p>
            <w:pPr>
              <w:spacing w:after="0"/>
              <w:rPr>
                <w:sz w:val="15"/>
                <w:szCs w:val="15"/>
                <w:color w:val="auto"/>
              </w:rPr>
            </w:pPr>
          </w:p>
        </w:tc>
        <w:tc>
          <w:tcPr>
            <w:tcW w:w="100" w:type="dxa"/>
            <w:vAlign w:val="bottom"/>
            <w:tcBorders>
              <w:bottom w:val="single" w:sz="8" w:color="003B71"/>
            </w:tcBorders>
          </w:tcPr>
          <w:p>
            <w:pPr>
              <w:spacing w:after="0"/>
              <w:rPr>
                <w:sz w:val="15"/>
                <w:szCs w:val="15"/>
                <w:color w:val="auto"/>
              </w:rPr>
            </w:pPr>
          </w:p>
        </w:tc>
        <w:tc>
          <w:tcPr>
            <w:tcW w:w="80" w:type="dxa"/>
            <w:vAlign w:val="bottom"/>
            <w:tcBorders>
              <w:bottom w:val="single" w:sz="8" w:color="003B71"/>
            </w:tcBorders>
          </w:tcPr>
          <w:p>
            <w:pPr>
              <w:spacing w:after="0"/>
              <w:rPr>
                <w:sz w:val="15"/>
                <w:szCs w:val="15"/>
                <w:color w:val="auto"/>
              </w:rPr>
            </w:pPr>
          </w:p>
        </w:tc>
        <w:tc>
          <w:tcPr>
            <w:tcW w:w="20" w:type="dxa"/>
            <w:vAlign w:val="bottom"/>
            <w:tcBorders>
              <w:bottom w:val="single" w:sz="8" w:color="003B71"/>
            </w:tcBorders>
          </w:tcPr>
          <w:p>
            <w:pPr>
              <w:spacing w:after="0"/>
              <w:rPr>
                <w:sz w:val="15"/>
                <w:szCs w:val="15"/>
                <w:color w:val="auto"/>
              </w:rPr>
            </w:pPr>
          </w:p>
        </w:tc>
        <w:tc>
          <w:tcPr>
            <w:tcW w:w="120" w:type="dxa"/>
            <w:vAlign w:val="bottom"/>
            <w:tcBorders>
              <w:bottom w:val="single" w:sz="8" w:color="003B71"/>
            </w:tcBorders>
          </w:tcPr>
          <w:p>
            <w:pPr>
              <w:spacing w:after="0"/>
              <w:rPr>
                <w:sz w:val="15"/>
                <w:szCs w:val="15"/>
                <w:color w:val="auto"/>
              </w:rPr>
            </w:pPr>
          </w:p>
        </w:tc>
        <w:tc>
          <w:tcPr>
            <w:tcW w:w="20" w:type="dxa"/>
            <w:vAlign w:val="bottom"/>
            <w:tcBorders>
              <w:bottom w:val="single" w:sz="8" w:color="003B71"/>
            </w:tcBorders>
          </w:tcPr>
          <w:p>
            <w:pPr>
              <w:spacing w:after="0"/>
              <w:rPr>
                <w:sz w:val="15"/>
                <w:szCs w:val="15"/>
                <w:color w:val="auto"/>
              </w:rPr>
            </w:pPr>
          </w:p>
        </w:tc>
        <w:tc>
          <w:tcPr>
            <w:tcW w:w="20" w:type="dxa"/>
            <w:vAlign w:val="bottom"/>
            <w:tcBorders>
              <w:bottom w:val="single" w:sz="8" w:color="003B71"/>
            </w:tcBorders>
          </w:tcPr>
          <w:p>
            <w:pPr>
              <w:spacing w:after="0"/>
              <w:rPr>
                <w:sz w:val="15"/>
                <w:szCs w:val="15"/>
                <w:color w:val="auto"/>
              </w:rPr>
            </w:pPr>
          </w:p>
        </w:tc>
        <w:tc>
          <w:tcPr>
            <w:tcW w:w="40" w:type="dxa"/>
            <w:vAlign w:val="bottom"/>
            <w:tcBorders>
              <w:bottom w:val="single" w:sz="8" w:color="003B71"/>
            </w:tcBorders>
          </w:tcPr>
          <w:p>
            <w:pPr>
              <w:spacing w:after="0"/>
              <w:rPr>
                <w:sz w:val="15"/>
                <w:szCs w:val="15"/>
                <w:color w:val="auto"/>
              </w:rPr>
            </w:pPr>
          </w:p>
        </w:tc>
        <w:tc>
          <w:tcPr>
            <w:tcW w:w="20" w:type="dxa"/>
            <w:vAlign w:val="bottom"/>
            <w:tcBorders>
              <w:bottom w:val="single" w:sz="8" w:color="003B71"/>
            </w:tcBorders>
          </w:tcPr>
          <w:p>
            <w:pPr>
              <w:spacing w:after="0"/>
              <w:rPr>
                <w:sz w:val="15"/>
                <w:szCs w:val="15"/>
                <w:color w:val="auto"/>
              </w:rPr>
            </w:pPr>
          </w:p>
        </w:tc>
        <w:tc>
          <w:tcPr>
            <w:tcW w:w="40" w:type="dxa"/>
            <w:vAlign w:val="bottom"/>
            <w:tcBorders>
              <w:bottom w:val="single" w:sz="8" w:color="003B71"/>
            </w:tcBorders>
          </w:tcPr>
          <w:p>
            <w:pPr>
              <w:spacing w:after="0"/>
              <w:rPr>
                <w:sz w:val="15"/>
                <w:szCs w:val="15"/>
                <w:color w:val="auto"/>
              </w:rPr>
            </w:pPr>
          </w:p>
        </w:tc>
        <w:tc>
          <w:tcPr>
            <w:tcW w:w="40" w:type="dxa"/>
            <w:vAlign w:val="bottom"/>
            <w:tcBorders>
              <w:bottom w:val="single" w:sz="8" w:color="003B71"/>
            </w:tcBorders>
          </w:tcPr>
          <w:p>
            <w:pPr>
              <w:spacing w:after="0"/>
              <w:rPr>
                <w:sz w:val="15"/>
                <w:szCs w:val="15"/>
                <w:color w:val="auto"/>
              </w:rPr>
            </w:pPr>
          </w:p>
        </w:tc>
        <w:tc>
          <w:tcPr>
            <w:tcW w:w="20" w:type="dxa"/>
            <w:vAlign w:val="bottom"/>
            <w:tcBorders>
              <w:bottom w:val="single" w:sz="8" w:color="003B71"/>
            </w:tcBorders>
          </w:tcPr>
          <w:p>
            <w:pPr>
              <w:spacing w:after="0"/>
              <w:rPr>
                <w:sz w:val="15"/>
                <w:szCs w:val="15"/>
                <w:color w:val="auto"/>
              </w:rPr>
            </w:pPr>
          </w:p>
        </w:tc>
        <w:tc>
          <w:tcPr>
            <w:tcW w:w="20" w:type="dxa"/>
            <w:vAlign w:val="bottom"/>
            <w:tcBorders>
              <w:bottom w:val="single" w:sz="8" w:color="003B71"/>
            </w:tcBorders>
          </w:tcPr>
          <w:p>
            <w:pPr>
              <w:spacing w:after="0"/>
              <w:rPr>
                <w:sz w:val="15"/>
                <w:szCs w:val="15"/>
                <w:color w:val="auto"/>
              </w:rPr>
            </w:pPr>
          </w:p>
        </w:tc>
        <w:tc>
          <w:tcPr>
            <w:tcW w:w="200" w:type="dxa"/>
            <w:vAlign w:val="bottom"/>
            <w:tcBorders>
              <w:bottom w:val="single" w:sz="8" w:color="003B71"/>
            </w:tcBorders>
          </w:tcPr>
          <w:p>
            <w:pPr>
              <w:spacing w:after="0"/>
              <w:rPr>
                <w:sz w:val="15"/>
                <w:szCs w:val="15"/>
                <w:color w:val="auto"/>
              </w:rPr>
            </w:pPr>
          </w:p>
        </w:tc>
        <w:tc>
          <w:tcPr>
            <w:tcW w:w="320" w:type="dxa"/>
            <w:vAlign w:val="bottom"/>
            <w:tcBorders>
              <w:bottom w:val="single" w:sz="8" w:color="003B71"/>
            </w:tcBorders>
          </w:tcPr>
          <w:p>
            <w:pPr>
              <w:spacing w:after="0"/>
              <w:rPr>
                <w:sz w:val="15"/>
                <w:szCs w:val="15"/>
                <w:color w:val="auto"/>
              </w:rPr>
            </w:pPr>
          </w:p>
        </w:tc>
        <w:tc>
          <w:tcPr>
            <w:tcW w:w="520" w:type="dxa"/>
            <w:vAlign w:val="bottom"/>
            <w:tcBorders>
              <w:bottom w:val="single" w:sz="8" w:color="003B71"/>
            </w:tcBorders>
          </w:tcPr>
          <w:p>
            <w:pPr>
              <w:spacing w:after="0"/>
              <w:rPr>
                <w:sz w:val="15"/>
                <w:szCs w:val="15"/>
                <w:color w:val="auto"/>
              </w:rPr>
            </w:pPr>
          </w:p>
        </w:tc>
        <w:tc>
          <w:tcPr>
            <w:tcW w:w="160" w:type="dxa"/>
            <w:vAlign w:val="bottom"/>
            <w:tcBorders>
              <w:bottom w:val="single" w:sz="8" w:color="003B71"/>
            </w:tcBorders>
          </w:tcPr>
          <w:p>
            <w:pPr>
              <w:spacing w:after="0"/>
              <w:rPr>
                <w:sz w:val="15"/>
                <w:szCs w:val="15"/>
                <w:color w:val="auto"/>
              </w:rPr>
            </w:pPr>
          </w:p>
        </w:tc>
        <w:tc>
          <w:tcPr>
            <w:tcW w:w="240" w:type="dxa"/>
            <w:vAlign w:val="bottom"/>
            <w:tcBorders>
              <w:bottom w:val="single" w:sz="8" w:color="003B71"/>
            </w:tcBorders>
          </w:tcPr>
          <w:p>
            <w:pPr>
              <w:spacing w:after="0"/>
              <w:rPr>
                <w:sz w:val="15"/>
                <w:szCs w:val="15"/>
                <w:color w:val="auto"/>
              </w:rPr>
            </w:pPr>
          </w:p>
        </w:tc>
        <w:tc>
          <w:tcPr>
            <w:tcW w:w="180" w:type="dxa"/>
            <w:vAlign w:val="bottom"/>
            <w:tcBorders>
              <w:bottom w:val="single" w:sz="8" w:color="003B71"/>
            </w:tcBorders>
          </w:tcPr>
          <w:p>
            <w:pPr>
              <w:spacing w:after="0"/>
              <w:rPr>
                <w:sz w:val="15"/>
                <w:szCs w:val="15"/>
                <w:color w:val="auto"/>
              </w:rPr>
            </w:pPr>
          </w:p>
        </w:tc>
        <w:tc>
          <w:tcPr>
            <w:tcW w:w="200" w:type="dxa"/>
            <w:vAlign w:val="bottom"/>
            <w:tcBorders>
              <w:bottom w:val="single" w:sz="8" w:color="003B71"/>
            </w:tcBorders>
          </w:tcPr>
          <w:p>
            <w:pPr>
              <w:spacing w:after="0"/>
              <w:rPr>
                <w:sz w:val="15"/>
                <w:szCs w:val="15"/>
                <w:color w:val="auto"/>
              </w:rPr>
            </w:pPr>
          </w:p>
        </w:tc>
        <w:tc>
          <w:tcPr>
            <w:tcW w:w="240" w:type="dxa"/>
            <w:vAlign w:val="bottom"/>
            <w:tcBorders>
              <w:bottom w:val="single" w:sz="8" w:color="003B71"/>
            </w:tcBorders>
          </w:tcPr>
          <w:p>
            <w:pPr>
              <w:spacing w:after="0"/>
              <w:rPr>
                <w:sz w:val="15"/>
                <w:szCs w:val="15"/>
                <w:color w:val="auto"/>
              </w:rPr>
            </w:pPr>
          </w:p>
        </w:tc>
        <w:tc>
          <w:tcPr>
            <w:tcW w:w="100" w:type="dxa"/>
            <w:vAlign w:val="bottom"/>
            <w:tcBorders>
              <w:bottom w:val="single" w:sz="8" w:color="003B71"/>
            </w:tcBorders>
          </w:tcPr>
          <w:p>
            <w:pPr>
              <w:spacing w:after="0"/>
              <w:rPr>
                <w:sz w:val="15"/>
                <w:szCs w:val="15"/>
                <w:color w:val="auto"/>
              </w:rPr>
            </w:pPr>
          </w:p>
        </w:tc>
        <w:tc>
          <w:tcPr>
            <w:tcW w:w="240" w:type="dxa"/>
            <w:vAlign w:val="bottom"/>
            <w:tcBorders>
              <w:bottom w:val="single" w:sz="8" w:color="003B71"/>
            </w:tcBorders>
          </w:tcPr>
          <w:p>
            <w:pPr>
              <w:spacing w:after="0"/>
              <w:rPr>
                <w:sz w:val="15"/>
                <w:szCs w:val="15"/>
                <w:color w:val="auto"/>
              </w:rPr>
            </w:pPr>
          </w:p>
        </w:tc>
        <w:tc>
          <w:tcPr>
            <w:tcW w:w="840" w:type="dxa"/>
            <w:vAlign w:val="bottom"/>
            <w:tcBorders>
              <w:bottom w:val="single" w:sz="8" w:color="003B71"/>
            </w:tcBorders>
          </w:tcPr>
          <w:p>
            <w:pPr>
              <w:spacing w:after="0"/>
              <w:rPr>
                <w:sz w:val="15"/>
                <w:szCs w:val="15"/>
                <w:color w:val="auto"/>
              </w:rPr>
            </w:pPr>
          </w:p>
        </w:tc>
        <w:tc>
          <w:tcPr>
            <w:tcW w:w="1660" w:type="dxa"/>
            <w:vAlign w:val="bottom"/>
            <w:tcBorders>
              <w:bottom w:val="single" w:sz="8" w:color="003B71"/>
            </w:tcBorders>
          </w:tcPr>
          <w:p>
            <w:pPr>
              <w:spacing w:after="0"/>
              <w:rPr>
                <w:sz w:val="15"/>
                <w:szCs w:val="15"/>
                <w:color w:val="auto"/>
              </w:rPr>
            </w:pPr>
          </w:p>
        </w:tc>
        <w:tc>
          <w:tcPr>
            <w:tcW w:w="1200" w:type="dxa"/>
            <w:vAlign w:val="bottom"/>
            <w:tcBorders>
              <w:bottom w:val="single" w:sz="8" w:color="003B71"/>
            </w:tcBorders>
          </w:tcPr>
          <w:p>
            <w:pPr>
              <w:spacing w:after="0"/>
              <w:rPr>
                <w:sz w:val="15"/>
                <w:szCs w:val="15"/>
                <w:color w:val="auto"/>
              </w:rPr>
            </w:pPr>
          </w:p>
        </w:tc>
        <w:tc>
          <w:tcPr>
            <w:tcW w:w="1620" w:type="dxa"/>
            <w:vAlign w:val="bottom"/>
            <w:tcBorders>
              <w:bottom w:val="single" w:sz="8" w:color="003B71"/>
            </w:tcBorders>
          </w:tcPr>
          <w:p>
            <w:pPr>
              <w:jc w:val="right"/>
              <w:spacing w:after="0"/>
              <w:rPr>
                <w:sz w:val="20"/>
                <w:szCs w:val="20"/>
                <w:color w:val="auto"/>
              </w:rPr>
            </w:pPr>
            <w:r>
              <w:rPr>
                <w:rFonts w:ascii="Arial" w:cs="Arial" w:eastAsia="Arial" w:hAnsi="Arial"/>
                <w:sz w:val="14"/>
                <w:szCs w:val="14"/>
                <w:b w:val="1"/>
                <w:bCs w:val="1"/>
                <w:color w:val="003B71"/>
              </w:rPr>
              <w:t>Page</w:t>
            </w:r>
          </w:p>
        </w:tc>
      </w:tr>
      <w:tr>
        <w:trPr>
          <w:trHeight w:val="169"/>
        </w:trPr>
        <w:tc>
          <w:tcPr>
            <w:tcW w:w="2740" w:type="dxa"/>
            <w:vAlign w:val="bottom"/>
            <w:tcBorders>
              <w:bottom w:val="single" w:sz="8" w:color="0000EE"/>
            </w:tcBorders>
            <w:gridSpan w:val="16"/>
          </w:tcPr>
          <w:p>
            <w:pPr>
              <w:spacing w:after="0" w:line="169" w:lineRule="exact"/>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2021 Proxy Statement Summary</w:t>
              </w:r>
            </w:hyperlink>
          </w:p>
        </w:tc>
        <w:tc>
          <w:tcPr>
            <w:tcW w:w="6660" w:type="dxa"/>
            <w:vAlign w:val="bottom"/>
            <w:gridSpan w:val="26"/>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8"/>
                <w:szCs w:val="18"/>
                <w:b w:val="1"/>
                <w:bCs w:val="1"/>
                <w:color w:val="003B71"/>
              </w:rPr>
              <w:t>1</w:t>
            </w:r>
          </w:p>
        </w:tc>
      </w:tr>
      <w:tr>
        <w:trPr>
          <w:trHeight w:val="291"/>
        </w:trPr>
        <w:tc>
          <w:tcPr>
            <w:tcW w:w="3220" w:type="dxa"/>
            <w:vAlign w:val="bottom"/>
            <w:tcBorders>
              <w:bottom w:val="single" w:sz="8" w:color="0000EE"/>
            </w:tcBorders>
            <w:gridSpan w:val="26"/>
          </w:tcPr>
          <w:p>
            <w:pPr>
              <w:spacing w:after="0"/>
              <w:rPr>
                <w:rFonts w:ascii="Arial" w:cs="Arial" w:eastAsia="Arial" w:hAnsi="Arial"/>
                <w:sz w:val="18"/>
                <w:szCs w:val="18"/>
                <w:b w:val="1"/>
                <w:bCs w:val="1"/>
                <w:color w:val="0000EE"/>
                <w:w w:val="99"/>
              </w:rPr>
            </w:pPr>
            <w:hyperlink w:anchor="page14">
              <w:r>
                <w:rPr>
                  <w:rFonts w:ascii="Arial" w:cs="Arial" w:eastAsia="Arial" w:hAnsi="Arial"/>
                  <w:sz w:val="18"/>
                  <w:szCs w:val="18"/>
                  <w:b w:val="1"/>
                  <w:bCs w:val="1"/>
                  <w:color w:val="0000EE"/>
                  <w:w w:val="99"/>
                </w:rPr>
                <w:t>Proposal No. 1 – Election of Directors</w:t>
              </w:r>
            </w:hyperlink>
          </w:p>
        </w:tc>
        <w:tc>
          <w:tcPr>
            <w:tcW w:w="6180" w:type="dxa"/>
            <w:vAlign w:val="bottom"/>
            <w:gridSpan w:val="16"/>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003B71"/>
              </w:rPr>
              <w:t>7</w:t>
            </w:r>
          </w:p>
        </w:tc>
      </w:tr>
      <w:tr>
        <w:trPr>
          <w:trHeight w:val="290"/>
        </w:trPr>
        <w:tc>
          <w:tcPr>
            <w:tcW w:w="9400" w:type="dxa"/>
            <w:vAlign w:val="bottom"/>
            <w:gridSpan w:val="42"/>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Proposal No. 2 – Ratification of Appointment of Independent Registered Public Accounting Firm</w:t>
              </w:r>
            </w:hyperlink>
          </w:p>
        </w:tc>
        <w:tc>
          <w:tcPr>
            <w:tcW w:w="1620" w:type="dxa"/>
            <w:vAlign w:val="bottom"/>
          </w:tcPr>
          <w:p>
            <w:pPr>
              <w:jc w:val="right"/>
              <w:spacing w:after="0"/>
              <w:rPr>
                <w:sz w:val="20"/>
                <w:szCs w:val="20"/>
                <w:color w:val="auto"/>
              </w:rPr>
            </w:pPr>
            <w:r>
              <w:rPr>
                <w:rFonts w:ascii="Arial" w:cs="Arial" w:eastAsia="Arial" w:hAnsi="Arial"/>
                <w:sz w:val="18"/>
                <w:szCs w:val="18"/>
                <w:b w:val="1"/>
                <w:bCs w:val="1"/>
                <w:color w:val="003B71"/>
              </w:rPr>
              <w:t>13</w:t>
            </w:r>
          </w:p>
        </w:tc>
      </w:tr>
      <w:tr>
        <w:trPr>
          <w:trHeight w:val="291"/>
        </w:trPr>
        <w:tc>
          <w:tcPr>
            <w:tcW w:w="5120" w:type="dxa"/>
            <w:vAlign w:val="bottom"/>
            <w:tcBorders>
              <w:top w:val="single" w:sz="8" w:color="0000EE"/>
              <w:bottom w:val="single" w:sz="8" w:color="0000EE"/>
            </w:tcBorders>
            <w:gridSpan w:val="36"/>
          </w:tcPr>
          <w:p>
            <w:pPr>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Proposal No. 3 – Advisory Vote on Executive Compensation</w:t>
              </w:r>
            </w:hyperlink>
          </w:p>
        </w:tc>
        <w:tc>
          <w:tcPr>
            <w:tcW w:w="3080" w:type="dxa"/>
            <w:vAlign w:val="bottom"/>
            <w:tcBorders>
              <w:top w:val="single" w:sz="8" w:color="0000EE"/>
            </w:tcBorders>
            <w:gridSpan w:val="5"/>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003B71"/>
              </w:rPr>
              <w:t>14</w:t>
            </w:r>
          </w:p>
        </w:tc>
      </w:tr>
      <w:tr>
        <w:trPr>
          <w:trHeight w:val="290"/>
        </w:trPr>
        <w:tc>
          <w:tcPr>
            <w:tcW w:w="3160" w:type="dxa"/>
            <w:vAlign w:val="bottom"/>
            <w:tcBorders>
              <w:bottom w:val="single" w:sz="8" w:color="0000EE"/>
            </w:tcBorders>
            <w:gridSpan w:val="24"/>
          </w:tcPr>
          <w:p>
            <w:pPr>
              <w:spacing w:after="0"/>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Directors and Corporate Governance</w:t>
              </w:r>
            </w:hyperlink>
          </w:p>
        </w:tc>
        <w:tc>
          <w:tcPr>
            <w:tcW w:w="6240" w:type="dxa"/>
            <w:vAlign w:val="bottom"/>
            <w:gridSpan w:val="18"/>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003B71"/>
              </w:rPr>
              <w:t>15</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Composition and Board Independence</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15</w:t>
            </w:r>
          </w:p>
        </w:tc>
      </w:tr>
      <w:tr>
        <w:trPr>
          <w:trHeight w:val="169"/>
        </w:trPr>
        <w:tc>
          <w:tcPr>
            <w:tcW w:w="100" w:type="dxa"/>
            <w:vAlign w:val="bottom"/>
          </w:tcPr>
          <w:p>
            <w:pPr>
              <w:spacing w:after="0"/>
              <w:rPr>
                <w:sz w:val="14"/>
                <w:szCs w:val="14"/>
                <w:color w:val="auto"/>
              </w:rPr>
            </w:pPr>
          </w:p>
        </w:tc>
        <w:tc>
          <w:tcPr>
            <w:tcW w:w="166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Corporate Governance</w:t>
              </w:r>
            </w:hyperlink>
          </w:p>
        </w:tc>
        <w:tc>
          <w:tcPr>
            <w:tcW w:w="1100" w:type="dxa"/>
            <w:vAlign w:val="bottom"/>
            <w:tcBorders>
              <w:top w:val="single" w:sz="8" w:color="0000EE"/>
            </w:tcBorders>
            <w:gridSpan w:val="11"/>
          </w:tcPr>
          <w:p>
            <w:pPr>
              <w:spacing w:after="0"/>
              <w:rPr>
                <w:sz w:val="14"/>
                <w:szCs w:val="14"/>
                <w:color w:val="auto"/>
              </w:rPr>
            </w:pPr>
          </w:p>
        </w:tc>
        <w:tc>
          <w:tcPr>
            <w:tcW w:w="6540" w:type="dxa"/>
            <w:vAlign w:val="bottom"/>
            <w:gridSpan w:val="24"/>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15</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The Board’s Role in Risk Oversight</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16</w:t>
            </w:r>
          </w:p>
        </w:tc>
      </w:tr>
      <w:tr>
        <w:trPr>
          <w:trHeight w:val="169"/>
        </w:trPr>
        <w:tc>
          <w:tcPr>
            <w:tcW w:w="100" w:type="dxa"/>
            <w:vAlign w:val="bottom"/>
          </w:tcPr>
          <w:p>
            <w:pPr>
              <w:spacing w:after="0"/>
              <w:rPr>
                <w:sz w:val="14"/>
                <w:szCs w:val="14"/>
                <w:color w:val="auto"/>
              </w:rPr>
            </w:pPr>
          </w:p>
        </w:tc>
        <w:tc>
          <w:tcPr>
            <w:tcW w:w="252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Succession Planning</w:t>
              </w:r>
            </w:hyperlink>
          </w:p>
        </w:tc>
        <w:tc>
          <w:tcPr>
            <w:tcW w:w="6780" w:type="dxa"/>
            <w:vAlign w:val="bottom"/>
            <w:gridSpan w:val="27"/>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16</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86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Board of Directors Leadership Structure</w:t>
              </w:r>
            </w:hyperlink>
          </w:p>
        </w:tc>
        <w:tc>
          <w:tcPr>
            <w:tcW w:w="6440" w:type="dxa"/>
            <w:vAlign w:val="bottom"/>
            <w:gridSpan w:val="22"/>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16</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24">
              <w:r>
                <w:rPr>
                  <w:rFonts w:ascii="Arial" w:cs="Arial" w:eastAsia="Arial" w:hAnsi="Arial"/>
                  <w:sz w:val="16"/>
                  <w:szCs w:val="16"/>
                  <w:color w:val="0000EE"/>
                </w:rPr>
                <w:t>Director Compensation</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17</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266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26">
              <w:r>
                <w:rPr>
                  <w:rFonts w:ascii="Arial" w:cs="Arial" w:eastAsia="Arial" w:hAnsi="Arial"/>
                  <w:sz w:val="16"/>
                  <w:szCs w:val="16"/>
                  <w:color w:val="0000EE"/>
                </w:rPr>
                <w:t>Director Stock Ownership Guidelines</w:t>
              </w:r>
            </w:hyperlink>
          </w:p>
        </w:tc>
        <w:tc>
          <w:tcPr>
            <w:tcW w:w="6640" w:type="dxa"/>
            <w:vAlign w:val="bottom"/>
            <w:gridSpan w:val="25"/>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19</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26">
              <w:r>
                <w:rPr>
                  <w:rFonts w:ascii="Arial" w:cs="Arial" w:eastAsia="Arial" w:hAnsi="Arial"/>
                  <w:sz w:val="16"/>
                  <w:szCs w:val="16"/>
                  <w:color w:val="0000EE"/>
                </w:rPr>
                <w:t>Policy Regarding Shareholder Recommendations for Director Candidates</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19</w:t>
            </w:r>
          </w:p>
        </w:tc>
      </w:tr>
      <w:tr>
        <w:trPr>
          <w:trHeight w:val="169"/>
        </w:trPr>
        <w:tc>
          <w:tcPr>
            <w:tcW w:w="100" w:type="dxa"/>
            <w:vAlign w:val="bottom"/>
          </w:tcPr>
          <w:p>
            <w:pPr>
              <w:spacing w:after="0"/>
              <w:rPr>
                <w:sz w:val="14"/>
                <w:szCs w:val="14"/>
                <w:color w:val="auto"/>
              </w:rPr>
            </w:pPr>
          </w:p>
        </w:tc>
        <w:tc>
          <w:tcPr>
            <w:tcW w:w="526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w:anchor="page26">
              <w:r>
                <w:rPr>
                  <w:rFonts w:ascii="Arial" w:cs="Arial" w:eastAsia="Arial" w:hAnsi="Arial"/>
                  <w:sz w:val="16"/>
                  <w:szCs w:val="16"/>
                  <w:color w:val="0000EE"/>
                </w:rPr>
                <w:t>Director Qualifications</w:t>
              </w:r>
            </w:hyperlink>
          </w:p>
        </w:tc>
        <w:tc>
          <w:tcPr>
            <w:tcW w:w="4040" w:type="dxa"/>
            <w:vAlign w:val="bottom"/>
            <w:gridSpan w:val="5"/>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19</w:t>
            </w:r>
          </w:p>
        </w:tc>
      </w:tr>
      <w:tr>
        <w:trPr>
          <w:trHeight w:val="169"/>
        </w:trPr>
        <w:tc>
          <w:tcPr>
            <w:tcW w:w="100" w:type="dxa"/>
            <w:vAlign w:val="bottom"/>
          </w:tcPr>
          <w:p>
            <w:pPr>
              <w:spacing w:after="0"/>
              <w:rPr>
                <w:sz w:val="14"/>
                <w:szCs w:val="14"/>
                <w:color w:val="auto"/>
              </w:rPr>
            </w:pPr>
          </w:p>
        </w:tc>
        <w:tc>
          <w:tcPr>
            <w:tcW w:w="1580" w:type="dxa"/>
            <w:vAlign w:val="bottom"/>
            <w:tcBorders>
              <w:top w:val="single" w:sz="8" w:color="0000EE"/>
            </w:tcBorders>
            <w:gridSpan w:val="5"/>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Current Nominations</w:t>
              </w:r>
            </w:hyperlink>
          </w:p>
        </w:tc>
        <w:tc>
          <w:tcPr>
            <w:tcW w:w="7720" w:type="dxa"/>
            <w:vAlign w:val="bottom"/>
            <w:gridSpan w:val="36"/>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640" w:type="dxa"/>
            <w:vAlign w:val="bottom"/>
            <w:tcBorders>
              <w:bottom w:val="single" w:sz="8" w:color="0000EE"/>
            </w:tcBorders>
            <w:gridSpan w:val="33"/>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Code of Business Conduct and Ethics and Whistle Blower Policy</w:t>
              </w:r>
            </w:hyperlink>
          </w:p>
        </w:tc>
        <w:tc>
          <w:tcPr>
            <w:tcW w:w="4660" w:type="dxa"/>
            <w:vAlign w:val="bottom"/>
            <w:gridSpan w:val="8"/>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r>
      <w:tr>
        <w:trPr>
          <w:trHeight w:val="169"/>
        </w:trPr>
        <w:tc>
          <w:tcPr>
            <w:tcW w:w="100" w:type="dxa"/>
            <w:vAlign w:val="bottom"/>
          </w:tcPr>
          <w:p>
            <w:pPr>
              <w:spacing w:after="0"/>
              <w:rPr>
                <w:sz w:val="14"/>
                <w:szCs w:val="14"/>
                <w:color w:val="auto"/>
              </w:rPr>
            </w:pPr>
          </w:p>
        </w:tc>
        <w:tc>
          <w:tcPr>
            <w:tcW w:w="440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Compensation Committee Interlocks and Insider Participation</w:t>
              </w:r>
            </w:hyperlink>
          </w:p>
        </w:tc>
        <w:tc>
          <w:tcPr>
            <w:tcW w:w="4900" w:type="dxa"/>
            <w:vAlign w:val="bottom"/>
            <w:gridSpan w:val="9"/>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Communications with the Board of Directors</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20</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90"/>
        </w:trPr>
        <w:tc>
          <w:tcPr>
            <w:tcW w:w="9400" w:type="dxa"/>
            <w:vAlign w:val="bottom"/>
            <w:gridSpan w:val="4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Security Ownership of Certain Beneficial Owners and Management</w:t>
              </w:r>
            </w:hyperlink>
          </w:p>
        </w:tc>
        <w:tc>
          <w:tcPr>
            <w:tcW w:w="1620" w:type="dxa"/>
            <w:vAlign w:val="bottom"/>
          </w:tcPr>
          <w:p>
            <w:pPr>
              <w:jc w:val="right"/>
              <w:spacing w:after="0"/>
              <w:rPr>
                <w:sz w:val="20"/>
                <w:szCs w:val="20"/>
                <w:color w:val="auto"/>
              </w:rPr>
            </w:pPr>
            <w:r>
              <w:rPr>
                <w:rFonts w:ascii="Arial" w:cs="Arial" w:eastAsia="Arial" w:hAnsi="Arial"/>
                <w:sz w:val="18"/>
                <w:szCs w:val="18"/>
                <w:b w:val="1"/>
                <w:bCs w:val="1"/>
                <w:color w:val="003B71"/>
              </w:rPr>
              <w:t>21</w:t>
            </w:r>
          </w:p>
        </w:tc>
      </w:tr>
      <w:tr>
        <w:trPr>
          <w:trHeight w:val="291"/>
        </w:trPr>
        <w:tc>
          <w:tcPr>
            <w:tcW w:w="5700" w:type="dxa"/>
            <w:vAlign w:val="bottom"/>
            <w:tcBorders>
              <w:top w:val="single" w:sz="8" w:color="0000EE"/>
            </w:tcBorders>
            <w:gridSpan w:val="3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Executive Officers</w:t>
              </w:r>
            </w:hyperlink>
          </w:p>
        </w:tc>
        <w:tc>
          <w:tcPr>
            <w:tcW w:w="3700" w:type="dxa"/>
            <w:vAlign w:val="bottom"/>
            <w:gridSpan w:val="3"/>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003B71"/>
              </w:rPr>
              <w:t>24</w:t>
            </w: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90"/>
        </w:trPr>
        <w:tc>
          <w:tcPr>
            <w:tcW w:w="214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Executive Compensation</w:t>
              </w:r>
            </w:hyperlink>
          </w:p>
        </w:tc>
        <w:tc>
          <w:tcPr>
            <w:tcW w:w="7260" w:type="dxa"/>
            <w:vAlign w:val="bottom"/>
            <w:gridSpan w:val="32"/>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003B71"/>
              </w:rPr>
              <w:t>27</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Compensation Discussion and Analysis</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27</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80" w:type="dxa"/>
            <w:vAlign w:val="bottom"/>
            <w:gridSpan w:val="40"/>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Business, Strategy &amp; Performance Highlights for Fiscal Year 2020</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27</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320" w:type="dxa"/>
            <w:vAlign w:val="bottom"/>
            <w:tcBorders>
              <w:bottom w:val="single" w:sz="8" w:color="0000EE"/>
            </w:tcBorders>
            <w:gridSpan w:val="38"/>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Compensation Philosophy and Overall Objectives of Executive Compensation Programs</w:t>
              </w:r>
            </w:hyperlink>
          </w:p>
        </w:tc>
        <w:tc>
          <w:tcPr>
            <w:tcW w:w="2860" w:type="dxa"/>
            <w:vAlign w:val="bottom"/>
            <w:gridSpan w:val="2"/>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27</w:t>
            </w: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80" w:type="dxa"/>
            <w:vAlign w:val="bottom"/>
            <w:gridSpan w:val="40"/>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Compensation Practices</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28</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40" w:type="dxa"/>
            <w:vAlign w:val="bottom"/>
            <w:tcBorders>
              <w:bottom w:val="single" w:sz="8" w:color="0000EE"/>
            </w:tcBorders>
            <w:gridSpan w:val="36"/>
          </w:tcPr>
          <w:p>
            <w:pPr>
              <w:spacing w:after="0" w:line="169" w:lineRule="exact"/>
              <w:rPr>
                <w:rFonts w:ascii="Arial" w:cs="Arial" w:eastAsia="Arial" w:hAnsi="Arial"/>
                <w:sz w:val="16"/>
                <w:szCs w:val="16"/>
                <w:color w:val="0000EE"/>
              </w:rPr>
            </w:pPr>
            <w:hyperlink w:anchor="page36">
              <w:r>
                <w:rPr>
                  <w:rFonts w:ascii="Arial" w:cs="Arial" w:eastAsia="Arial" w:hAnsi="Arial"/>
                  <w:sz w:val="16"/>
                  <w:szCs w:val="16"/>
                  <w:color w:val="0000EE"/>
                </w:rPr>
                <w:t>Shareholder Say-on-Pay Vote for 2020 and Compensation Actions Taken</w:t>
              </w:r>
            </w:hyperlink>
          </w:p>
        </w:tc>
        <w:tc>
          <w:tcPr>
            <w:tcW w:w="3940" w:type="dxa"/>
            <w:vAlign w:val="bottom"/>
            <w:gridSpan w:val="4"/>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29</w:t>
            </w: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w:anchor="page36">
              <w:r>
                <w:rPr>
                  <w:rFonts w:ascii="Arial" w:cs="Arial" w:eastAsia="Arial" w:hAnsi="Arial"/>
                  <w:sz w:val="16"/>
                  <w:szCs w:val="16"/>
                  <w:color w:val="0000EE"/>
                </w:rPr>
                <w:t>Procedures for Determining Compensation</w:t>
              </w:r>
            </w:hyperlink>
          </w:p>
        </w:tc>
        <w:tc>
          <w:tcPr>
            <w:tcW w:w="6100" w:type="dxa"/>
            <w:vAlign w:val="bottom"/>
            <w:gridSpan w:val="13"/>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29</w:t>
            </w: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80" w:type="dxa"/>
            <w:vAlign w:val="bottom"/>
            <w:gridSpan w:val="40"/>
          </w:tcPr>
          <w:p>
            <w:pPr>
              <w:spacing w:after="0" w:line="169" w:lineRule="exact"/>
              <w:rPr>
                <w:rFonts w:ascii="Arial" w:cs="Arial" w:eastAsia="Arial" w:hAnsi="Arial"/>
                <w:sz w:val="16"/>
                <w:szCs w:val="16"/>
                <w:color w:val="0000EE"/>
              </w:rPr>
            </w:pPr>
            <w:hyperlink w:anchor="page37">
              <w:r>
                <w:rPr>
                  <w:rFonts w:ascii="Arial" w:cs="Arial" w:eastAsia="Arial" w:hAnsi="Arial"/>
                  <w:sz w:val="16"/>
                  <w:szCs w:val="16"/>
                  <w:color w:val="0000EE"/>
                </w:rPr>
                <w:t>Pay for Performance Alignment</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30</w:t>
            </w: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COVID-19 Action Plan</w:t>
              </w:r>
            </w:hyperlink>
          </w:p>
        </w:tc>
        <w:tc>
          <w:tcPr>
            <w:tcW w:w="6940" w:type="dxa"/>
            <w:vAlign w:val="bottom"/>
            <w:gridSpan w:val="29"/>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31</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Borders>
              <w:bottom w:val="single" w:sz="8" w:color="0000EE"/>
            </w:tcBorders>
            <w:gridSpan w:val="9"/>
          </w:tcPr>
          <w:p>
            <w:pPr>
              <w:spacing w:after="0" w:line="169" w:lineRule="exact"/>
              <w:rPr>
                <w:rFonts w:ascii="Arial" w:cs="Arial" w:eastAsia="Arial" w:hAnsi="Arial"/>
                <w:sz w:val="16"/>
                <w:szCs w:val="16"/>
                <w:color w:val="0000EE"/>
                <w:w w:val="99"/>
              </w:rPr>
            </w:pPr>
            <w:hyperlink w:anchor="page39">
              <w:r>
                <w:rPr>
                  <w:rFonts w:ascii="Arial" w:cs="Arial" w:eastAsia="Arial" w:hAnsi="Arial"/>
                  <w:sz w:val="16"/>
                  <w:szCs w:val="16"/>
                  <w:color w:val="0000EE"/>
                  <w:w w:val="99"/>
                </w:rPr>
                <w:t>Elements of Compensation</w:t>
              </w:r>
            </w:hyperlink>
          </w:p>
        </w:tc>
        <w:tc>
          <w:tcPr>
            <w:tcW w:w="7240" w:type="dxa"/>
            <w:vAlign w:val="bottom"/>
            <w:gridSpan w:val="31"/>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32</w:t>
            </w: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w:anchor="page41">
              <w:r>
                <w:rPr>
                  <w:rFonts w:ascii="Arial" w:cs="Arial" w:eastAsia="Arial" w:hAnsi="Arial"/>
                  <w:sz w:val="16"/>
                  <w:szCs w:val="16"/>
                  <w:color w:val="0000EE"/>
                </w:rPr>
                <w:t>Deductibility of Executive Compensation</w:t>
              </w:r>
            </w:hyperlink>
          </w:p>
        </w:tc>
        <w:tc>
          <w:tcPr>
            <w:tcW w:w="6280" w:type="dxa"/>
            <w:vAlign w:val="bottom"/>
            <w:gridSpan w:val="19"/>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34</w:t>
            </w: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80" w:type="dxa"/>
            <w:vAlign w:val="bottom"/>
            <w:gridSpan w:val="40"/>
          </w:tcPr>
          <w:p>
            <w:pPr>
              <w:spacing w:after="0" w:line="169" w:lineRule="exact"/>
              <w:rPr>
                <w:rFonts w:ascii="Arial" w:cs="Arial" w:eastAsia="Arial" w:hAnsi="Arial"/>
                <w:sz w:val="16"/>
                <w:szCs w:val="16"/>
                <w:color w:val="0000EE"/>
              </w:rPr>
            </w:pPr>
            <w:hyperlink w:anchor="page42">
              <w:r>
                <w:rPr>
                  <w:rFonts w:ascii="Arial" w:cs="Arial" w:eastAsia="Arial" w:hAnsi="Arial"/>
                  <w:sz w:val="16"/>
                  <w:szCs w:val="16"/>
                  <w:color w:val="0000EE"/>
                </w:rPr>
                <w:t>CEO Pay Ratio</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w:anchor="page42">
              <w:r>
                <w:rPr>
                  <w:rFonts w:ascii="Arial" w:cs="Arial" w:eastAsia="Arial" w:hAnsi="Arial"/>
                  <w:sz w:val="16"/>
                  <w:szCs w:val="16"/>
                  <w:color w:val="0000EE"/>
                </w:rPr>
                <w:t>Stock Ownership Guidelines for Officers</w:t>
              </w:r>
            </w:hyperlink>
          </w:p>
        </w:tc>
        <w:tc>
          <w:tcPr>
            <w:tcW w:w="6300" w:type="dxa"/>
            <w:vAlign w:val="bottom"/>
            <w:gridSpan w:val="20"/>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42">
              <w:r>
                <w:rPr>
                  <w:rFonts w:ascii="Arial" w:cs="Arial" w:eastAsia="Arial" w:hAnsi="Arial"/>
                  <w:sz w:val="16"/>
                  <w:szCs w:val="16"/>
                  <w:color w:val="0000EE"/>
                  <w:w w:val="99"/>
                </w:rPr>
                <w:t>Clawback Policy</w:t>
              </w:r>
            </w:hyperlink>
          </w:p>
        </w:tc>
        <w:tc>
          <w:tcPr>
            <w:tcW w:w="8000" w:type="dxa"/>
            <w:vAlign w:val="bottom"/>
            <w:gridSpan w:val="38"/>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35</w:t>
            </w:r>
          </w:p>
        </w:tc>
      </w:tr>
      <w:tr>
        <w:trPr>
          <w:trHeight w:val="169"/>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43">
              <w:r>
                <w:rPr>
                  <w:rFonts w:ascii="Arial" w:cs="Arial" w:eastAsia="Arial" w:hAnsi="Arial"/>
                  <w:sz w:val="16"/>
                  <w:szCs w:val="16"/>
                  <w:color w:val="0000EE"/>
                </w:rPr>
                <w:t>Risk Assessment Disclosure</w:t>
              </w:r>
            </w:hyperlink>
          </w:p>
        </w:tc>
        <w:tc>
          <w:tcPr>
            <w:tcW w:w="7140" w:type="dxa"/>
            <w:vAlign w:val="bottom"/>
            <w:gridSpan w:val="30"/>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36</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43">
              <w:r>
                <w:rPr>
                  <w:rFonts w:ascii="Arial" w:cs="Arial" w:eastAsia="Arial" w:hAnsi="Arial"/>
                  <w:sz w:val="16"/>
                  <w:szCs w:val="16"/>
                  <w:color w:val="0000EE"/>
                </w:rPr>
                <w:t>Compensation Committee Report</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36</w:t>
            </w:r>
          </w:p>
        </w:tc>
      </w:tr>
      <w:tr>
        <w:trPr>
          <w:trHeight w:val="20"/>
        </w:trPr>
        <w:tc>
          <w:tcPr>
            <w:tcW w:w="100" w:type="dxa"/>
            <w:vAlign w:val="bottom"/>
          </w:tcPr>
          <w:p>
            <w:pPr>
              <w:spacing w:after="0" w:line="20" w:lineRule="exact"/>
              <w:rPr>
                <w:sz w:val="1"/>
                <w:szCs w:val="1"/>
                <w:color w:val="auto"/>
              </w:rPr>
            </w:pPr>
          </w:p>
        </w:tc>
        <w:tc>
          <w:tcPr>
            <w:tcW w:w="1820" w:type="dxa"/>
            <w:vAlign w:val="bottom"/>
            <w:gridSpan w:val="8"/>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90"/>
        </w:trPr>
        <w:tc>
          <w:tcPr>
            <w:tcW w:w="3080" w:type="dxa"/>
            <w:vAlign w:val="bottom"/>
            <w:tcBorders>
              <w:bottom w:val="single" w:sz="8" w:color="0000EE"/>
            </w:tcBorders>
            <w:gridSpan w:val="21"/>
          </w:tcPr>
          <w:p>
            <w:pPr>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2020 Summary Compensation Table</w:t>
              </w:r>
            </w:hyperlink>
          </w:p>
        </w:tc>
        <w:tc>
          <w:tcPr>
            <w:tcW w:w="6320" w:type="dxa"/>
            <w:vAlign w:val="bottom"/>
            <w:gridSpan w:val="21"/>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003B71"/>
              </w:rPr>
              <w:t>37</w:t>
            </w:r>
          </w:p>
        </w:tc>
      </w:tr>
      <w:tr>
        <w:trPr>
          <w:trHeight w:val="169"/>
        </w:trPr>
        <w:tc>
          <w:tcPr>
            <w:tcW w:w="100" w:type="dxa"/>
            <w:vAlign w:val="bottom"/>
          </w:tcPr>
          <w:p>
            <w:pPr>
              <w:spacing w:after="0"/>
              <w:rPr>
                <w:sz w:val="14"/>
                <w:szCs w:val="14"/>
                <w:color w:val="auto"/>
              </w:rPr>
            </w:pPr>
          </w:p>
        </w:tc>
        <w:tc>
          <w:tcPr>
            <w:tcW w:w="318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w:anchor="page46">
              <w:r>
                <w:rPr>
                  <w:rFonts w:ascii="Arial" w:cs="Arial" w:eastAsia="Arial" w:hAnsi="Arial"/>
                  <w:sz w:val="16"/>
                  <w:szCs w:val="16"/>
                  <w:color w:val="0000EE"/>
                </w:rPr>
                <w:t>Grants of Plan-Based Awards in Fiscal 2020</w:t>
              </w:r>
            </w:hyperlink>
          </w:p>
        </w:tc>
        <w:tc>
          <w:tcPr>
            <w:tcW w:w="6120" w:type="dxa"/>
            <w:vAlign w:val="bottom"/>
            <w:gridSpan w:val="14"/>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39</w:t>
            </w:r>
          </w:p>
        </w:tc>
      </w:tr>
      <w:tr>
        <w:trPr>
          <w:trHeight w:val="169"/>
        </w:trPr>
        <w:tc>
          <w:tcPr>
            <w:tcW w:w="100" w:type="dxa"/>
            <w:vAlign w:val="bottom"/>
          </w:tcPr>
          <w:p>
            <w:pPr>
              <w:spacing w:after="0"/>
              <w:rPr>
                <w:sz w:val="14"/>
                <w:szCs w:val="14"/>
                <w:color w:val="auto"/>
              </w:rPr>
            </w:pPr>
          </w:p>
        </w:tc>
        <w:tc>
          <w:tcPr>
            <w:tcW w:w="3720" w:type="dxa"/>
            <w:vAlign w:val="bottom"/>
            <w:tcBorders>
              <w:bottom w:val="single" w:sz="8" w:color="0000EE"/>
            </w:tcBorders>
            <w:gridSpan w:val="30"/>
          </w:tcPr>
          <w:p>
            <w:pPr>
              <w:spacing w:after="0" w:line="169" w:lineRule="exact"/>
              <w:rPr>
                <w:rFonts w:ascii="Arial" w:cs="Arial" w:eastAsia="Arial" w:hAnsi="Arial"/>
                <w:sz w:val="16"/>
                <w:szCs w:val="16"/>
                <w:color w:val="0000EE"/>
              </w:rPr>
            </w:pPr>
            <w:hyperlink w:anchor="page47">
              <w:r>
                <w:rPr>
                  <w:rFonts w:ascii="Arial" w:cs="Arial" w:eastAsia="Arial" w:hAnsi="Arial"/>
                  <w:sz w:val="16"/>
                  <w:szCs w:val="16"/>
                  <w:color w:val="0000EE"/>
                </w:rPr>
                <w:t>Outstanding Equity Awards at Fiscal Year End 2020</w:t>
              </w:r>
            </w:hyperlink>
          </w:p>
        </w:tc>
        <w:tc>
          <w:tcPr>
            <w:tcW w:w="5580" w:type="dxa"/>
            <w:vAlign w:val="bottom"/>
            <w:gridSpan w:val="11"/>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40</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48">
              <w:r>
                <w:rPr>
                  <w:rFonts w:ascii="Arial" w:cs="Arial" w:eastAsia="Arial" w:hAnsi="Arial"/>
                  <w:sz w:val="16"/>
                  <w:szCs w:val="16"/>
                  <w:color w:val="0000EE"/>
                </w:rPr>
                <w:t>Fiscal 2020 Option Exercises and Stock Vested</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41</w:t>
            </w:r>
          </w:p>
        </w:tc>
      </w:tr>
      <w:tr>
        <w:trPr>
          <w:trHeight w:val="169"/>
        </w:trPr>
        <w:tc>
          <w:tcPr>
            <w:tcW w:w="100" w:type="dxa"/>
            <w:vAlign w:val="bottom"/>
          </w:tcPr>
          <w:p>
            <w:pPr>
              <w:spacing w:after="0"/>
              <w:rPr>
                <w:sz w:val="14"/>
                <w:szCs w:val="14"/>
                <w:color w:val="auto"/>
              </w:rPr>
            </w:pPr>
          </w:p>
        </w:tc>
        <w:tc>
          <w:tcPr>
            <w:tcW w:w="3080" w:type="dxa"/>
            <w:vAlign w:val="bottom"/>
            <w:tcBorders>
              <w:top w:val="single" w:sz="8" w:color="0000EE"/>
              <w:bottom w:val="single" w:sz="8" w:color="0000EE"/>
            </w:tcBorders>
            <w:gridSpan w:val="24"/>
          </w:tcPr>
          <w:p>
            <w:pPr>
              <w:spacing w:after="0" w:line="169" w:lineRule="exact"/>
              <w:rPr>
                <w:rFonts w:ascii="Arial" w:cs="Arial" w:eastAsia="Arial" w:hAnsi="Arial"/>
                <w:sz w:val="16"/>
                <w:szCs w:val="16"/>
                <w:color w:val="0000EE"/>
              </w:rPr>
            </w:pPr>
            <w:hyperlink w:anchor="page48">
              <w:r>
                <w:rPr>
                  <w:rFonts w:ascii="Arial" w:cs="Arial" w:eastAsia="Arial" w:hAnsi="Arial"/>
                  <w:sz w:val="16"/>
                  <w:szCs w:val="16"/>
                  <w:color w:val="0000EE"/>
                </w:rPr>
                <w:t>2020 Nonqualified Deferred Compensation</w:t>
              </w:r>
            </w:hyperlink>
          </w:p>
        </w:tc>
        <w:tc>
          <w:tcPr>
            <w:tcW w:w="320" w:type="dxa"/>
            <w:vAlign w:val="bottom"/>
            <w:tcBorders>
              <w:top w:val="single" w:sz="8" w:color="0000EE"/>
            </w:tcBorders>
            <w:gridSpan w:val="5"/>
          </w:tcPr>
          <w:p>
            <w:pPr>
              <w:spacing w:after="0"/>
              <w:rPr>
                <w:sz w:val="14"/>
                <w:szCs w:val="14"/>
                <w:color w:val="auto"/>
              </w:rPr>
            </w:pPr>
          </w:p>
        </w:tc>
        <w:tc>
          <w:tcPr>
            <w:tcW w:w="5900" w:type="dxa"/>
            <w:vAlign w:val="bottom"/>
            <w:gridSpan w:val="12"/>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41</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Employment Agreements</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42</w:t>
            </w:r>
          </w:p>
        </w:tc>
      </w:tr>
      <w:tr>
        <w:trPr>
          <w:trHeight w:val="20"/>
        </w:trPr>
        <w:tc>
          <w:tcPr>
            <w:tcW w:w="100" w:type="dxa"/>
            <w:vAlign w:val="bottom"/>
          </w:tcPr>
          <w:p>
            <w:pPr>
              <w:spacing w:after="0" w:line="20" w:lineRule="exact"/>
              <w:rPr>
                <w:sz w:val="1"/>
                <w:szCs w:val="1"/>
                <w:color w:val="auto"/>
              </w:rPr>
            </w:pPr>
          </w:p>
        </w:tc>
        <w:tc>
          <w:tcPr>
            <w:tcW w:w="1820" w:type="dxa"/>
            <w:vAlign w:val="bottom"/>
            <w:gridSpan w:val="8"/>
            <w:shd w:val="clear" w:color="auto" w:fill="0000EE"/>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1480" w:type="dxa"/>
            <w:vAlign w:val="bottom"/>
            <w:gridSpan w:val="14"/>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100" w:type="dxa"/>
            <w:vAlign w:val="bottom"/>
          </w:tcPr>
          <w:p>
            <w:pPr>
              <w:spacing w:after="0"/>
              <w:rPr>
                <w:sz w:val="14"/>
                <w:szCs w:val="14"/>
                <w:color w:val="auto"/>
              </w:rPr>
            </w:pPr>
          </w:p>
        </w:tc>
        <w:tc>
          <w:tcPr>
            <w:tcW w:w="4240" w:type="dxa"/>
            <w:vAlign w:val="bottom"/>
            <w:tcBorders>
              <w:bottom w:val="single" w:sz="8" w:color="0000EE"/>
            </w:tcBorders>
            <w:gridSpan w:val="31"/>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Potential Payments upon Termination or Change of Control</w:t>
              </w:r>
            </w:hyperlink>
          </w:p>
        </w:tc>
        <w:tc>
          <w:tcPr>
            <w:tcW w:w="5060" w:type="dxa"/>
            <w:vAlign w:val="bottom"/>
            <w:gridSpan w:val="10"/>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42</w:t>
            </w:r>
          </w:p>
        </w:tc>
      </w:tr>
      <w:tr>
        <w:trPr>
          <w:trHeight w:val="169"/>
        </w:trPr>
        <w:tc>
          <w:tcPr>
            <w:tcW w:w="100" w:type="dxa"/>
            <w:vAlign w:val="bottom"/>
          </w:tcPr>
          <w:p>
            <w:pPr>
              <w:spacing w:after="0"/>
              <w:rPr>
                <w:sz w:val="14"/>
                <w:szCs w:val="14"/>
                <w:color w:val="auto"/>
              </w:rPr>
            </w:pPr>
          </w:p>
        </w:tc>
        <w:tc>
          <w:tcPr>
            <w:tcW w:w="9300" w:type="dxa"/>
            <w:vAlign w:val="bottom"/>
            <w:gridSpan w:val="41"/>
          </w:tcPr>
          <w:p>
            <w:pPr>
              <w:spacing w:after="0" w:line="169" w:lineRule="exact"/>
              <w:rPr>
                <w:rFonts w:ascii="Arial" w:cs="Arial" w:eastAsia="Arial" w:hAnsi="Arial"/>
                <w:sz w:val="16"/>
                <w:szCs w:val="16"/>
                <w:color w:val="0000EE"/>
              </w:rPr>
            </w:pPr>
            <w:hyperlink w:anchor="page54">
              <w:r>
                <w:rPr>
                  <w:rFonts w:ascii="Arial" w:cs="Arial" w:eastAsia="Arial" w:hAnsi="Arial"/>
                  <w:sz w:val="16"/>
                  <w:szCs w:val="16"/>
                  <w:color w:val="0000EE"/>
                </w:rPr>
                <w:t>Equity Compensation Plan Information</w:t>
              </w:r>
            </w:hyperlink>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47</w:t>
            </w: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60" w:type="dxa"/>
            <w:vAlign w:val="bottom"/>
            <w:tcBorders>
              <w:bottom w:val="single" w:sz="8" w:color="003B71"/>
            </w:tcBorders>
          </w:tcPr>
          <w:p>
            <w:pPr>
              <w:spacing w:after="0"/>
              <w:rPr>
                <w:sz w:val="15"/>
                <w:szCs w:val="15"/>
                <w:color w:val="auto"/>
              </w:rPr>
            </w:pPr>
          </w:p>
        </w:tc>
        <w:tc>
          <w:tcPr>
            <w:tcW w:w="860" w:type="dxa"/>
            <w:vAlign w:val="bottom"/>
            <w:tcBorders>
              <w:bottom w:val="single" w:sz="8" w:color="003B71"/>
            </w:tcBorders>
          </w:tcPr>
          <w:p>
            <w:pPr>
              <w:spacing w:after="0"/>
              <w:rPr>
                <w:sz w:val="15"/>
                <w:szCs w:val="15"/>
                <w:color w:val="auto"/>
              </w:rPr>
            </w:pPr>
          </w:p>
        </w:tc>
        <w:tc>
          <w:tcPr>
            <w:tcW w:w="640" w:type="dxa"/>
            <w:vAlign w:val="bottom"/>
            <w:tcBorders>
              <w:bottom w:val="single" w:sz="8" w:color="003B71"/>
            </w:tcBorders>
          </w:tcPr>
          <w:p>
            <w:pPr>
              <w:spacing w:after="0"/>
              <w:rPr>
                <w:sz w:val="15"/>
                <w:szCs w:val="15"/>
                <w:color w:val="auto"/>
              </w:rPr>
            </w:pPr>
          </w:p>
        </w:tc>
        <w:tc>
          <w:tcPr>
            <w:tcW w:w="640" w:type="dxa"/>
            <w:vAlign w:val="bottom"/>
            <w:tcBorders>
              <w:bottom w:val="single" w:sz="8" w:color="003B71"/>
            </w:tcBorders>
          </w:tcPr>
          <w:p>
            <w:pPr>
              <w:spacing w:after="0"/>
              <w:rPr>
                <w:sz w:val="15"/>
                <w:szCs w:val="15"/>
                <w:color w:val="auto"/>
              </w:rPr>
            </w:pPr>
          </w:p>
        </w:tc>
        <w:tc>
          <w:tcPr>
            <w:tcW w:w="380" w:type="dxa"/>
            <w:vAlign w:val="bottom"/>
            <w:tcBorders>
              <w:bottom w:val="single" w:sz="8" w:color="003B71"/>
            </w:tcBorders>
          </w:tcPr>
          <w:p>
            <w:pPr>
              <w:spacing w:after="0"/>
              <w:rPr>
                <w:sz w:val="15"/>
                <w:szCs w:val="15"/>
                <w:color w:val="auto"/>
              </w:rPr>
            </w:pPr>
          </w:p>
        </w:tc>
        <w:tc>
          <w:tcPr>
            <w:tcW w:w="280" w:type="dxa"/>
            <w:vAlign w:val="bottom"/>
            <w:tcBorders>
              <w:bottom w:val="single" w:sz="8" w:color="003B71"/>
            </w:tcBorders>
          </w:tcPr>
          <w:p>
            <w:pPr>
              <w:spacing w:after="0"/>
              <w:rPr>
                <w:sz w:val="15"/>
                <w:szCs w:val="15"/>
                <w:color w:val="auto"/>
              </w:rPr>
            </w:pPr>
          </w:p>
        </w:tc>
        <w:tc>
          <w:tcPr>
            <w:tcW w:w="1700" w:type="dxa"/>
            <w:vAlign w:val="bottom"/>
            <w:tcBorders>
              <w:bottom w:val="single" w:sz="8" w:color="003B71"/>
            </w:tcBorders>
          </w:tcPr>
          <w:p>
            <w:pPr>
              <w:spacing w:after="0"/>
              <w:rPr>
                <w:sz w:val="15"/>
                <w:szCs w:val="15"/>
                <w:color w:val="auto"/>
              </w:rPr>
            </w:pPr>
          </w:p>
        </w:tc>
        <w:tc>
          <w:tcPr>
            <w:tcW w:w="6060" w:type="dxa"/>
            <w:vAlign w:val="bottom"/>
            <w:tcBorders>
              <w:bottom w:val="single" w:sz="8" w:color="003B71"/>
            </w:tcBorders>
          </w:tcPr>
          <w:p>
            <w:pPr>
              <w:jc w:val="right"/>
              <w:spacing w:after="0"/>
              <w:rPr>
                <w:sz w:val="20"/>
                <w:szCs w:val="20"/>
                <w:color w:val="auto"/>
              </w:rPr>
            </w:pPr>
            <w:r>
              <w:rPr>
                <w:rFonts w:ascii="Arial" w:cs="Arial" w:eastAsia="Arial" w:hAnsi="Arial"/>
                <w:sz w:val="14"/>
                <w:szCs w:val="14"/>
                <w:b w:val="1"/>
                <w:bCs w:val="1"/>
                <w:color w:val="003B71"/>
              </w:rPr>
              <w:t>Page</w:t>
            </w:r>
          </w:p>
        </w:tc>
      </w:tr>
      <w:tr>
        <w:trPr>
          <w:trHeight w:val="264"/>
        </w:trPr>
        <w:tc>
          <w:tcPr>
            <w:tcW w:w="298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55">
              <w:r>
                <w:rPr>
                  <w:rFonts w:ascii="Arial" w:cs="Arial" w:eastAsia="Arial" w:hAnsi="Arial"/>
                  <w:sz w:val="18"/>
                  <w:szCs w:val="18"/>
                  <w:b w:val="1"/>
                  <w:bCs w:val="1"/>
                  <w:color w:val="0000EE"/>
                  <w:w w:val="98"/>
                </w:rPr>
                <w:t>Transactions with Related Persons</w:t>
              </w:r>
            </w:hyperlink>
          </w:p>
        </w:tc>
        <w:tc>
          <w:tcPr>
            <w:tcW w:w="1980" w:type="dxa"/>
            <w:vAlign w:val="bottom"/>
            <w:gridSpan w:val="2"/>
          </w:tcPr>
          <w:p>
            <w:pPr>
              <w:spacing w:after="0"/>
              <w:rPr>
                <w:sz w:val="22"/>
                <w:szCs w:val="22"/>
                <w:color w:val="auto"/>
              </w:rPr>
            </w:pPr>
          </w:p>
        </w:tc>
        <w:tc>
          <w:tcPr>
            <w:tcW w:w="6060" w:type="dxa"/>
            <w:vAlign w:val="bottom"/>
          </w:tcPr>
          <w:p>
            <w:pPr>
              <w:jc w:val="right"/>
              <w:spacing w:after="0"/>
              <w:rPr>
                <w:sz w:val="20"/>
                <w:szCs w:val="20"/>
                <w:color w:val="auto"/>
              </w:rPr>
            </w:pPr>
            <w:r>
              <w:rPr>
                <w:rFonts w:ascii="Arial" w:cs="Arial" w:eastAsia="Arial" w:hAnsi="Arial"/>
                <w:sz w:val="18"/>
                <w:szCs w:val="18"/>
                <w:b w:val="1"/>
                <w:bCs w:val="1"/>
                <w:color w:val="003B71"/>
              </w:rPr>
              <w:t>48</w:t>
            </w:r>
          </w:p>
        </w:tc>
      </w:tr>
      <w:tr>
        <w:trPr>
          <w:trHeight w:val="290"/>
        </w:trPr>
        <w:tc>
          <w:tcPr>
            <w:tcW w:w="4960" w:type="dxa"/>
            <w:vAlign w:val="bottom"/>
            <w:gridSpan w:val="7"/>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Report of the Audit Committee</w:t>
              </w:r>
            </w:hyperlink>
          </w:p>
        </w:tc>
        <w:tc>
          <w:tcPr>
            <w:tcW w:w="6060" w:type="dxa"/>
            <w:vAlign w:val="bottom"/>
          </w:tcPr>
          <w:p>
            <w:pPr>
              <w:jc w:val="right"/>
              <w:spacing w:after="0"/>
              <w:rPr>
                <w:sz w:val="20"/>
                <w:szCs w:val="20"/>
                <w:color w:val="auto"/>
              </w:rPr>
            </w:pPr>
            <w:r>
              <w:rPr>
                <w:rFonts w:ascii="Arial" w:cs="Arial" w:eastAsia="Arial" w:hAnsi="Arial"/>
                <w:sz w:val="18"/>
                <w:szCs w:val="18"/>
                <w:b w:val="1"/>
                <w:bCs w:val="1"/>
                <w:color w:val="003B71"/>
              </w:rPr>
              <w:t>48</w:t>
            </w:r>
          </w:p>
        </w:tc>
      </w:tr>
      <w:tr>
        <w:trPr>
          <w:trHeight w:val="20"/>
        </w:trPr>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91"/>
        </w:trPr>
        <w:tc>
          <w:tcPr>
            <w:tcW w:w="496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56">
              <w:r>
                <w:rPr>
                  <w:rFonts w:ascii="Arial" w:cs="Arial" w:eastAsia="Arial" w:hAnsi="Arial"/>
                  <w:sz w:val="18"/>
                  <w:szCs w:val="18"/>
                  <w:b w:val="1"/>
                  <w:bCs w:val="1"/>
                  <w:color w:val="0000EE"/>
                  <w:w w:val="99"/>
                </w:rPr>
                <w:t>Section 16(a) Beneficial Ownership Reporting Compliance</w:t>
              </w:r>
            </w:hyperlink>
          </w:p>
        </w:tc>
        <w:tc>
          <w:tcPr>
            <w:tcW w:w="6060" w:type="dxa"/>
            <w:vAlign w:val="bottom"/>
          </w:tcPr>
          <w:p>
            <w:pPr>
              <w:jc w:val="right"/>
              <w:spacing w:after="0"/>
              <w:rPr>
                <w:sz w:val="20"/>
                <w:szCs w:val="20"/>
                <w:color w:val="auto"/>
              </w:rPr>
            </w:pPr>
            <w:r>
              <w:rPr>
                <w:rFonts w:ascii="Arial" w:cs="Arial" w:eastAsia="Arial" w:hAnsi="Arial"/>
                <w:sz w:val="18"/>
                <w:szCs w:val="18"/>
                <w:b w:val="1"/>
                <w:bCs w:val="1"/>
                <w:color w:val="003B71"/>
              </w:rPr>
              <w:t>49</w:t>
            </w:r>
          </w:p>
        </w:tc>
      </w:tr>
      <w:tr>
        <w:trPr>
          <w:trHeight w:val="290"/>
        </w:trPr>
        <w:tc>
          <w:tcPr>
            <w:tcW w:w="4960" w:type="dxa"/>
            <w:vAlign w:val="bottom"/>
            <w:gridSpan w:val="7"/>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Shareholder Proposals</w:t>
              </w:r>
            </w:hyperlink>
          </w:p>
        </w:tc>
        <w:tc>
          <w:tcPr>
            <w:tcW w:w="6060" w:type="dxa"/>
            <w:vAlign w:val="bottom"/>
          </w:tcPr>
          <w:p>
            <w:pPr>
              <w:jc w:val="right"/>
              <w:spacing w:after="0"/>
              <w:rPr>
                <w:sz w:val="20"/>
                <w:szCs w:val="20"/>
                <w:color w:val="auto"/>
              </w:rPr>
            </w:pPr>
            <w:r>
              <w:rPr>
                <w:rFonts w:ascii="Arial" w:cs="Arial" w:eastAsia="Arial" w:hAnsi="Arial"/>
                <w:sz w:val="18"/>
                <w:szCs w:val="18"/>
                <w:b w:val="1"/>
                <w:bCs w:val="1"/>
                <w:color w:val="003B71"/>
              </w:rPr>
              <w:t>49</w:t>
            </w:r>
          </w:p>
        </w:tc>
      </w:tr>
      <w:tr>
        <w:trPr>
          <w:trHeight w:val="291"/>
        </w:trPr>
        <w:tc>
          <w:tcPr>
            <w:tcW w:w="196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Other Business</w:t>
              </w:r>
            </w:hyperlink>
          </w:p>
        </w:tc>
        <w:tc>
          <w:tcPr>
            <w:tcW w:w="3000" w:type="dxa"/>
            <w:vAlign w:val="bottom"/>
            <w:gridSpan w:val="4"/>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8"/>
                <w:szCs w:val="18"/>
                <w:b w:val="1"/>
                <w:bCs w:val="1"/>
                <w:color w:val="003B71"/>
              </w:rPr>
              <w:t>49</w:t>
            </w:r>
          </w:p>
        </w:tc>
      </w:tr>
      <w:tr>
        <w:trPr>
          <w:trHeight w:val="20"/>
        </w:trPr>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290"/>
        </w:trPr>
        <w:tc>
          <w:tcPr>
            <w:tcW w:w="4960" w:type="dxa"/>
            <w:vAlign w:val="bottom"/>
            <w:gridSpan w:val="7"/>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Where You Can Find More Information</w:t>
              </w:r>
            </w:hyperlink>
          </w:p>
        </w:tc>
        <w:tc>
          <w:tcPr>
            <w:tcW w:w="6060" w:type="dxa"/>
            <w:vAlign w:val="bottom"/>
          </w:tcPr>
          <w:p>
            <w:pPr>
              <w:jc w:val="right"/>
              <w:spacing w:after="0"/>
              <w:rPr>
                <w:sz w:val="20"/>
                <w:szCs w:val="20"/>
                <w:color w:val="auto"/>
              </w:rPr>
            </w:pPr>
            <w:r>
              <w:rPr>
                <w:rFonts w:ascii="Arial" w:cs="Arial" w:eastAsia="Arial" w:hAnsi="Arial"/>
                <w:sz w:val="18"/>
                <w:szCs w:val="18"/>
                <w:b w:val="1"/>
                <w:bCs w:val="1"/>
                <w:color w:val="003B71"/>
              </w:rPr>
              <w:t>49</w:t>
            </w:r>
          </w:p>
        </w:tc>
      </w:tr>
      <w:tr>
        <w:trPr>
          <w:trHeight w:val="291"/>
        </w:trPr>
        <w:tc>
          <w:tcPr>
            <w:tcW w:w="326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FAQs</w:t>
              </w:r>
            </w:hyperlink>
          </w:p>
        </w:tc>
        <w:tc>
          <w:tcPr>
            <w:tcW w:w="1700" w:type="dxa"/>
            <w:vAlign w:val="bottom"/>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8"/>
                <w:szCs w:val="18"/>
                <w:b w:val="1"/>
                <w:bCs w:val="1"/>
                <w:color w:val="003B71"/>
              </w:rPr>
              <w:t>50</w:t>
            </w:r>
          </w:p>
        </w:tc>
      </w:tr>
      <w:tr>
        <w:trPr>
          <w:trHeight w:val="20"/>
        </w:trPr>
        <w:tc>
          <w:tcPr>
            <w:tcW w:w="4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7564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0715" cy="75647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2021 Proxy Statement Summary</w:t>
      </w:r>
    </w:p>
    <w:p>
      <w:pPr>
        <w:spacing w:after="0" w:line="208" w:lineRule="exact"/>
        <w:rPr>
          <w:sz w:val="20"/>
          <w:szCs w:val="20"/>
          <w:color w:val="auto"/>
        </w:rPr>
      </w:pPr>
    </w:p>
    <w:p>
      <w:pPr>
        <w:jc w:val="both"/>
        <w:ind w:left="300" w:right="200"/>
        <w:spacing w:after="0" w:line="238" w:lineRule="auto"/>
        <w:rPr>
          <w:sz w:val="20"/>
          <w:szCs w:val="20"/>
          <w:color w:val="auto"/>
        </w:rPr>
      </w:pPr>
      <w:r>
        <w:rPr>
          <w:rFonts w:ascii="Arial" w:cs="Arial" w:eastAsia="Arial" w:hAnsi="Arial"/>
          <w:sz w:val="18"/>
          <w:szCs w:val="18"/>
          <w:color w:val="auto"/>
        </w:rPr>
        <w:t>This summary highlights selected information on Dave and Buster’s Entertainment, Inc., a Delaware corporation (sometimes referred to herein as “we”, “us”, “our” or the “Company”) that is provided by our Board of Directors (the “Board of Directors” or the “Board”) in more detail throughout the Proxy Statement. This summary does not contain all of the information you should consider before voting, and you should read the entire Proxy Statement before casting your vote.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Annual Meeting Information</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364"/>
        </w:trPr>
        <w:tc>
          <w:tcPr>
            <w:tcW w:w="1480" w:type="dxa"/>
            <w:vAlign w:val="bottom"/>
            <w:gridSpan w:val="2"/>
            <w:shd w:val="clear" w:color="auto" w:fill="003B71"/>
          </w:tcPr>
          <w:p>
            <w:pPr>
              <w:ind w:left="80"/>
              <w:spacing w:after="0"/>
              <w:rPr>
                <w:sz w:val="20"/>
                <w:szCs w:val="20"/>
                <w:color w:val="auto"/>
              </w:rPr>
            </w:pPr>
            <w:r>
              <w:rPr>
                <w:rFonts w:ascii="Arial" w:cs="Arial" w:eastAsia="Arial" w:hAnsi="Arial"/>
                <w:sz w:val="18"/>
                <w:szCs w:val="18"/>
                <w:b w:val="1"/>
                <w:bCs w:val="1"/>
                <w:color w:val="FFFFFF"/>
              </w:rPr>
              <w:t>Date:</w:t>
            </w:r>
          </w:p>
        </w:tc>
        <w:tc>
          <w:tcPr>
            <w:tcW w:w="3240" w:type="dxa"/>
            <w:vAlign w:val="bottom"/>
            <w:gridSpan w:val="2"/>
            <w:shd w:val="clear" w:color="auto" w:fill="003B71"/>
          </w:tcPr>
          <w:p>
            <w:pPr>
              <w:ind w:left="160"/>
              <w:spacing w:after="0"/>
              <w:rPr>
                <w:sz w:val="20"/>
                <w:szCs w:val="20"/>
                <w:color w:val="auto"/>
              </w:rPr>
            </w:pPr>
            <w:r>
              <w:rPr>
                <w:rFonts w:ascii="Arial" w:cs="Arial" w:eastAsia="Arial" w:hAnsi="Arial"/>
                <w:sz w:val="18"/>
                <w:szCs w:val="18"/>
                <w:color w:val="FFFFFF"/>
              </w:rPr>
              <w:t>Thursday</w:t>
            </w:r>
          </w:p>
        </w:tc>
      </w:tr>
      <w:tr>
        <w:trPr>
          <w:trHeight w:val="217"/>
        </w:trPr>
        <w:tc>
          <w:tcPr>
            <w:tcW w:w="120" w:type="dxa"/>
            <w:vAlign w:val="bottom"/>
            <w:shd w:val="clear" w:color="auto" w:fill="003B71"/>
          </w:tcPr>
          <w:p>
            <w:pPr>
              <w:spacing w:after="0"/>
              <w:rPr>
                <w:sz w:val="18"/>
                <w:szCs w:val="18"/>
                <w:color w:val="auto"/>
              </w:rPr>
            </w:pPr>
          </w:p>
        </w:tc>
        <w:tc>
          <w:tcPr>
            <w:tcW w:w="1360" w:type="dxa"/>
            <w:vAlign w:val="bottom"/>
            <w:shd w:val="clear" w:color="auto" w:fill="003B71"/>
          </w:tcPr>
          <w:p>
            <w:pPr>
              <w:spacing w:after="0"/>
              <w:rPr>
                <w:sz w:val="18"/>
                <w:szCs w:val="18"/>
                <w:color w:val="auto"/>
              </w:rPr>
            </w:pPr>
          </w:p>
        </w:tc>
        <w:tc>
          <w:tcPr>
            <w:tcW w:w="3240" w:type="dxa"/>
            <w:vAlign w:val="bottom"/>
            <w:gridSpan w:val="2"/>
            <w:shd w:val="clear" w:color="auto" w:fill="003B71"/>
          </w:tcPr>
          <w:p>
            <w:pPr>
              <w:ind w:left="160"/>
              <w:spacing w:after="0"/>
              <w:rPr>
                <w:sz w:val="20"/>
                <w:szCs w:val="20"/>
                <w:color w:val="auto"/>
              </w:rPr>
            </w:pPr>
            <w:r>
              <w:rPr>
                <w:rFonts w:ascii="Arial" w:cs="Arial" w:eastAsia="Arial" w:hAnsi="Arial"/>
                <w:sz w:val="18"/>
                <w:szCs w:val="18"/>
                <w:color w:val="FFFFFF"/>
              </w:rPr>
              <w:t>June 17, 2021</w:t>
            </w:r>
          </w:p>
        </w:tc>
      </w:tr>
      <w:tr>
        <w:trPr>
          <w:trHeight w:val="607"/>
        </w:trPr>
        <w:tc>
          <w:tcPr>
            <w:tcW w:w="1480" w:type="dxa"/>
            <w:vAlign w:val="bottom"/>
            <w:gridSpan w:val="2"/>
            <w:shd w:val="clear" w:color="auto" w:fill="003B71"/>
          </w:tcPr>
          <w:p>
            <w:pPr>
              <w:ind w:left="80"/>
              <w:spacing w:after="0"/>
              <w:rPr>
                <w:sz w:val="20"/>
                <w:szCs w:val="20"/>
                <w:color w:val="auto"/>
              </w:rPr>
            </w:pPr>
            <w:r>
              <w:rPr>
                <w:rFonts w:ascii="Arial" w:cs="Arial" w:eastAsia="Arial" w:hAnsi="Arial"/>
                <w:sz w:val="18"/>
                <w:szCs w:val="18"/>
                <w:b w:val="1"/>
                <w:bCs w:val="1"/>
                <w:color w:val="FFFFFF"/>
              </w:rPr>
              <w:t>Time:</w:t>
            </w:r>
          </w:p>
        </w:tc>
        <w:tc>
          <w:tcPr>
            <w:tcW w:w="3240" w:type="dxa"/>
            <w:vAlign w:val="bottom"/>
            <w:gridSpan w:val="2"/>
            <w:shd w:val="clear" w:color="auto" w:fill="003B71"/>
          </w:tcPr>
          <w:p>
            <w:pPr>
              <w:ind w:left="160"/>
              <w:spacing w:after="0"/>
              <w:rPr>
                <w:sz w:val="20"/>
                <w:szCs w:val="20"/>
                <w:color w:val="auto"/>
              </w:rPr>
            </w:pPr>
            <w:r>
              <w:rPr>
                <w:rFonts w:ascii="Arial" w:cs="Arial" w:eastAsia="Arial" w:hAnsi="Arial"/>
                <w:sz w:val="18"/>
                <w:szCs w:val="18"/>
                <w:color w:val="FFFFFF"/>
              </w:rPr>
              <w:t>8:30 a.m.</w:t>
            </w:r>
          </w:p>
        </w:tc>
      </w:tr>
      <w:tr>
        <w:trPr>
          <w:trHeight w:val="217"/>
        </w:trPr>
        <w:tc>
          <w:tcPr>
            <w:tcW w:w="120" w:type="dxa"/>
            <w:vAlign w:val="bottom"/>
            <w:shd w:val="clear" w:color="auto" w:fill="003B71"/>
          </w:tcPr>
          <w:p>
            <w:pPr>
              <w:spacing w:after="0"/>
              <w:rPr>
                <w:sz w:val="18"/>
                <w:szCs w:val="18"/>
                <w:color w:val="auto"/>
              </w:rPr>
            </w:pPr>
          </w:p>
        </w:tc>
        <w:tc>
          <w:tcPr>
            <w:tcW w:w="1360" w:type="dxa"/>
            <w:vAlign w:val="bottom"/>
            <w:shd w:val="clear" w:color="auto" w:fill="003B71"/>
          </w:tcPr>
          <w:p>
            <w:pPr>
              <w:spacing w:after="0"/>
              <w:rPr>
                <w:sz w:val="18"/>
                <w:szCs w:val="18"/>
                <w:color w:val="auto"/>
              </w:rPr>
            </w:pPr>
          </w:p>
        </w:tc>
        <w:tc>
          <w:tcPr>
            <w:tcW w:w="3240" w:type="dxa"/>
            <w:vAlign w:val="bottom"/>
            <w:gridSpan w:val="2"/>
            <w:shd w:val="clear" w:color="auto" w:fill="003B71"/>
          </w:tcPr>
          <w:p>
            <w:pPr>
              <w:ind w:left="160"/>
              <w:spacing w:after="0"/>
              <w:rPr>
                <w:sz w:val="20"/>
                <w:szCs w:val="20"/>
                <w:color w:val="auto"/>
              </w:rPr>
            </w:pPr>
            <w:r>
              <w:rPr>
                <w:rFonts w:ascii="Arial" w:cs="Arial" w:eastAsia="Arial" w:hAnsi="Arial"/>
                <w:sz w:val="18"/>
                <w:szCs w:val="18"/>
                <w:color w:val="FFFFFF"/>
              </w:rPr>
              <w:t>Central Daylight Time</w:t>
            </w:r>
          </w:p>
        </w:tc>
      </w:tr>
      <w:tr>
        <w:trPr>
          <w:trHeight w:val="607"/>
        </w:trPr>
        <w:tc>
          <w:tcPr>
            <w:tcW w:w="1480" w:type="dxa"/>
            <w:vAlign w:val="bottom"/>
            <w:gridSpan w:val="2"/>
            <w:shd w:val="clear" w:color="auto" w:fill="003B71"/>
          </w:tcPr>
          <w:p>
            <w:pPr>
              <w:ind w:left="100"/>
              <w:spacing w:after="0"/>
              <w:rPr>
                <w:sz w:val="20"/>
                <w:szCs w:val="20"/>
                <w:color w:val="auto"/>
              </w:rPr>
            </w:pPr>
            <w:r>
              <w:rPr>
                <w:rFonts w:ascii="Arial" w:cs="Arial" w:eastAsia="Arial" w:hAnsi="Arial"/>
                <w:sz w:val="18"/>
                <w:szCs w:val="18"/>
                <w:b w:val="1"/>
                <w:bCs w:val="1"/>
                <w:color w:val="FFFFFF"/>
              </w:rPr>
              <w:t>Place:</w:t>
            </w:r>
          </w:p>
        </w:tc>
        <w:tc>
          <w:tcPr>
            <w:tcW w:w="3240" w:type="dxa"/>
            <w:vAlign w:val="bottom"/>
            <w:gridSpan w:val="2"/>
            <w:shd w:val="clear" w:color="auto" w:fill="003B71"/>
          </w:tcPr>
          <w:p>
            <w:pPr>
              <w:ind w:left="160"/>
              <w:spacing w:after="0"/>
              <w:rPr>
                <w:sz w:val="20"/>
                <w:szCs w:val="20"/>
                <w:color w:val="auto"/>
              </w:rPr>
            </w:pPr>
            <w:r>
              <w:rPr>
                <w:rFonts w:ascii="Arial" w:cs="Arial" w:eastAsia="Arial" w:hAnsi="Arial"/>
                <w:sz w:val="18"/>
                <w:szCs w:val="18"/>
                <w:color w:val="FFFFFF"/>
              </w:rPr>
              <w:t>Grand Hyatt DFW</w:t>
            </w:r>
          </w:p>
        </w:tc>
      </w:tr>
      <w:tr>
        <w:trPr>
          <w:trHeight w:val="203"/>
        </w:trPr>
        <w:tc>
          <w:tcPr>
            <w:tcW w:w="120" w:type="dxa"/>
            <w:vAlign w:val="bottom"/>
            <w:shd w:val="clear" w:color="auto" w:fill="003B71"/>
          </w:tcPr>
          <w:p>
            <w:pPr>
              <w:spacing w:after="0"/>
              <w:rPr>
                <w:sz w:val="17"/>
                <w:szCs w:val="17"/>
                <w:color w:val="auto"/>
              </w:rPr>
            </w:pPr>
          </w:p>
        </w:tc>
        <w:tc>
          <w:tcPr>
            <w:tcW w:w="1360" w:type="dxa"/>
            <w:vAlign w:val="bottom"/>
            <w:shd w:val="clear" w:color="auto" w:fill="003B71"/>
          </w:tcPr>
          <w:p>
            <w:pPr>
              <w:spacing w:after="0"/>
              <w:rPr>
                <w:sz w:val="17"/>
                <w:szCs w:val="17"/>
                <w:color w:val="auto"/>
              </w:rPr>
            </w:pPr>
          </w:p>
        </w:tc>
        <w:tc>
          <w:tcPr>
            <w:tcW w:w="3240" w:type="dxa"/>
            <w:vAlign w:val="bottom"/>
            <w:gridSpan w:val="2"/>
            <w:shd w:val="clear" w:color="auto" w:fill="003B71"/>
          </w:tcPr>
          <w:p>
            <w:pPr>
              <w:ind w:left="160"/>
              <w:spacing w:after="0" w:line="202" w:lineRule="exact"/>
              <w:rPr>
                <w:sz w:val="20"/>
                <w:szCs w:val="20"/>
                <w:color w:val="auto"/>
              </w:rPr>
            </w:pPr>
            <w:r>
              <w:rPr>
                <w:rFonts w:ascii="Arial" w:cs="Arial" w:eastAsia="Arial" w:hAnsi="Arial"/>
                <w:sz w:val="18"/>
                <w:szCs w:val="18"/>
                <w:color w:val="FFFFFF"/>
              </w:rPr>
              <w:t>2337 S. International Parkway</w:t>
            </w:r>
          </w:p>
        </w:tc>
      </w:tr>
      <w:tr>
        <w:trPr>
          <w:trHeight w:val="217"/>
        </w:trPr>
        <w:tc>
          <w:tcPr>
            <w:tcW w:w="120" w:type="dxa"/>
            <w:vAlign w:val="bottom"/>
            <w:shd w:val="clear" w:color="auto" w:fill="003B71"/>
          </w:tcPr>
          <w:p>
            <w:pPr>
              <w:spacing w:after="0"/>
              <w:rPr>
                <w:sz w:val="18"/>
                <w:szCs w:val="18"/>
                <w:color w:val="auto"/>
              </w:rPr>
            </w:pPr>
          </w:p>
        </w:tc>
        <w:tc>
          <w:tcPr>
            <w:tcW w:w="1360" w:type="dxa"/>
            <w:vAlign w:val="bottom"/>
            <w:shd w:val="clear" w:color="auto" w:fill="003B71"/>
          </w:tcPr>
          <w:p>
            <w:pPr>
              <w:spacing w:after="0"/>
              <w:rPr>
                <w:sz w:val="18"/>
                <w:szCs w:val="18"/>
                <w:color w:val="auto"/>
              </w:rPr>
            </w:pPr>
          </w:p>
        </w:tc>
        <w:tc>
          <w:tcPr>
            <w:tcW w:w="3240" w:type="dxa"/>
            <w:vAlign w:val="bottom"/>
            <w:gridSpan w:val="2"/>
            <w:shd w:val="clear" w:color="auto" w:fill="003B71"/>
          </w:tcPr>
          <w:p>
            <w:pPr>
              <w:ind w:left="160"/>
              <w:spacing w:after="0"/>
              <w:rPr>
                <w:sz w:val="20"/>
                <w:szCs w:val="20"/>
                <w:color w:val="auto"/>
              </w:rPr>
            </w:pPr>
            <w:r>
              <w:rPr>
                <w:rFonts w:ascii="Arial" w:cs="Arial" w:eastAsia="Arial" w:hAnsi="Arial"/>
                <w:sz w:val="18"/>
                <w:szCs w:val="18"/>
                <w:color w:val="FFFFFF"/>
              </w:rPr>
              <w:t>Dallas, TX 75261</w:t>
            </w:r>
          </w:p>
        </w:tc>
      </w:tr>
      <w:tr>
        <w:trPr>
          <w:trHeight w:val="243"/>
        </w:trPr>
        <w:tc>
          <w:tcPr>
            <w:tcW w:w="120" w:type="dxa"/>
            <w:vAlign w:val="bottom"/>
            <w:shd w:val="clear" w:color="auto" w:fill="003B71"/>
          </w:tcPr>
          <w:p>
            <w:pPr>
              <w:spacing w:after="0"/>
              <w:rPr>
                <w:sz w:val="21"/>
                <w:szCs w:val="21"/>
                <w:color w:val="auto"/>
              </w:rPr>
            </w:pPr>
          </w:p>
        </w:tc>
        <w:tc>
          <w:tcPr>
            <w:tcW w:w="1360" w:type="dxa"/>
            <w:vAlign w:val="bottom"/>
            <w:shd w:val="clear" w:color="auto" w:fill="003B71"/>
          </w:tcPr>
          <w:p>
            <w:pPr>
              <w:spacing w:after="0"/>
              <w:rPr>
                <w:sz w:val="21"/>
                <w:szCs w:val="21"/>
                <w:color w:val="auto"/>
              </w:rPr>
            </w:pPr>
          </w:p>
        </w:tc>
        <w:tc>
          <w:tcPr>
            <w:tcW w:w="180" w:type="dxa"/>
            <w:vAlign w:val="bottom"/>
            <w:shd w:val="clear" w:color="auto" w:fill="003B71"/>
          </w:tcPr>
          <w:p>
            <w:pPr>
              <w:spacing w:after="0"/>
              <w:rPr>
                <w:sz w:val="21"/>
                <w:szCs w:val="21"/>
                <w:color w:val="auto"/>
              </w:rPr>
            </w:pPr>
          </w:p>
        </w:tc>
        <w:tc>
          <w:tcPr>
            <w:tcW w:w="3060" w:type="dxa"/>
            <w:vAlign w:val="bottom"/>
            <w:shd w:val="clear" w:color="auto" w:fill="003B71"/>
          </w:tcPr>
          <w:p>
            <w:pPr>
              <w:spacing w:after="0"/>
              <w:rPr>
                <w:sz w:val="21"/>
                <w:szCs w:val="21"/>
                <w:color w:val="auto"/>
              </w:rPr>
            </w:pPr>
          </w:p>
        </w:tc>
      </w:tr>
      <w:tr>
        <w:trPr>
          <w:trHeight w:val="378"/>
        </w:trPr>
        <w:tc>
          <w:tcPr>
            <w:tcW w:w="120" w:type="dxa"/>
            <w:vAlign w:val="bottom"/>
            <w:shd w:val="clear" w:color="auto" w:fill="003B71"/>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8"/>
                <w:szCs w:val="18"/>
                <w:b w:val="1"/>
                <w:bCs w:val="1"/>
                <w:color w:val="FFFFFF"/>
              </w:rPr>
              <w:t>Record Date:</w:t>
            </w:r>
          </w:p>
        </w:tc>
        <w:tc>
          <w:tcPr>
            <w:tcW w:w="180" w:type="dxa"/>
            <w:vAlign w:val="bottom"/>
            <w:shd w:val="clear" w:color="auto" w:fill="003B71"/>
          </w:tcPr>
          <w:p>
            <w:pPr>
              <w:spacing w:after="0"/>
              <w:rPr>
                <w:sz w:val="24"/>
                <w:szCs w:val="24"/>
                <w:color w:val="auto"/>
              </w:rPr>
            </w:pPr>
          </w:p>
        </w:tc>
        <w:tc>
          <w:tcPr>
            <w:tcW w:w="3060" w:type="dxa"/>
            <w:vAlign w:val="bottom"/>
          </w:tcPr>
          <w:p>
            <w:pPr>
              <w:spacing w:after="0"/>
              <w:rPr>
                <w:sz w:val="20"/>
                <w:szCs w:val="20"/>
                <w:color w:val="auto"/>
              </w:rPr>
            </w:pPr>
            <w:r>
              <w:rPr>
                <w:rFonts w:ascii="Arial" w:cs="Arial" w:eastAsia="Arial" w:hAnsi="Arial"/>
                <w:sz w:val="18"/>
                <w:szCs w:val="18"/>
                <w:color w:val="FFFFFF"/>
              </w:rPr>
              <w:t>April 23, 2021</w:t>
            </w:r>
          </w:p>
        </w:tc>
      </w:tr>
      <w:tr>
        <w:trPr>
          <w:trHeight w:val="297"/>
        </w:trPr>
        <w:tc>
          <w:tcPr>
            <w:tcW w:w="120" w:type="dxa"/>
            <w:vAlign w:val="bottom"/>
            <w:shd w:val="clear" w:color="auto" w:fill="003B71"/>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shd w:val="clear" w:color="auto" w:fill="003B71"/>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Voting</w:t>
      </w:r>
    </w:p>
    <w:p>
      <w:pPr>
        <w:spacing w:after="0" w:line="99" w:lineRule="exact"/>
        <w:rPr>
          <w:sz w:val="20"/>
          <w:szCs w:val="20"/>
          <w:color w:val="auto"/>
        </w:rPr>
      </w:pPr>
    </w:p>
    <w:p>
      <w:pPr>
        <w:jc w:val="both"/>
        <w:ind w:right="200"/>
        <w:spacing w:after="0" w:line="246" w:lineRule="auto"/>
        <w:rPr>
          <w:sz w:val="20"/>
          <w:szCs w:val="20"/>
          <w:color w:val="auto"/>
        </w:rPr>
      </w:pPr>
      <w:r>
        <w:rPr>
          <w:rFonts w:ascii="Arial" w:cs="Arial" w:eastAsia="Arial" w:hAnsi="Arial"/>
          <w:sz w:val="18"/>
          <w:szCs w:val="18"/>
          <w:color w:val="auto"/>
        </w:rPr>
        <w:t>Only shareholders as of the Record Date (April 23, 2021) are entitled to vote.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Participating Online during the Annual Meeting</w:t>
      </w:r>
    </w:p>
    <w:p>
      <w:pPr>
        <w:spacing w:after="0" w:line="99"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If you are a registered shareholder (the shares are held in your name), you must present valid identification to vote at the Annual Meeting.</w:t>
      </w:r>
    </w:p>
    <w:p>
      <w:pPr>
        <w:spacing w:after="0" w:line="108"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If you are a beneficial shareholder (the shares are held in the name of your bank, brokerage firm or other nominee), you will need to obtain a “legal proxy” from the registered shareholder (your bank, brokerage firm or other nominee) and present valid identification to vote at the annual meeting.</w:t>
      </w:r>
    </w:p>
    <w:p>
      <w:pPr>
        <w:spacing w:after="0" w:line="700" w:lineRule="exact"/>
        <w:rPr>
          <w:sz w:val="20"/>
          <w:szCs w:val="20"/>
          <w:color w:val="auto"/>
        </w:rPr>
      </w:pPr>
    </w:p>
    <w:p>
      <w:pPr>
        <w:sectPr>
          <w:pgSz w:w="11900" w:h="16838" w:orient="portrait"/>
          <w:cols w:equalWidth="0" w:num="2">
            <w:col w:w="5020" w:space="400"/>
            <w:col w:w="572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800" w:type="dxa"/>
            <w:vAlign w:val="bottom"/>
          </w:tcPr>
          <w:p>
            <w:pPr>
              <w:jc w:val="center"/>
              <w:ind w:right="1159"/>
              <w:spacing w:after="0"/>
              <w:rPr>
                <w:sz w:val="20"/>
                <w:szCs w:val="20"/>
                <w:color w:val="auto"/>
              </w:rPr>
            </w:pPr>
            <w:r>
              <w:rPr>
                <w:rFonts w:ascii="Arial" w:cs="Arial" w:eastAsia="Arial" w:hAnsi="Arial"/>
                <w:sz w:val="18"/>
                <w:szCs w:val="18"/>
                <w:b w:val="1"/>
                <w:bCs w:val="1"/>
                <w:color w:val="003B71"/>
                <w:w w:val="99"/>
              </w:rPr>
              <w:t>Vote via Internet</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003B71"/>
                <w:w w:val="99"/>
              </w:rPr>
              <w:t>Vote via Phone</w:t>
            </w:r>
          </w:p>
        </w:tc>
        <w:tc>
          <w:tcPr>
            <w:tcW w:w="2220" w:type="dxa"/>
            <w:vAlign w:val="bottom"/>
          </w:tcPr>
          <w:p>
            <w:pPr>
              <w:jc w:val="center"/>
              <w:ind w:left="223"/>
              <w:spacing w:after="0"/>
              <w:rPr>
                <w:sz w:val="20"/>
                <w:szCs w:val="20"/>
                <w:color w:val="auto"/>
              </w:rPr>
            </w:pPr>
            <w:r>
              <w:rPr>
                <w:rFonts w:ascii="Arial" w:cs="Arial" w:eastAsia="Arial" w:hAnsi="Arial"/>
                <w:sz w:val="18"/>
                <w:szCs w:val="18"/>
                <w:b w:val="1"/>
                <w:bCs w:val="1"/>
                <w:color w:val="003B71"/>
                <w:w w:val="98"/>
              </w:rPr>
              <w:t>Vote via Mail</w:t>
            </w:r>
          </w:p>
        </w:tc>
        <w:tc>
          <w:tcPr>
            <w:tcW w:w="1780" w:type="dxa"/>
            <w:vAlign w:val="bottom"/>
            <w:gridSpan w:val="3"/>
          </w:tcPr>
          <w:p>
            <w:pPr>
              <w:jc w:val="center"/>
              <w:ind w:left="402"/>
              <w:spacing w:after="0"/>
              <w:rPr>
                <w:sz w:val="20"/>
                <w:szCs w:val="20"/>
                <w:color w:val="auto"/>
              </w:rPr>
            </w:pPr>
            <w:r>
              <w:rPr>
                <w:rFonts w:ascii="Arial" w:cs="Arial" w:eastAsia="Arial" w:hAnsi="Arial"/>
                <w:sz w:val="18"/>
                <w:szCs w:val="18"/>
                <w:b w:val="1"/>
                <w:bCs w:val="1"/>
                <w:color w:val="003B71"/>
                <w:w w:val="97"/>
              </w:rPr>
              <w:t>Vote Online</w:t>
            </w:r>
          </w:p>
        </w:tc>
        <w:tc>
          <w:tcPr>
            <w:tcW w:w="0" w:type="dxa"/>
            <w:vAlign w:val="bottom"/>
          </w:tcPr>
          <w:p>
            <w:pPr>
              <w:spacing w:after="0"/>
              <w:rPr>
                <w:sz w:val="1"/>
                <w:szCs w:val="1"/>
                <w:color w:val="auto"/>
              </w:rPr>
            </w:pPr>
          </w:p>
        </w:tc>
      </w:tr>
      <w:tr>
        <w:trPr>
          <w:trHeight w:val="190"/>
        </w:trPr>
        <w:tc>
          <w:tcPr>
            <w:tcW w:w="3460" w:type="dxa"/>
            <w:vAlign w:val="bottom"/>
            <w:gridSpan w:val="2"/>
          </w:tcPr>
          <w:p>
            <w:pPr>
              <w:jc w:val="center"/>
              <w:ind w:right="519"/>
              <w:spacing w:after="0"/>
              <w:rPr>
                <w:sz w:val="20"/>
                <w:szCs w:val="20"/>
                <w:color w:val="auto"/>
              </w:rPr>
            </w:pPr>
            <w:r>
              <w:rPr>
                <w:rFonts w:ascii="Arial" w:cs="Arial" w:eastAsia="Arial" w:hAnsi="Arial"/>
                <w:sz w:val="14"/>
                <w:szCs w:val="14"/>
                <w:color w:val="auto"/>
              </w:rPr>
              <w:t>Follow the instructions on your</w:t>
            </w:r>
          </w:p>
        </w:tc>
        <w:tc>
          <w:tcPr>
            <w:tcW w:w="3180" w:type="dxa"/>
            <w:vAlign w:val="bottom"/>
          </w:tcPr>
          <w:p>
            <w:pPr>
              <w:jc w:val="center"/>
              <w:ind w:left="4"/>
              <w:spacing w:after="0"/>
              <w:rPr>
                <w:sz w:val="20"/>
                <w:szCs w:val="20"/>
                <w:color w:val="auto"/>
              </w:rPr>
            </w:pPr>
            <w:r>
              <w:rPr>
                <w:rFonts w:ascii="Arial" w:cs="Arial" w:eastAsia="Arial" w:hAnsi="Arial"/>
                <w:sz w:val="14"/>
                <w:szCs w:val="14"/>
                <w:color w:val="auto"/>
              </w:rPr>
              <w:t>Call the number on</w:t>
            </w:r>
          </w:p>
        </w:tc>
        <w:tc>
          <w:tcPr>
            <w:tcW w:w="2220" w:type="dxa"/>
            <w:vAlign w:val="bottom"/>
          </w:tcPr>
          <w:p>
            <w:pPr>
              <w:jc w:val="center"/>
              <w:ind w:left="243"/>
              <w:spacing w:after="0"/>
              <w:rPr>
                <w:sz w:val="20"/>
                <w:szCs w:val="20"/>
                <w:color w:val="auto"/>
              </w:rPr>
            </w:pPr>
            <w:r>
              <w:rPr>
                <w:rFonts w:ascii="Arial" w:cs="Arial" w:eastAsia="Arial" w:hAnsi="Arial"/>
                <w:sz w:val="14"/>
                <w:szCs w:val="14"/>
                <w:color w:val="auto"/>
              </w:rPr>
              <w:t>Follow the</w:t>
            </w:r>
          </w:p>
        </w:tc>
        <w:tc>
          <w:tcPr>
            <w:tcW w:w="1780" w:type="dxa"/>
            <w:vAlign w:val="bottom"/>
            <w:gridSpan w:val="3"/>
          </w:tcPr>
          <w:p>
            <w:pPr>
              <w:jc w:val="center"/>
              <w:ind w:left="382"/>
              <w:spacing w:after="0" w:line="189" w:lineRule="exact"/>
              <w:rPr>
                <w:sz w:val="20"/>
                <w:szCs w:val="20"/>
                <w:color w:val="auto"/>
              </w:rPr>
            </w:pPr>
            <w:r>
              <w:rPr>
                <w:rFonts w:ascii="Arial" w:cs="Arial" w:eastAsia="Arial" w:hAnsi="Arial"/>
                <w:sz w:val="18"/>
                <w:szCs w:val="18"/>
                <w:b w:val="1"/>
                <w:bCs w:val="1"/>
                <w:color w:val="003B71"/>
                <w:w w:val="99"/>
              </w:rPr>
              <w:t>during the</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2800" w:type="dxa"/>
            <w:vAlign w:val="bottom"/>
          </w:tcPr>
          <w:p>
            <w:pPr>
              <w:jc w:val="center"/>
              <w:ind w:right="1139"/>
              <w:spacing w:after="0"/>
              <w:rPr>
                <w:sz w:val="20"/>
                <w:szCs w:val="20"/>
                <w:color w:val="auto"/>
              </w:rPr>
            </w:pPr>
            <w:r>
              <w:rPr>
                <w:rFonts w:ascii="Arial" w:cs="Arial" w:eastAsia="Arial" w:hAnsi="Arial"/>
                <w:sz w:val="14"/>
                <w:szCs w:val="14"/>
                <w:color w:val="auto"/>
              </w:rPr>
              <w:t>Notice or Proxy Card</w:t>
            </w:r>
          </w:p>
        </w:tc>
        <w:tc>
          <w:tcPr>
            <w:tcW w:w="3180" w:type="dxa"/>
            <w:vAlign w:val="bottom"/>
          </w:tcPr>
          <w:p>
            <w:pPr>
              <w:jc w:val="center"/>
              <w:ind w:left="4"/>
              <w:spacing w:after="0"/>
              <w:rPr>
                <w:sz w:val="20"/>
                <w:szCs w:val="20"/>
                <w:color w:val="auto"/>
              </w:rPr>
            </w:pPr>
            <w:r>
              <w:rPr>
                <w:rFonts w:ascii="Arial" w:cs="Arial" w:eastAsia="Arial" w:hAnsi="Arial"/>
                <w:sz w:val="14"/>
                <w:szCs w:val="14"/>
                <w:color w:val="auto"/>
              </w:rPr>
              <w:t>your Notice or Proxy Card</w:t>
            </w:r>
          </w:p>
        </w:tc>
        <w:tc>
          <w:tcPr>
            <w:tcW w:w="2220" w:type="dxa"/>
            <w:vAlign w:val="bottom"/>
          </w:tcPr>
          <w:p>
            <w:pPr>
              <w:jc w:val="center"/>
              <w:ind w:left="223"/>
              <w:spacing w:after="0"/>
              <w:rPr>
                <w:sz w:val="20"/>
                <w:szCs w:val="20"/>
                <w:color w:val="auto"/>
              </w:rPr>
            </w:pPr>
            <w:r>
              <w:rPr>
                <w:rFonts w:ascii="Arial" w:cs="Arial" w:eastAsia="Arial" w:hAnsi="Arial"/>
                <w:sz w:val="14"/>
                <w:szCs w:val="14"/>
                <w:color w:val="auto"/>
              </w:rPr>
              <w:t>instructions</w:t>
            </w:r>
          </w:p>
        </w:tc>
        <w:tc>
          <w:tcPr>
            <w:tcW w:w="780" w:type="dxa"/>
            <w:vAlign w:val="bottom"/>
          </w:tcPr>
          <w:p>
            <w:pPr>
              <w:spacing w:after="0"/>
              <w:rPr>
                <w:sz w:val="17"/>
                <w:szCs w:val="17"/>
                <w:color w:val="auto"/>
              </w:rPr>
            </w:pPr>
          </w:p>
        </w:tc>
        <w:tc>
          <w:tcPr>
            <w:tcW w:w="10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003B71"/>
              </w:rPr>
              <w:t>Annual</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2220" w:type="dxa"/>
            <w:vAlign w:val="bottom"/>
          </w:tcPr>
          <w:p>
            <w:pPr>
              <w:jc w:val="center"/>
              <w:ind w:left="243"/>
              <w:spacing w:after="0" w:line="127" w:lineRule="exact"/>
              <w:rPr>
                <w:sz w:val="20"/>
                <w:szCs w:val="20"/>
                <w:color w:val="auto"/>
              </w:rPr>
            </w:pPr>
            <w:r>
              <w:rPr>
                <w:rFonts w:ascii="Arial" w:cs="Arial" w:eastAsia="Arial" w:hAnsi="Arial"/>
                <w:sz w:val="14"/>
                <w:szCs w:val="14"/>
                <w:color w:val="auto"/>
              </w:rPr>
              <w:t>on your Notice or</w:t>
            </w:r>
          </w:p>
        </w:tc>
        <w:tc>
          <w:tcPr>
            <w:tcW w:w="780" w:type="dxa"/>
            <w:vAlign w:val="bottom"/>
          </w:tcPr>
          <w:p>
            <w:pPr>
              <w:spacing w:after="0"/>
              <w:rPr>
                <w:sz w:val="10"/>
                <w:szCs w:val="10"/>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003B71"/>
                <w:w w:val="99"/>
              </w:rPr>
              <w:t>Meeting</w:t>
            </w:r>
          </w:p>
        </w:tc>
        <w:tc>
          <w:tcPr>
            <w:tcW w:w="0" w:type="dxa"/>
            <w:vAlign w:val="bottom"/>
          </w:tcPr>
          <w:p>
            <w:pPr>
              <w:spacing w:after="0"/>
              <w:rPr>
                <w:sz w:val="1"/>
                <w:szCs w:val="1"/>
                <w:color w:val="auto"/>
              </w:rPr>
            </w:pPr>
          </w:p>
        </w:tc>
      </w:tr>
      <w:tr>
        <w:trPr>
          <w:trHeight w:val="130"/>
        </w:trPr>
        <w:tc>
          <w:tcPr>
            <w:tcW w:w="6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220" w:type="dxa"/>
            <w:vAlign w:val="bottom"/>
          </w:tcPr>
          <w:p>
            <w:pPr>
              <w:jc w:val="center"/>
              <w:ind w:left="223"/>
              <w:spacing w:after="0" w:line="131" w:lineRule="exact"/>
              <w:rPr>
                <w:sz w:val="20"/>
                <w:szCs w:val="20"/>
                <w:color w:val="auto"/>
              </w:rPr>
            </w:pPr>
            <w:r>
              <w:rPr>
                <w:rFonts w:ascii="Arial" w:cs="Arial" w:eastAsia="Arial" w:hAnsi="Arial"/>
                <w:sz w:val="14"/>
                <w:szCs w:val="14"/>
                <w:color w:val="auto"/>
              </w:rPr>
              <w:t>Proxy Card</w:t>
            </w:r>
          </w:p>
        </w:tc>
        <w:tc>
          <w:tcPr>
            <w:tcW w:w="7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780" w:type="dxa"/>
            <w:vAlign w:val="bottom"/>
            <w:gridSpan w:val="3"/>
          </w:tcPr>
          <w:p>
            <w:pPr>
              <w:jc w:val="center"/>
              <w:ind w:left="402"/>
              <w:spacing w:after="0" w:line="153" w:lineRule="exact"/>
              <w:rPr>
                <w:sz w:val="20"/>
                <w:szCs w:val="20"/>
                <w:color w:val="auto"/>
              </w:rPr>
            </w:pPr>
            <w:r>
              <w:rPr>
                <w:rFonts w:ascii="Arial" w:cs="Arial" w:eastAsia="Arial" w:hAnsi="Arial"/>
                <w:sz w:val="14"/>
                <w:szCs w:val="14"/>
                <w:color w:val="auto"/>
              </w:rPr>
              <w:t>Attend the Annual</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80" w:type="dxa"/>
            <w:vAlign w:val="bottom"/>
            <w:gridSpan w:val="3"/>
          </w:tcPr>
          <w:p>
            <w:pPr>
              <w:jc w:val="center"/>
              <w:ind w:left="402"/>
              <w:spacing w:after="0"/>
              <w:rPr>
                <w:sz w:val="20"/>
                <w:szCs w:val="20"/>
                <w:color w:val="auto"/>
              </w:rPr>
            </w:pPr>
            <w:r>
              <w:rPr>
                <w:rFonts w:ascii="Arial" w:cs="Arial" w:eastAsia="Arial" w:hAnsi="Arial"/>
                <w:sz w:val="14"/>
                <w:szCs w:val="14"/>
                <w:color w:val="auto"/>
              </w:rPr>
              <w:t>Meeting and</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80" w:type="dxa"/>
            <w:vAlign w:val="bottom"/>
            <w:gridSpan w:val="3"/>
          </w:tcPr>
          <w:p>
            <w:pPr>
              <w:jc w:val="center"/>
              <w:ind w:left="382"/>
              <w:spacing w:after="0"/>
              <w:rPr>
                <w:sz w:val="20"/>
                <w:szCs w:val="20"/>
                <w:color w:val="auto"/>
              </w:rPr>
            </w:pPr>
            <w:r>
              <w:rPr>
                <w:rFonts w:ascii="Arial" w:cs="Arial" w:eastAsia="Arial" w:hAnsi="Arial"/>
                <w:sz w:val="14"/>
                <w:szCs w:val="14"/>
                <w:color w:val="auto"/>
              </w:rPr>
              <w:t>Vote by Ballot</w:t>
            </w:r>
          </w:p>
        </w:tc>
        <w:tc>
          <w:tcPr>
            <w:tcW w:w="0" w:type="dxa"/>
            <w:vAlign w:val="bottom"/>
          </w:tcPr>
          <w:p>
            <w:pPr>
              <w:spacing w:after="0"/>
              <w:rPr>
                <w:sz w:val="1"/>
                <w:szCs w:val="1"/>
                <w:color w:val="auto"/>
              </w:rPr>
            </w:pPr>
          </w:p>
        </w:tc>
      </w:tr>
      <w:tr>
        <w:trPr>
          <w:trHeight w:val="520"/>
        </w:trPr>
        <w:tc>
          <w:tcPr>
            <w:tcW w:w="3460" w:type="dxa"/>
            <w:vAlign w:val="bottom"/>
            <w:gridSpan w:val="2"/>
          </w:tcPr>
          <w:p>
            <w:pPr>
              <w:spacing w:after="0"/>
              <w:rPr>
                <w:sz w:val="20"/>
                <w:szCs w:val="20"/>
                <w:color w:val="auto"/>
              </w:rPr>
            </w:pPr>
            <w:r>
              <w:rPr>
                <w:rFonts w:ascii="Arial" w:cs="Arial" w:eastAsia="Arial" w:hAnsi="Arial"/>
                <w:sz w:val="25"/>
                <w:szCs w:val="25"/>
                <w:b w:val="1"/>
                <w:bCs w:val="1"/>
                <w:color w:val="4C4C4C"/>
              </w:rPr>
              <w:t>Shareholders Action</w:t>
            </w:r>
          </w:p>
        </w:tc>
        <w:tc>
          <w:tcPr>
            <w:tcW w:w="3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003B71"/>
            </w:tcBorders>
          </w:tcPr>
          <w:p>
            <w:pPr>
              <w:spacing w:after="0"/>
              <w:rPr>
                <w:sz w:val="3"/>
                <w:szCs w:val="3"/>
                <w:color w:val="auto"/>
              </w:rPr>
            </w:pPr>
          </w:p>
        </w:tc>
        <w:tc>
          <w:tcPr>
            <w:tcW w:w="2800" w:type="dxa"/>
            <w:vAlign w:val="bottom"/>
            <w:tcBorders>
              <w:bottom w:val="single" w:sz="8" w:color="003B71"/>
            </w:tcBorders>
          </w:tcPr>
          <w:p>
            <w:pPr>
              <w:spacing w:after="0"/>
              <w:rPr>
                <w:sz w:val="3"/>
                <w:szCs w:val="3"/>
                <w:color w:val="auto"/>
              </w:rPr>
            </w:pPr>
          </w:p>
        </w:tc>
        <w:tc>
          <w:tcPr>
            <w:tcW w:w="3180" w:type="dxa"/>
            <w:vAlign w:val="bottom"/>
            <w:tcBorders>
              <w:bottom w:val="single" w:sz="8" w:color="003B71"/>
            </w:tcBorders>
          </w:tcPr>
          <w:p>
            <w:pPr>
              <w:spacing w:after="0"/>
              <w:rPr>
                <w:sz w:val="3"/>
                <w:szCs w:val="3"/>
                <w:color w:val="auto"/>
              </w:rPr>
            </w:pPr>
          </w:p>
        </w:tc>
        <w:tc>
          <w:tcPr>
            <w:tcW w:w="2220" w:type="dxa"/>
            <w:vAlign w:val="bottom"/>
            <w:tcBorders>
              <w:bottom w:val="single" w:sz="8" w:color="003B71"/>
            </w:tcBorders>
          </w:tcPr>
          <w:p>
            <w:pPr>
              <w:spacing w:after="0"/>
              <w:rPr>
                <w:sz w:val="3"/>
                <w:szCs w:val="3"/>
                <w:color w:val="auto"/>
              </w:rPr>
            </w:pPr>
          </w:p>
        </w:tc>
        <w:tc>
          <w:tcPr>
            <w:tcW w:w="780" w:type="dxa"/>
            <w:vAlign w:val="bottom"/>
            <w:tcBorders>
              <w:bottom w:val="single" w:sz="8" w:color="003B71"/>
            </w:tcBorders>
          </w:tcPr>
          <w:p>
            <w:pPr>
              <w:spacing w:after="0"/>
              <w:rPr>
                <w:sz w:val="3"/>
                <w:szCs w:val="3"/>
                <w:color w:val="auto"/>
              </w:rPr>
            </w:pPr>
          </w:p>
        </w:tc>
        <w:tc>
          <w:tcPr>
            <w:tcW w:w="980" w:type="dxa"/>
            <w:vAlign w:val="bottom"/>
            <w:tcBorders>
              <w:bottom w:val="single" w:sz="8" w:color="003B71"/>
            </w:tcBorders>
          </w:tcPr>
          <w:p>
            <w:pPr>
              <w:spacing w:after="0"/>
              <w:rPr>
                <w:sz w:val="3"/>
                <w:szCs w:val="3"/>
                <w:color w:val="auto"/>
              </w:rPr>
            </w:pPr>
          </w:p>
        </w:tc>
        <w:tc>
          <w:tcPr>
            <w:tcW w:w="20" w:type="dxa"/>
            <w:vAlign w:val="bottom"/>
            <w:tcBorders>
              <w:bottom w:val="single" w:sz="8" w:color="003B71"/>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20" w:type="dxa"/>
            <w:vAlign w:val="bottom"/>
          </w:tcPr>
          <w:p>
            <w:pPr>
              <w:jc w:val="center"/>
              <w:ind w:left="623"/>
              <w:spacing w:after="0"/>
              <w:rPr>
                <w:sz w:val="20"/>
                <w:szCs w:val="20"/>
                <w:color w:val="auto"/>
              </w:rPr>
            </w:pPr>
            <w:r>
              <w:rPr>
                <w:rFonts w:ascii="Arial" w:cs="Arial" w:eastAsia="Arial" w:hAnsi="Arial"/>
                <w:sz w:val="14"/>
                <w:szCs w:val="14"/>
                <w:b w:val="1"/>
                <w:bCs w:val="1"/>
                <w:color w:val="003B71"/>
              </w:rPr>
              <w:t>Board Voting</w:t>
            </w:r>
          </w:p>
        </w:tc>
        <w:tc>
          <w:tcPr>
            <w:tcW w:w="780" w:type="dxa"/>
            <w:vAlign w:val="bottom"/>
          </w:tcPr>
          <w:p>
            <w:pPr>
              <w:jc w:val="center"/>
              <w:ind w:left="62"/>
              <w:spacing w:after="0"/>
              <w:rPr>
                <w:sz w:val="20"/>
                <w:szCs w:val="20"/>
                <w:color w:val="auto"/>
              </w:rPr>
            </w:pPr>
            <w:r>
              <w:rPr>
                <w:rFonts w:ascii="Arial" w:cs="Arial" w:eastAsia="Arial" w:hAnsi="Arial"/>
                <w:sz w:val="14"/>
                <w:szCs w:val="14"/>
                <w:b w:val="1"/>
                <w:bCs w:val="1"/>
                <w:color w:val="003B71"/>
              </w:rPr>
              <w:t>Votes</w:t>
            </w:r>
          </w:p>
        </w:tc>
        <w:tc>
          <w:tcPr>
            <w:tcW w:w="100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003B71"/>
              </w:rPr>
              <w:t>Page</w:t>
            </w:r>
          </w:p>
        </w:tc>
        <w:tc>
          <w:tcPr>
            <w:tcW w:w="0" w:type="dxa"/>
            <w:vAlign w:val="bottom"/>
          </w:tcPr>
          <w:p>
            <w:pPr>
              <w:spacing w:after="0"/>
              <w:rPr>
                <w:sz w:val="1"/>
                <w:szCs w:val="1"/>
                <w:color w:val="auto"/>
              </w:rPr>
            </w:pPr>
          </w:p>
        </w:tc>
      </w:tr>
      <w:tr>
        <w:trPr>
          <w:trHeight w:val="175"/>
        </w:trPr>
        <w:tc>
          <w:tcPr>
            <w:tcW w:w="3460" w:type="dxa"/>
            <w:vAlign w:val="bottom"/>
            <w:gridSpan w:val="2"/>
          </w:tcPr>
          <w:p>
            <w:pPr>
              <w:ind w:left="80"/>
              <w:spacing w:after="0"/>
              <w:rPr>
                <w:sz w:val="20"/>
                <w:szCs w:val="20"/>
                <w:color w:val="auto"/>
              </w:rPr>
            </w:pPr>
            <w:r>
              <w:rPr>
                <w:rFonts w:ascii="Arial" w:cs="Arial" w:eastAsia="Arial" w:hAnsi="Arial"/>
                <w:sz w:val="14"/>
                <w:szCs w:val="14"/>
                <w:b w:val="1"/>
                <w:bCs w:val="1"/>
                <w:color w:val="003B71"/>
              </w:rPr>
              <w:t>Proposals</w:t>
            </w:r>
          </w:p>
        </w:tc>
        <w:tc>
          <w:tcPr>
            <w:tcW w:w="3180" w:type="dxa"/>
            <w:vAlign w:val="bottom"/>
          </w:tcPr>
          <w:p>
            <w:pPr>
              <w:ind w:left="280"/>
              <w:spacing w:after="0"/>
              <w:rPr>
                <w:sz w:val="20"/>
                <w:szCs w:val="20"/>
                <w:color w:val="auto"/>
              </w:rPr>
            </w:pPr>
            <w:r>
              <w:rPr>
                <w:rFonts w:ascii="Arial" w:cs="Arial" w:eastAsia="Arial" w:hAnsi="Arial"/>
                <w:sz w:val="14"/>
                <w:szCs w:val="14"/>
                <w:b w:val="1"/>
                <w:bCs w:val="1"/>
                <w:color w:val="003B71"/>
              </w:rPr>
              <w:t>Description</w:t>
            </w:r>
          </w:p>
        </w:tc>
        <w:tc>
          <w:tcPr>
            <w:tcW w:w="2220" w:type="dxa"/>
            <w:vAlign w:val="bottom"/>
          </w:tcPr>
          <w:p>
            <w:pPr>
              <w:jc w:val="center"/>
              <w:ind w:left="623"/>
              <w:spacing w:after="0"/>
              <w:rPr>
                <w:sz w:val="20"/>
                <w:szCs w:val="20"/>
                <w:color w:val="auto"/>
              </w:rPr>
            </w:pPr>
            <w:r>
              <w:rPr>
                <w:rFonts w:ascii="Arial" w:cs="Arial" w:eastAsia="Arial" w:hAnsi="Arial"/>
                <w:sz w:val="14"/>
                <w:szCs w:val="14"/>
                <w:b w:val="1"/>
                <w:bCs w:val="1"/>
                <w:color w:val="003B71"/>
              </w:rPr>
              <w:t>Recommendation</w:t>
            </w:r>
          </w:p>
        </w:tc>
        <w:tc>
          <w:tcPr>
            <w:tcW w:w="780" w:type="dxa"/>
            <w:vAlign w:val="bottom"/>
          </w:tcPr>
          <w:p>
            <w:pPr>
              <w:jc w:val="center"/>
              <w:ind w:left="62"/>
              <w:spacing w:after="0"/>
              <w:rPr>
                <w:sz w:val="20"/>
                <w:szCs w:val="20"/>
                <w:color w:val="auto"/>
              </w:rPr>
            </w:pPr>
            <w:r>
              <w:rPr>
                <w:rFonts w:ascii="Arial" w:cs="Arial" w:eastAsia="Arial" w:hAnsi="Arial"/>
                <w:sz w:val="14"/>
                <w:szCs w:val="14"/>
                <w:b w:val="1"/>
                <w:bCs w:val="1"/>
                <w:color w:val="003B71"/>
              </w:rPr>
              <w:t>Required</w:t>
            </w:r>
          </w:p>
        </w:tc>
        <w:tc>
          <w:tcPr>
            <w:tcW w:w="100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003B71"/>
              </w:rPr>
              <w:t>Reference</w:t>
            </w:r>
          </w:p>
        </w:tc>
        <w:tc>
          <w:tcPr>
            <w:tcW w:w="0" w:type="dxa"/>
            <w:vAlign w:val="bottom"/>
          </w:tcPr>
          <w:p>
            <w:pPr>
              <w:spacing w:after="0"/>
              <w:rPr>
                <w:sz w:val="1"/>
                <w:szCs w:val="1"/>
                <w:color w:val="auto"/>
              </w:rPr>
            </w:pPr>
          </w:p>
        </w:tc>
      </w:tr>
      <w:tr>
        <w:trPr>
          <w:trHeight w:val="318"/>
        </w:trPr>
        <w:tc>
          <w:tcPr>
            <w:tcW w:w="660" w:type="dxa"/>
            <w:vAlign w:val="bottom"/>
            <w:tcBorders>
              <w:top w:val="single" w:sz="8" w:color="003B71"/>
            </w:tcBorders>
          </w:tcPr>
          <w:p>
            <w:pPr>
              <w:jc w:val="right"/>
              <w:spacing w:after="0" w:line="318" w:lineRule="exact"/>
              <w:rPr>
                <w:sz w:val="20"/>
                <w:szCs w:val="20"/>
                <w:color w:val="auto"/>
              </w:rPr>
            </w:pPr>
            <w:r>
              <w:rPr>
                <w:rFonts w:ascii="Arial" w:cs="Arial" w:eastAsia="Arial" w:hAnsi="Arial"/>
                <w:sz w:val="36"/>
                <w:szCs w:val="36"/>
                <w:color w:val="003B71"/>
              </w:rPr>
              <w:t>1</w:t>
            </w:r>
          </w:p>
        </w:tc>
        <w:tc>
          <w:tcPr>
            <w:tcW w:w="2800" w:type="dxa"/>
            <w:vAlign w:val="bottom"/>
            <w:tcBorders>
              <w:top w:val="single" w:sz="8" w:color="003B71"/>
            </w:tcBorders>
            <w:vMerge w:val="restart"/>
          </w:tcPr>
          <w:p>
            <w:pPr>
              <w:ind w:left="400"/>
              <w:spacing w:after="0"/>
              <w:rPr>
                <w:sz w:val="20"/>
                <w:szCs w:val="20"/>
                <w:color w:val="auto"/>
              </w:rPr>
            </w:pPr>
            <w:r>
              <w:rPr>
                <w:rFonts w:ascii="Arial" w:cs="Arial" w:eastAsia="Arial" w:hAnsi="Arial"/>
                <w:sz w:val="16"/>
                <w:szCs w:val="16"/>
                <w:color w:val="auto"/>
              </w:rPr>
              <w:t>Election of Directors</w:t>
            </w:r>
          </w:p>
        </w:tc>
        <w:tc>
          <w:tcPr>
            <w:tcW w:w="3180" w:type="dxa"/>
            <w:vAlign w:val="bottom"/>
            <w:tcBorders>
              <w:top w:val="single" w:sz="8" w:color="003B71"/>
            </w:tcBorders>
          </w:tcPr>
          <w:p>
            <w:pPr>
              <w:spacing w:after="0"/>
              <w:rPr>
                <w:sz w:val="24"/>
                <w:szCs w:val="24"/>
                <w:color w:val="auto"/>
              </w:rPr>
            </w:pPr>
          </w:p>
        </w:tc>
        <w:tc>
          <w:tcPr>
            <w:tcW w:w="2220" w:type="dxa"/>
            <w:vAlign w:val="bottom"/>
            <w:tcBorders>
              <w:top w:val="single" w:sz="8" w:color="003B71"/>
            </w:tcBorders>
            <w:vMerge w:val="restart"/>
          </w:tcPr>
          <w:p>
            <w:pPr>
              <w:jc w:val="center"/>
              <w:ind w:left="603"/>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each</w:t>
            </w:r>
          </w:p>
        </w:tc>
        <w:tc>
          <w:tcPr>
            <w:tcW w:w="780" w:type="dxa"/>
            <w:vAlign w:val="bottom"/>
            <w:tcBorders>
              <w:top w:val="single" w:sz="8" w:color="003B71"/>
            </w:tcBorders>
            <w:vMerge w:val="restart"/>
          </w:tcPr>
          <w:p>
            <w:pPr>
              <w:jc w:val="center"/>
              <w:ind w:left="62"/>
              <w:spacing w:after="0"/>
              <w:rPr>
                <w:sz w:val="20"/>
                <w:szCs w:val="20"/>
                <w:color w:val="auto"/>
              </w:rPr>
            </w:pPr>
            <w:r>
              <w:rPr>
                <w:rFonts w:ascii="Arial" w:cs="Arial" w:eastAsia="Arial" w:hAnsi="Arial"/>
                <w:sz w:val="16"/>
                <w:szCs w:val="16"/>
                <w:color w:val="auto"/>
                <w:w w:val="99"/>
              </w:rPr>
              <w:t>Majority</w:t>
            </w:r>
          </w:p>
        </w:tc>
        <w:tc>
          <w:tcPr>
            <w:tcW w:w="980" w:type="dxa"/>
            <w:vAlign w:val="bottom"/>
            <w:tcBorders>
              <w:top w:val="single" w:sz="8" w:color="003B71"/>
            </w:tcBorders>
            <w:vMerge w:val="restart"/>
          </w:tcPr>
          <w:p>
            <w:pPr>
              <w:jc w:val="center"/>
              <w:ind w:left="219"/>
              <w:spacing w:after="0"/>
              <w:rPr>
                <w:sz w:val="20"/>
                <w:szCs w:val="20"/>
                <w:color w:val="auto"/>
              </w:rPr>
            </w:pPr>
            <w:r>
              <w:rPr>
                <w:rFonts w:ascii="Arial" w:cs="Arial" w:eastAsia="Arial" w:hAnsi="Arial"/>
                <w:sz w:val="16"/>
                <w:szCs w:val="16"/>
                <w:color w:val="auto"/>
                <w:w w:val="99"/>
              </w:rPr>
              <w:t>7-12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60" w:type="dxa"/>
            <w:vAlign w:val="bottom"/>
          </w:tcPr>
          <w:p>
            <w:pPr>
              <w:spacing w:after="0"/>
              <w:rPr>
                <w:sz w:val="3"/>
                <w:szCs w:val="3"/>
                <w:color w:val="auto"/>
              </w:rPr>
            </w:pPr>
          </w:p>
        </w:tc>
        <w:tc>
          <w:tcPr>
            <w:tcW w:w="2800" w:type="dxa"/>
            <w:vAlign w:val="bottom"/>
            <w:vMerge w:val="continue"/>
          </w:tcPr>
          <w:p>
            <w:pPr>
              <w:spacing w:after="0"/>
              <w:rPr>
                <w:sz w:val="3"/>
                <w:szCs w:val="3"/>
                <w:color w:val="auto"/>
              </w:rPr>
            </w:pPr>
          </w:p>
        </w:tc>
        <w:tc>
          <w:tcPr>
            <w:tcW w:w="318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66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3180" w:type="dxa"/>
            <w:vAlign w:val="bottom"/>
          </w:tcPr>
          <w:p>
            <w:pPr>
              <w:spacing w:after="0"/>
              <w:rPr>
                <w:sz w:val="8"/>
                <w:szCs w:val="8"/>
                <w:color w:val="auto"/>
              </w:rPr>
            </w:pPr>
          </w:p>
        </w:tc>
        <w:tc>
          <w:tcPr>
            <w:tcW w:w="2220" w:type="dxa"/>
            <w:vAlign w:val="bottom"/>
            <w:vMerge w:val="restart"/>
          </w:tcPr>
          <w:p>
            <w:pPr>
              <w:jc w:val="center"/>
              <w:ind w:left="603"/>
              <w:spacing w:after="0"/>
              <w:rPr>
                <w:sz w:val="20"/>
                <w:szCs w:val="20"/>
                <w:color w:val="auto"/>
              </w:rPr>
            </w:pPr>
            <w:r>
              <w:rPr>
                <w:rFonts w:ascii="Arial" w:cs="Arial" w:eastAsia="Arial" w:hAnsi="Arial"/>
                <w:sz w:val="16"/>
                <w:szCs w:val="16"/>
                <w:color w:val="auto"/>
              </w:rPr>
              <w:t>nominee</w:t>
            </w: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660" w:type="dxa"/>
            <w:vAlign w:val="bottom"/>
            <w:tcBorders>
              <w:bottom w:val="single" w:sz="8" w:color="003B71"/>
            </w:tcBorders>
          </w:tcPr>
          <w:p>
            <w:pPr>
              <w:spacing w:after="0"/>
              <w:rPr>
                <w:sz w:val="15"/>
                <w:szCs w:val="15"/>
                <w:color w:val="auto"/>
              </w:rPr>
            </w:pPr>
          </w:p>
        </w:tc>
        <w:tc>
          <w:tcPr>
            <w:tcW w:w="2800" w:type="dxa"/>
            <w:vAlign w:val="bottom"/>
            <w:tcBorders>
              <w:bottom w:val="single" w:sz="8" w:color="003B71"/>
            </w:tcBorders>
          </w:tcPr>
          <w:p>
            <w:pPr>
              <w:spacing w:after="0"/>
              <w:rPr>
                <w:sz w:val="15"/>
                <w:szCs w:val="15"/>
                <w:color w:val="auto"/>
              </w:rPr>
            </w:pPr>
          </w:p>
        </w:tc>
        <w:tc>
          <w:tcPr>
            <w:tcW w:w="3180" w:type="dxa"/>
            <w:vAlign w:val="bottom"/>
            <w:tcBorders>
              <w:bottom w:val="single" w:sz="8" w:color="003B71"/>
            </w:tcBorders>
          </w:tcPr>
          <w:p>
            <w:pPr>
              <w:spacing w:after="0"/>
              <w:rPr>
                <w:sz w:val="15"/>
                <w:szCs w:val="15"/>
                <w:color w:val="auto"/>
              </w:rPr>
            </w:pPr>
          </w:p>
        </w:tc>
        <w:tc>
          <w:tcPr>
            <w:tcW w:w="2220" w:type="dxa"/>
            <w:vAlign w:val="bottom"/>
            <w:tcBorders>
              <w:bottom w:val="single" w:sz="8" w:color="003B71"/>
            </w:tcBorders>
          </w:tcPr>
          <w:p>
            <w:pPr>
              <w:spacing w:after="0"/>
              <w:rPr>
                <w:sz w:val="15"/>
                <w:szCs w:val="15"/>
                <w:color w:val="auto"/>
              </w:rPr>
            </w:pPr>
          </w:p>
        </w:tc>
        <w:tc>
          <w:tcPr>
            <w:tcW w:w="780" w:type="dxa"/>
            <w:vAlign w:val="bottom"/>
            <w:tcBorders>
              <w:bottom w:val="single" w:sz="8" w:color="003B71"/>
            </w:tcBorders>
          </w:tcPr>
          <w:p>
            <w:pPr>
              <w:spacing w:after="0"/>
              <w:rPr>
                <w:sz w:val="15"/>
                <w:szCs w:val="15"/>
                <w:color w:val="auto"/>
              </w:rPr>
            </w:pPr>
          </w:p>
        </w:tc>
        <w:tc>
          <w:tcPr>
            <w:tcW w:w="980" w:type="dxa"/>
            <w:vAlign w:val="bottom"/>
            <w:tcBorders>
              <w:bottom w:val="single" w:sz="8" w:color="003B71"/>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660" w:type="dxa"/>
            <w:vAlign w:val="bottom"/>
            <w:vMerge w:val="restart"/>
          </w:tcPr>
          <w:p>
            <w:pPr>
              <w:jc w:val="right"/>
              <w:spacing w:after="0"/>
              <w:rPr>
                <w:sz w:val="20"/>
                <w:szCs w:val="20"/>
                <w:color w:val="auto"/>
              </w:rPr>
            </w:pPr>
            <w:r>
              <w:rPr>
                <w:rFonts w:ascii="Arial" w:cs="Arial" w:eastAsia="Arial" w:hAnsi="Arial"/>
                <w:sz w:val="65"/>
                <w:szCs w:val="65"/>
                <w:color w:val="003B71"/>
              </w:rPr>
              <w:t>2</w:t>
            </w:r>
          </w:p>
        </w:tc>
        <w:tc>
          <w:tcPr>
            <w:tcW w:w="2800" w:type="dxa"/>
            <w:vAlign w:val="bottom"/>
          </w:tcPr>
          <w:p>
            <w:pPr>
              <w:ind w:left="400"/>
              <w:spacing w:after="0"/>
              <w:rPr>
                <w:sz w:val="20"/>
                <w:szCs w:val="20"/>
                <w:color w:val="auto"/>
              </w:rPr>
            </w:pPr>
            <w:r>
              <w:rPr>
                <w:rFonts w:ascii="Arial" w:cs="Arial" w:eastAsia="Arial" w:hAnsi="Arial"/>
                <w:sz w:val="16"/>
                <w:szCs w:val="16"/>
                <w:color w:val="auto"/>
              </w:rPr>
              <w:t>Ratification of Appointment of</w:t>
            </w:r>
          </w:p>
        </w:tc>
        <w:tc>
          <w:tcPr>
            <w:tcW w:w="3180" w:type="dxa"/>
            <w:vAlign w:val="bottom"/>
          </w:tcPr>
          <w:p>
            <w:pPr>
              <w:spacing w:after="0"/>
              <w:rPr>
                <w:sz w:val="24"/>
                <w:szCs w:val="24"/>
                <w:color w:val="auto"/>
              </w:rPr>
            </w:pPr>
          </w:p>
        </w:tc>
        <w:tc>
          <w:tcPr>
            <w:tcW w:w="2220" w:type="dxa"/>
            <w:vAlign w:val="bottom"/>
            <w:vMerge w:val="restart"/>
          </w:tcPr>
          <w:p>
            <w:pPr>
              <w:jc w:val="center"/>
              <w:ind w:left="603"/>
              <w:spacing w:after="0"/>
              <w:rPr>
                <w:sz w:val="20"/>
                <w:szCs w:val="20"/>
                <w:color w:val="auto"/>
              </w:rPr>
            </w:pPr>
            <w:r>
              <w:rPr>
                <w:rFonts w:ascii="Arial" w:cs="Arial" w:eastAsia="Arial" w:hAnsi="Arial"/>
                <w:sz w:val="16"/>
                <w:szCs w:val="16"/>
                <w:b w:val="1"/>
                <w:bCs w:val="1"/>
                <w:color w:val="003B71"/>
              </w:rPr>
              <w:t>FOR</w:t>
            </w:r>
          </w:p>
        </w:tc>
        <w:tc>
          <w:tcPr>
            <w:tcW w:w="780" w:type="dxa"/>
            <w:vAlign w:val="bottom"/>
            <w:vMerge w:val="restart"/>
          </w:tcPr>
          <w:p>
            <w:pPr>
              <w:jc w:val="center"/>
              <w:ind w:left="62"/>
              <w:spacing w:after="0"/>
              <w:rPr>
                <w:sz w:val="20"/>
                <w:szCs w:val="20"/>
                <w:color w:val="auto"/>
              </w:rPr>
            </w:pPr>
            <w:r>
              <w:rPr>
                <w:rFonts w:ascii="Arial" w:cs="Arial" w:eastAsia="Arial" w:hAnsi="Arial"/>
                <w:sz w:val="16"/>
                <w:szCs w:val="16"/>
                <w:color w:val="auto"/>
                <w:w w:val="99"/>
              </w:rPr>
              <w:t>Majority</w:t>
            </w:r>
          </w:p>
        </w:tc>
        <w:tc>
          <w:tcPr>
            <w:tcW w:w="980" w:type="dxa"/>
            <w:vAlign w:val="bottom"/>
            <w:vMerge w:val="restart"/>
          </w:tcPr>
          <w:p>
            <w:pPr>
              <w:jc w:val="center"/>
              <w:ind w:left="239"/>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60" w:type="dxa"/>
            <w:vAlign w:val="bottom"/>
            <w:vMerge w:val="continue"/>
          </w:tcPr>
          <w:p>
            <w:pPr>
              <w:spacing w:after="0"/>
              <w:rPr>
                <w:sz w:val="8"/>
                <w:szCs w:val="8"/>
                <w:color w:val="auto"/>
              </w:rPr>
            </w:pPr>
          </w:p>
        </w:tc>
        <w:tc>
          <w:tcPr>
            <w:tcW w:w="5980" w:type="dxa"/>
            <w:vAlign w:val="bottom"/>
            <w:gridSpan w:val="2"/>
            <w:vMerge w:val="restart"/>
          </w:tcPr>
          <w:p>
            <w:pPr>
              <w:ind w:left="400"/>
              <w:spacing w:after="0"/>
              <w:rPr>
                <w:sz w:val="20"/>
                <w:szCs w:val="20"/>
                <w:color w:val="auto"/>
              </w:rPr>
            </w:pPr>
            <w:r>
              <w:rPr>
                <w:rFonts w:ascii="Arial" w:cs="Arial" w:eastAsia="Arial" w:hAnsi="Arial"/>
                <w:sz w:val="16"/>
                <w:szCs w:val="16"/>
                <w:color w:val="auto"/>
              </w:rPr>
              <w:t>Independent Registered Public Accounting Firm</w:t>
            </w:r>
          </w:p>
        </w:tc>
        <w:tc>
          <w:tcPr>
            <w:tcW w:w="22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660" w:type="dxa"/>
            <w:vAlign w:val="bottom"/>
            <w:tcBorders>
              <w:bottom w:val="single" w:sz="8" w:color="003B71"/>
            </w:tcBorders>
            <w:vMerge w:val="continue"/>
          </w:tcPr>
          <w:p>
            <w:pPr>
              <w:spacing w:after="0"/>
              <w:rPr>
                <w:sz w:val="24"/>
                <w:szCs w:val="24"/>
                <w:color w:val="auto"/>
              </w:rPr>
            </w:pPr>
          </w:p>
        </w:tc>
        <w:tc>
          <w:tcPr>
            <w:tcW w:w="5980" w:type="dxa"/>
            <w:vAlign w:val="bottom"/>
            <w:tcBorders>
              <w:bottom w:val="single" w:sz="8" w:color="003B71"/>
            </w:tcBorders>
            <w:gridSpan w:val="2"/>
            <w:vMerge w:val="continue"/>
          </w:tcPr>
          <w:p>
            <w:pPr>
              <w:spacing w:after="0"/>
              <w:rPr>
                <w:sz w:val="24"/>
                <w:szCs w:val="24"/>
                <w:color w:val="auto"/>
              </w:rPr>
            </w:pPr>
          </w:p>
        </w:tc>
        <w:tc>
          <w:tcPr>
            <w:tcW w:w="2220" w:type="dxa"/>
            <w:vAlign w:val="bottom"/>
            <w:tcBorders>
              <w:bottom w:val="single" w:sz="8" w:color="003B71"/>
            </w:tcBorders>
          </w:tcPr>
          <w:p>
            <w:pPr>
              <w:spacing w:after="0"/>
              <w:rPr>
                <w:sz w:val="24"/>
                <w:szCs w:val="24"/>
                <w:color w:val="auto"/>
              </w:rPr>
            </w:pPr>
          </w:p>
        </w:tc>
        <w:tc>
          <w:tcPr>
            <w:tcW w:w="780" w:type="dxa"/>
            <w:vAlign w:val="bottom"/>
            <w:tcBorders>
              <w:bottom w:val="single" w:sz="8" w:color="003B71"/>
            </w:tcBorders>
          </w:tcPr>
          <w:p>
            <w:pPr>
              <w:spacing w:after="0"/>
              <w:rPr>
                <w:sz w:val="24"/>
                <w:szCs w:val="24"/>
                <w:color w:val="auto"/>
              </w:rPr>
            </w:pPr>
          </w:p>
        </w:tc>
        <w:tc>
          <w:tcPr>
            <w:tcW w:w="980" w:type="dxa"/>
            <w:vAlign w:val="bottom"/>
            <w:tcBorders>
              <w:bottom w:val="single" w:sz="8" w:color="003B71"/>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660" w:type="dxa"/>
            <w:vAlign w:val="bottom"/>
            <w:tcBorders>
              <w:bottom w:val="single" w:sz="8" w:color="003B71"/>
            </w:tcBorders>
          </w:tcPr>
          <w:p>
            <w:pPr>
              <w:jc w:val="right"/>
              <w:spacing w:after="0"/>
              <w:rPr>
                <w:sz w:val="20"/>
                <w:szCs w:val="20"/>
                <w:color w:val="auto"/>
              </w:rPr>
            </w:pPr>
            <w:r>
              <w:rPr>
                <w:rFonts w:ascii="Arial" w:cs="Arial" w:eastAsia="Arial" w:hAnsi="Arial"/>
                <w:sz w:val="65"/>
                <w:szCs w:val="65"/>
                <w:color w:val="003B71"/>
              </w:rPr>
              <w:t>3</w:t>
            </w:r>
          </w:p>
        </w:tc>
        <w:tc>
          <w:tcPr>
            <w:tcW w:w="5980" w:type="dxa"/>
            <w:vAlign w:val="bottom"/>
            <w:tcBorders>
              <w:bottom w:val="single" w:sz="8" w:color="003B71"/>
            </w:tcBorders>
            <w:gridSpan w:val="2"/>
          </w:tcPr>
          <w:p>
            <w:pPr>
              <w:ind w:left="400"/>
              <w:spacing w:after="0"/>
              <w:rPr>
                <w:sz w:val="20"/>
                <w:szCs w:val="20"/>
                <w:color w:val="auto"/>
              </w:rPr>
            </w:pPr>
            <w:r>
              <w:rPr>
                <w:rFonts w:ascii="Arial" w:cs="Arial" w:eastAsia="Arial" w:hAnsi="Arial"/>
                <w:sz w:val="16"/>
                <w:szCs w:val="16"/>
                <w:color w:val="auto"/>
              </w:rPr>
              <w:t>Advisory Vote on Executive Compensation</w:t>
            </w:r>
          </w:p>
        </w:tc>
        <w:tc>
          <w:tcPr>
            <w:tcW w:w="2220" w:type="dxa"/>
            <w:vAlign w:val="bottom"/>
            <w:tcBorders>
              <w:bottom w:val="single" w:sz="8" w:color="003B71"/>
            </w:tcBorders>
          </w:tcPr>
          <w:p>
            <w:pPr>
              <w:jc w:val="center"/>
              <w:ind w:left="603"/>
              <w:spacing w:after="0"/>
              <w:rPr>
                <w:sz w:val="20"/>
                <w:szCs w:val="20"/>
                <w:color w:val="auto"/>
              </w:rPr>
            </w:pPr>
            <w:r>
              <w:rPr>
                <w:rFonts w:ascii="Arial" w:cs="Arial" w:eastAsia="Arial" w:hAnsi="Arial"/>
                <w:sz w:val="16"/>
                <w:szCs w:val="16"/>
                <w:b w:val="1"/>
                <w:bCs w:val="1"/>
                <w:color w:val="003B71"/>
              </w:rPr>
              <w:t>FOR</w:t>
            </w:r>
          </w:p>
        </w:tc>
        <w:tc>
          <w:tcPr>
            <w:tcW w:w="780" w:type="dxa"/>
            <w:vAlign w:val="bottom"/>
            <w:tcBorders>
              <w:bottom w:val="single" w:sz="8" w:color="003B71"/>
            </w:tcBorders>
          </w:tcPr>
          <w:p>
            <w:pPr>
              <w:jc w:val="center"/>
              <w:ind w:left="62"/>
              <w:spacing w:after="0"/>
              <w:rPr>
                <w:sz w:val="20"/>
                <w:szCs w:val="20"/>
                <w:color w:val="auto"/>
              </w:rPr>
            </w:pPr>
            <w:r>
              <w:rPr>
                <w:rFonts w:ascii="Arial" w:cs="Arial" w:eastAsia="Arial" w:hAnsi="Arial"/>
                <w:sz w:val="16"/>
                <w:szCs w:val="16"/>
                <w:color w:val="auto"/>
                <w:w w:val="99"/>
              </w:rPr>
              <w:t>Majority</w:t>
            </w:r>
          </w:p>
        </w:tc>
        <w:tc>
          <w:tcPr>
            <w:tcW w:w="980" w:type="dxa"/>
            <w:vAlign w:val="bottom"/>
            <w:tcBorders>
              <w:bottom w:val="single" w:sz="8" w:color="003B71"/>
            </w:tcBorders>
          </w:tcPr>
          <w:p>
            <w:pPr>
              <w:jc w:val="center"/>
              <w:ind w:left="239"/>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5893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0715" cy="589343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Information about the Board of Directors at 2020 Fiscal Year End:</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Borders>
              <w:bottom w:val="single" w:sz="8" w:color="003B71"/>
            </w:tcBorders>
          </w:tcPr>
          <w:p>
            <w:pPr>
              <w:spacing w:after="0"/>
              <w:rPr>
                <w:sz w:val="15"/>
                <w:szCs w:val="15"/>
                <w:color w:val="auto"/>
              </w:rPr>
            </w:pPr>
          </w:p>
        </w:tc>
        <w:tc>
          <w:tcPr>
            <w:tcW w:w="3980" w:type="dxa"/>
            <w:vAlign w:val="bottom"/>
            <w:tcBorders>
              <w:bottom w:val="single" w:sz="8" w:color="003B71"/>
            </w:tcBorders>
            <w:gridSpan w:val="6"/>
          </w:tcPr>
          <w:p>
            <w:pPr>
              <w:ind w:left="720"/>
              <w:spacing w:after="0"/>
              <w:rPr>
                <w:sz w:val="20"/>
                <w:szCs w:val="20"/>
                <w:color w:val="auto"/>
              </w:rPr>
            </w:pPr>
            <w:r>
              <w:rPr>
                <w:rFonts w:ascii="Arial" w:cs="Arial" w:eastAsia="Arial" w:hAnsi="Arial"/>
                <w:sz w:val="14"/>
                <w:szCs w:val="14"/>
                <w:b w:val="1"/>
                <w:bCs w:val="1"/>
                <w:color w:val="003B71"/>
              </w:rPr>
              <w:t>Independence, Committees and Meetings</w:t>
            </w:r>
          </w:p>
        </w:tc>
        <w:tc>
          <w:tcPr>
            <w:tcW w:w="1100" w:type="dxa"/>
            <w:vAlign w:val="bottom"/>
            <w:tcBorders>
              <w:bottom w:val="single" w:sz="8" w:color="003B71"/>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2"/>
          </w:tcPr>
          <w:p>
            <w:pPr>
              <w:jc w:val="center"/>
              <w:ind w:left="266"/>
              <w:spacing w:after="0" w:line="143" w:lineRule="exact"/>
              <w:rPr>
                <w:sz w:val="20"/>
                <w:szCs w:val="20"/>
                <w:color w:val="auto"/>
              </w:rPr>
            </w:pPr>
            <w:r>
              <w:rPr>
                <w:rFonts w:ascii="Arial" w:cs="Arial" w:eastAsia="Arial" w:hAnsi="Arial"/>
                <w:sz w:val="14"/>
                <w:szCs w:val="14"/>
                <w:b w:val="1"/>
                <w:bCs w:val="1"/>
                <w:color w:val="003B71"/>
              </w:rPr>
              <w:t>Nominating</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2"/>
          </w:tcPr>
          <w:p>
            <w:pPr>
              <w:jc w:val="center"/>
              <w:ind w:left="286"/>
              <w:spacing w:after="0"/>
              <w:rPr>
                <w:sz w:val="20"/>
                <w:szCs w:val="20"/>
                <w:color w:val="auto"/>
              </w:rPr>
            </w:pPr>
            <w:r>
              <w:rPr>
                <w:rFonts w:ascii="Arial" w:cs="Arial" w:eastAsia="Arial" w:hAnsi="Arial"/>
                <w:sz w:val="14"/>
                <w:szCs w:val="14"/>
                <w:b w:val="1"/>
                <w:bCs w:val="1"/>
                <w:color w:val="003B71"/>
              </w:rPr>
              <w:t>and Corporate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3B71"/>
              </w:rPr>
              <w:t>Board of</w:t>
            </w:r>
          </w:p>
        </w:tc>
        <w:tc>
          <w:tcPr>
            <w:tcW w:w="1280" w:type="dxa"/>
            <w:vAlign w:val="bottom"/>
            <w:gridSpan w:val="2"/>
          </w:tcPr>
          <w:p>
            <w:pPr>
              <w:ind w:left="620"/>
              <w:spacing w:after="0"/>
              <w:rPr>
                <w:sz w:val="20"/>
                <w:szCs w:val="20"/>
                <w:color w:val="auto"/>
              </w:rPr>
            </w:pPr>
            <w:r>
              <w:rPr>
                <w:rFonts w:ascii="Arial" w:cs="Arial" w:eastAsia="Arial" w:hAnsi="Arial"/>
                <w:sz w:val="14"/>
                <w:szCs w:val="14"/>
                <w:b w:val="1"/>
                <w:bCs w:val="1"/>
                <w:color w:val="003B71"/>
              </w:rPr>
              <w:t>Audit</w:t>
            </w:r>
          </w:p>
        </w:tc>
        <w:tc>
          <w:tcPr>
            <w:tcW w:w="1360" w:type="dxa"/>
            <w:vAlign w:val="bottom"/>
            <w:gridSpan w:val="2"/>
          </w:tcPr>
          <w:p>
            <w:pPr>
              <w:jc w:val="center"/>
              <w:ind w:left="246"/>
              <w:spacing w:after="0"/>
              <w:rPr>
                <w:sz w:val="20"/>
                <w:szCs w:val="20"/>
                <w:color w:val="auto"/>
              </w:rPr>
            </w:pPr>
            <w:r>
              <w:rPr>
                <w:rFonts w:ascii="Arial" w:cs="Arial" w:eastAsia="Arial" w:hAnsi="Arial"/>
                <w:sz w:val="14"/>
                <w:szCs w:val="14"/>
                <w:b w:val="1"/>
                <w:bCs w:val="1"/>
                <w:color w:val="003B71"/>
              </w:rPr>
              <w:t>Compensation</w:t>
            </w:r>
          </w:p>
        </w:tc>
        <w:tc>
          <w:tcPr>
            <w:tcW w:w="1340" w:type="dxa"/>
            <w:vAlign w:val="bottom"/>
            <w:gridSpan w:val="2"/>
          </w:tcPr>
          <w:p>
            <w:pPr>
              <w:jc w:val="center"/>
              <w:ind w:left="266"/>
              <w:spacing w:after="0"/>
              <w:rPr>
                <w:sz w:val="20"/>
                <w:szCs w:val="20"/>
                <w:color w:val="auto"/>
              </w:rPr>
            </w:pPr>
            <w:r>
              <w:rPr>
                <w:rFonts w:ascii="Arial" w:cs="Arial" w:eastAsia="Arial" w:hAnsi="Arial"/>
                <w:sz w:val="14"/>
                <w:szCs w:val="14"/>
                <w:b w:val="1"/>
                <w:bCs w:val="1"/>
                <w:color w:val="003B71"/>
              </w:rPr>
              <w:t>Governance</w:t>
            </w:r>
          </w:p>
        </w:tc>
        <w:tc>
          <w:tcPr>
            <w:tcW w:w="1100" w:type="dxa"/>
            <w:vAlign w:val="bottom"/>
          </w:tcPr>
          <w:p>
            <w:pPr>
              <w:jc w:val="center"/>
              <w:ind w:left="286"/>
              <w:spacing w:after="0"/>
              <w:rPr>
                <w:sz w:val="20"/>
                <w:szCs w:val="20"/>
                <w:color w:val="auto"/>
              </w:rPr>
            </w:pPr>
            <w:r>
              <w:rPr>
                <w:rFonts w:ascii="Arial" w:cs="Arial" w:eastAsia="Arial" w:hAnsi="Arial"/>
                <w:sz w:val="14"/>
                <w:szCs w:val="14"/>
                <w:b w:val="1"/>
                <w:bCs w:val="1"/>
                <w:color w:val="003B71"/>
              </w:rPr>
              <w:t>Finance</w:t>
            </w:r>
          </w:p>
        </w:tc>
        <w:tc>
          <w:tcPr>
            <w:tcW w:w="0" w:type="dxa"/>
            <w:vAlign w:val="bottom"/>
          </w:tcPr>
          <w:p>
            <w:pPr>
              <w:spacing w:after="0"/>
              <w:rPr>
                <w:sz w:val="1"/>
                <w:szCs w:val="1"/>
                <w:color w:val="auto"/>
              </w:rPr>
            </w:pPr>
          </w:p>
        </w:tc>
      </w:tr>
      <w:tr>
        <w:trPr>
          <w:trHeight w:val="175"/>
        </w:trPr>
        <w:tc>
          <w:tcPr>
            <w:tcW w:w="4360" w:type="dxa"/>
            <w:vAlign w:val="bottom"/>
            <w:tcBorders>
              <w:bottom w:val="single" w:sz="8" w:color="003B71"/>
            </w:tcBorders>
          </w:tcPr>
          <w:p>
            <w:pPr>
              <w:ind w:left="80"/>
              <w:spacing w:after="0"/>
              <w:rPr>
                <w:sz w:val="20"/>
                <w:szCs w:val="20"/>
                <w:color w:val="auto"/>
              </w:rPr>
            </w:pPr>
            <w:r>
              <w:rPr>
                <w:rFonts w:ascii="Arial" w:cs="Arial" w:eastAsia="Arial" w:hAnsi="Arial"/>
                <w:sz w:val="14"/>
                <w:szCs w:val="14"/>
                <w:b w:val="1"/>
                <w:bCs w:val="1"/>
                <w:color w:val="003B71"/>
              </w:rPr>
              <w:t>Director</w:t>
            </w:r>
          </w:p>
        </w:tc>
        <w:tc>
          <w:tcPr>
            <w:tcW w:w="340" w:type="dxa"/>
            <w:vAlign w:val="bottom"/>
            <w:tcBorders>
              <w:bottom w:val="single" w:sz="8" w:color="003B71"/>
            </w:tcBorders>
          </w:tcPr>
          <w:p>
            <w:pPr>
              <w:spacing w:after="0"/>
              <w:rPr>
                <w:sz w:val="15"/>
                <w:szCs w:val="15"/>
                <w:color w:val="auto"/>
              </w:rPr>
            </w:pPr>
          </w:p>
        </w:tc>
        <w:tc>
          <w:tcPr>
            <w:tcW w:w="84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Directors(6)</w:t>
            </w:r>
          </w:p>
        </w:tc>
        <w:tc>
          <w:tcPr>
            <w:tcW w:w="1280" w:type="dxa"/>
            <w:vAlign w:val="bottom"/>
            <w:tcBorders>
              <w:bottom w:val="single" w:sz="8" w:color="003B71"/>
            </w:tcBorders>
            <w:gridSpan w:val="2"/>
          </w:tcPr>
          <w:p>
            <w:pPr>
              <w:jc w:val="center"/>
              <w:ind w:left="246"/>
              <w:spacing w:after="0"/>
              <w:rPr>
                <w:sz w:val="20"/>
                <w:szCs w:val="20"/>
                <w:color w:val="auto"/>
              </w:rPr>
            </w:pPr>
            <w:r>
              <w:rPr>
                <w:rFonts w:ascii="Arial" w:cs="Arial" w:eastAsia="Arial" w:hAnsi="Arial"/>
                <w:sz w:val="14"/>
                <w:szCs w:val="14"/>
                <w:b w:val="1"/>
                <w:bCs w:val="1"/>
                <w:color w:val="003B71"/>
              </w:rPr>
              <w:t>Committee(6)</w:t>
            </w:r>
          </w:p>
        </w:tc>
        <w:tc>
          <w:tcPr>
            <w:tcW w:w="1360" w:type="dxa"/>
            <w:vAlign w:val="bottom"/>
            <w:tcBorders>
              <w:bottom w:val="single" w:sz="8" w:color="003B71"/>
            </w:tcBorders>
            <w:gridSpan w:val="2"/>
          </w:tcPr>
          <w:p>
            <w:pPr>
              <w:jc w:val="center"/>
              <w:ind w:left="246"/>
              <w:spacing w:after="0"/>
              <w:rPr>
                <w:sz w:val="20"/>
                <w:szCs w:val="20"/>
                <w:color w:val="auto"/>
              </w:rPr>
            </w:pPr>
            <w:r>
              <w:rPr>
                <w:rFonts w:ascii="Arial" w:cs="Arial" w:eastAsia="Arial" w:hAnsi="Arial"/>
                <w:sz w:val="14"/>
                <w:szCs w:val="14"/>
                <w:b w:val="1"/>
                <w:bCs w:val="1"/>
                <w:color w:val="003B71"/>
              </w:rPr>
              <w:t>Committee</w:t>
            </w:r>
          </w:p>
        </w:tc>
        <w:tc>
          <w:tcPr>
            <w:tcW w:w="1340" w:type="dxa"/>
            <w:vAlign w:val="bottom"/>
            <w:tcBorders>
              <w:bottom w:val="single" w:sz="8" w:color="003B71"/>
            </w:tcBorders>
            <w:gridSpan w:val="2"/>
          </w:tcPr>
          <w:p>
            <w:pPr>
              <w:jc w:val="center"/>
              <w:ind w:left="286"/>
              <w:spacing w:after="0"/>
              <w:rPr>
                <w:sz w:val="20"/>
                <w:szCs w:val="20"/>
                <w:color w:val="auto"/>
              </w:rPr>
            </w:pPr>
            <w:r>
              <w:rPr>
                <w:rFonts w:ascii="Arial" w:cs="Arial" w:eastAsia="Arial" w:hAnsi="Arial"/>
                <w:sz w:val="14"/>
                <w:szCs w:val="14"/>
                <w:b w:val="1"/>
                <w:bCs w:val="1"/>
                <w:color w:val="003B71"/>
              </w:rPr>
              <w:t>Committee</w:t>
            </w:r>
          </w:p>
        </w:tc>
        <w:tc>
          <w:tcPr>
            <w:tcW w:w="1100" w:type="dxa"/>
            <w:vAlign w:val="bottom"/>
            <w:tcBorders>
              <w:bottom w:val="single" w:sz="8" w:color="003B71"/>
            </w:tcBorders>
          </w:tcPr>
          <w:p>
            <w:pPr>
              <w:jc w:val="center"/>
              <w:ind w:left="286"/>
              <w:spacing w:after="0"/>
              <w:rPr>
                <w:sz w:val="20"/>
                <w:szCs w:val="20"/>
                <w:color w:val="auto"/>
              </w:rPr>
            </w:pPr>
            <w:r>
              <w:rPr>
                <w:rFonts w:ascii="Arial" w:cs="Arial" w:eastAsia="Arial" w:hAnsi="Arial"/>
                <w:sz w:val="14"/>
                <w:szCs w:val="14"/>
                <w:b w:val="1"/>
                <w:bCs w:val="1"/>
                <w:color w:val="003B71"/>
              </w:rPr>
              <w:t>Committee</w:t>
            </w:r>
          </w:p>
        </w:tc>
        <w:tc>
          <w:tcPr>
            <w:tcW w:w="0" w:type="dxa"/>
            <w:vAlign w:val="bottom"/>
          </w:tcPr>
          <w:p>
            <w:pPr>
              <w:spacing w:after="0"/>
              <w:rPr>
                <w:sz w:val="1"/>
                <w:szCs w:val="1"/>
                <w:color w:val="auto"/>
              </w:rPr>
            </w:pPr>
          </w:p>
        </w:tc>
      </w:tr>
      <w:tr>
        <w:trPr>
          <w:trHeight w:val="298"/>
        </w:trPr>
        <w:tc>
          <w:tcPr>
            <w:tcW w:w="43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James P. Chambers(1)</w:t>
            </w:r>
          </w:p>
        </w:tc>
        <w:tc>
          <w:tcPr>
            <w:tcW w:w="340" w:type="dxa"/>
            <w:vAlign w:val="bottom"/>
            <w:tcBorders>
              <w:left w:val="single" w:sz="8" w:color="E5E5E5"/>
              <w:bottom w:val="single" w:sz="8" w:color="E5E5E5"/>
            </w:tcBorders>
            <w:shd w:val="clear" w:color="auto" w:fill="E5E5E5"/>
          </w:tcPr>
          <w:p>
            <w:pPr>
              <w:spacing w:after="0"/>
              <w:rPr>
                <w:sz w:val="24"/>
                <w:szCs w:val="24"/>
                <w:color w:val="auto"/>
              </w:rPr>
            </w:pPr>
          </w:p>
        </w:tc>
        <w:tc>
          <w:tcPr>
            <w:tcW w:w="8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I</w:t>
            </w:r>
          </w:p>
        </w:tc>
        <w:tc>
          <w:tcPr>
            <w:tcW w:w="1280" w:type="dxa"/>
            <w:vAlign w:val="bottom"/>
            <w:tcBorders>
              <w:bottom w:val="single" w:sz="8" w:color="E5E5E5"/>
            </w:tcBorders>
            <w:gridSpan w:val="2"/>
            <w:shd w:val="clear" w:color="auto" w:fill="E5E5E5"/>
          </w:tcPr>
          <w:p>
            <w:pPr>
              <w:ind w:left="740"/>
              <w:spacing w:after="0"/>
              <w:rPr>
                <w:sz w:val="20"/>
                <w:szCs w:val="20"/>
                <w:color w:val="auto"/>
              </w:rPr>
            </w:pPr>
            <w:r>
              <w:rPr>
                <w:rFonts w:ascii="Arial" w:cs="Arial" w:eastAsia="Arial" w:hAnsi="Arial"/>
                <w:sz w:val="14"/>
                <w:szCs w:val="14"/>
                <w:b w:val="1"/>
                <w:bCs w:val="1"/>
                <w:color w:val="auto"/>
              </w:rPr>
              <w:t>M</w:t>
            </w:r>
          </w:p>
        </w:tc>
        <w:tc>
          <w:tcPr>
            <w:tcW w:w="1360" w:type="dxa"/>
            <w:vAlign w:val="bottom"/>
            <w:tcBorders>
              <w:bottom w:val="single" w:sz="8" w:color="E5E5E5"/>
            </w:tcBorders>
            <w:gridSpan w:val="2"/>
            <w:shd w:val="clear" w:color="auto" w:fill="E5E5E5"/>
          </w:tcPr>
          <w:p>
            <w:pPr>
              <w:jc w:val="center"/>
              <w:ind w:left="246"/>
              <w:spacing w:after="0"/>
              <w:rPr>
                <w:sz w:val="20"/>
                <w:szCs w:val="20"/>
                <w:color w:val="auto"/>
              </w:rPr>
            </w:pPr>
            <w:r>
              <w:rPr>
                <w:rFonts w:ascii="Arial" w:cs="Arial" w:eastAsia="Arial" w:hAnsi="Arial"/>
                <w:sz w:val="14"/>
                <w:szCs w:val="14"/>
                <w:b w:val="1"/>
                <w:bCs w:val="1"/>
                <w:color w:val="auto"/>
              </w:rPr>
              <w:t>M</w:t>
            </w:r>
          </w:p>
        </w:tc>
        <w:tc>
          <w:tcPr>
            <w:tcW w:w="132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100" w:type="dxa"/>
            <w:vAlign w:val="bottom"/>
            <w:tcBorders>
              <w:bottom w:val="single" w:sz="8" w:color="E5E5E5"/>
            </w:tcBorders>
            <w:shd w:val="clear" w:color="auto" w:fill="E5E5E5"/>
          </w:tcPr>
          <w:p>
            <w:pPr>
              <w:jc w:val="center"/>
              <w:ind w:left="306"/>
              <w:spacing w:after="0"/>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285"/>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Hamish A. Dodds</w:t>
            </w:r>
          </w:p>
        </w:tc>
        <w:tc>
          <w:tcPr>
            <w:tcW w:w="340" w:type="dxa"/>
            <w:vAlign w:val="bottom"/>
            <w:tcBorders>
              <w:left w:val="single" w:sz="8" w:color="E5E5E5"/>
            </w:tcBorders>
          </w:tcPr>
          <w:p>
            <w:pPr>
              <w:spacing w:after="0"/>
              <w:rPr>
                <w:sz w:val="24"/>
                <w:szCs w:val="24"/>
                <w:color w:val="auto"/>
              </w:rPr>
            </w:pPr>
          </w:p>
        </w:tc>
        <w:tc>
          <w:tcPr>
            <w:tcW w:w="8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rPr>
              <w:t>I</w:t>
            </w:r>
          </w:p>
        </w:tc>
        <w:tc>
          <w:tcPr>
            <w:tcW w:w="1260" w:type="dxa"/>
            <w:vAlign w:val="bottom"/>
          </w:tcPr>
          <w:p>
            <w:pPr>
              <w:ind w:left="740"/>
              <w:spacing w:after="0"/>
              <w:rPr>
                <w:sz w:val="20"/>
                <w:szCs w:val="20"/>
                <w:color w:val="auto"/>
              </w:rPr>
            </w:pPr>
            <w:r>
              <w:rPr>
                <w:rFonts w:ascii="Arial" w:cs="Arial" w:eastAsia="Arial" w:hAnsi="Arial"/>
                <w:sz w:val="14"/>
                <w:szCs w:val="14"/>
                <w:b w:val="1"/>
                <w:bCs w:val="1"/>
                <w:color w:val="auto"/>
              </w:rPr>
              <w:t>M</w:t>
            </w:r>
          </w:p>
        </w:tc>
        <w:tc>
          <w:tcPr>
            <w:tcW w:w="20" w:type="dxa"/>
            <w:vAlign w:val="bottom"/>
            <w:shd w:val="clear" w:color="auto" w:fill="E5E5E5"/>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shd w:val="clear" w:color="auto" w:fill="E5E5E5"/>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shd w:val="clear" w:color="auto" w:fill="E5E5E5"/>
          </w:tcPr>
          <w:p>
            <w:pPr>
              <w:spacing w:after="0"/>
              <w:rPr>
                <w:sz w:val="24"/>
                <w:szCs w:val="24"/>
                <w:color w:val="auto"/>
              </w:rPr>
            </w:pPr>
          </w:p>
        </w:tc>
        <w:tc>
          <w:tcPr>
            <w:tcW w:w="1100" w:type="dxa"/>
            <w:vAlign w:val="bottom"/>
          </w:tcPr>
          <w:p>
            <w:pPr>
              <w:jc w:val="center"/>
              <w:ind w:left="306"/>
              <w:spacing w:after="0"/>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53"/>
        </w:trPr>
        <w:tc>
          <w:tcPr>
            <w:tcW w:w="4360" w:type="dxa"/>
            <w:vAlign w:val="bottom"/>
          </w:tcPr>
          <w:p>
            <w:pPr>
              <w:spacing w:after="0"/>
              <w:rPr>
                <w:sz w:val="4"/>
                <w:szCs w:val="4"/>
                <w:color w:val="auto"/>
              </w:rPr>
            </w:pPr>
          </w:p>
        </w:tc>
        <w:tc>
          <w:tcPr>
            <w:tcW w:w="340" w:type="dxa"/>
            <w:vAlign w:val="bottom"/>
            <w:tcBorders>
              <w:left w:val="single" w:sz="8" w:color="E5E5E5"/>
            </w:tcBorders>
          </w:tcPr>
          <w:p>
            <w:pPr>
              <w:spacing w:after="0"/>
              <w:rPr>
                <w:sz w:val="4"/>
                <w:szCs w:val="4"/>
                <w:color w:val="auto"/>
              </w:rPr>
            </w:pPr>
          </w:p>
        </w:tc>
        <w:tc>
          <w:tcPr>
            <w:tcW w:w="840" w:type="dxa"/>
            <w:vAlign w:val="bottom"/>
            <w:tcBorders>
              <w:right w:val="single" w:sz="8" w:color="E5E5E5"/>
            </w:tcBorders>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Michael J. Griffith(2)</w:t>
            </w:r>
          </w:p>
        </w:tc>
        <w:tc>
          <w:tcPr>
            <w:tcW w:w="340" w:type="dxa"/>
            <w:vAlign w:val="bottom"/>
            <w:tcBorders>
              <w:left w:val="single" w:sz="8" w:color="E5E5E5"/>
              <w:bottom w:val="single" w:sz="8" w:color="E5E5E5"/>
            </w:tcBorders>
            <w:shd w:val="clear" w:color="auto" w:fill="E5E5E5"/>
          </w:tcPr>
          <w:p>
            <w:pPr>
              <w:spacing w:after="0"/>
              <w:rPr>
                <w:sz w:val="24"/>
                <w:szCs w:val="24"/>
                <w:color w:val="auto"/>
              </w:rPr>
            </w:pPr>
          </w:p>
        </w:tc>
        <w:tc>
          <w:tcPr>
            <w:tcW w:w="8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LID</w:t>
            </w:r>
          </w:p>
        </w:tc>
        <w:tc>
          <w:tcPr>
            <w:tcW w:w="126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360" w:type="dxa"/>
            <w:vAlign w:val="bottom"/>
            <w:tcBorders>
              <w:bottom w:val="single" w:sz="8" w:color="E5E5E5"/>
            </w:tcBorders>
            <w:gridSpan w:val="2"/>
            <w:shd w:val="clear" w:color="auto" w:fill="E5E5E5"/>
          </w:tcPr>
          <w:p>
            <w:pPr>
              <w:jc w:val="center"/>
              <w:ind w:left="246"/>
              <w:spacing w:after="0"/>
              <w:rPr>
                <w:sz w:val="20"/>
                <w:szCs w:val="20"/>
                <w:color w:val="auto"/>
              </w:rPr>
            </w:pPr>
            <w:r>
              <w:rPr>
                <w:rFonts w:ascii="Arial" w:cs="Arial" w:eastAsia="Arial" w:hAnsi="Arial"/>
                <w:sz w:val="14"/>
                <w:szCs w:val="14"/>
                <w:b w:val="1"/>
                <w:bCs w:val="1"/>
                <w:color w:val="auto"/>
              </w:rPr>
              <w:t>C</w:t>
            </w:r>
          </w:p>
        </w:tc>
        <w:tc>
          <w:tcPr>
            <w:tcW w:w="132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100" w:type="dxa"/>
            <w:vAlign w:val="bottom"/>
            <w:tcBorders>
              <w:bottom w:val="single" w:sz="8" w:color="E5E5E5"/>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Jonathan S. Halkyard(3)</w:t>
            </w:r>
          </w:p>
        </w:tc>
        <w:tc>
          <w:tcPr>
            <w:tcW w:w="340" w:type="dxa"/>
            <w:vAlign w:val="bottom"/>
            <w:tcBorders>
              <w:left w:val="single" w:sz="8" w:color="E5E5E5"/>
            </w:tcBorders>
          </w:tcPr>
          <w:p>
            <w:pPr>
              <w:spacing w:after="0"/>
              <w:rPr>
                <w:sz w:val="24"/>
                <w:szCs w:val="24"/>
                <w:color w:val="auto"/>
              </w:rPr>
            </w:pPr>
          </w:p>
        </w:tc>
        <w:tc>
          <w:tcPr>
            <w:tcW w:w="8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rPr>
              <w:t>I</w:t>
            </w:r>
          </w:p>
        </w:tc>
        <w:tc>
          <w:tcPr>
            <w:tcW w:w="1260" w:type="dxa"/>
            <w:vAlign w:val="bottom"/>
          </w:tcPr>
          <w:p>
            <w:pPr>
              <w:ind w:left="740"/>
              <w:spacing w:after="0"/>
              <w:rPr>
                <w:sz w:val="20"/>
                <w:szCs w:val="20"/>
                <w:color w:val="auto"/>
              </w:rPr>
            </w:pPr>
            <w:r>
              <w:rPr>
                <w:rFonts w:ascii="Arial" w:cs="Arial" w:eastAsia="Arial" w:hAnsi="Arial"/>
                <w:sz w:val="14"/>
                <w:szCs w:val="14"/>
                <w:b w:val="1"/>
                <w:bCs w:val="1"/>
                <w:color w:val="auto"/>
              </w:rPr>
              <w:t>M</w:t>
            </w:r>
          </w:p>
        </w:tc>
        <w:tc>
          <w:tcPr>
            <w:tcW w:w="20" w:type="dxa"/>
            <w:vAlign w:val="bottom"/>
            <w:shd w:val="clear" w:color="auto" w:fill="E5E5E5"/>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shd w:val="clear" w:color="auto" w:fill="E5E5E5"/>
          </w:tcPr>
          <w:p>
            <w:pPr>
              <w:spacing w:after="0"/>
              <w:rPr>
                <w:sz w:val="24"/>
                <w:szCs w:val="24"/>
                <w:color w:val="auto"/>
              </w:rPr>
            </w:pPr>
          </w:p>
        </w:tc>
        <w:tc>
          <w:tcPr>
            <w:tcW w:w="1320" w:type="dxa"/>
            <w:vAlign w:val="bottom"/>
          </w:tcPr>
          <w:p>
            <w:pPr>
              <w:jc w:val="center"/>
              <w:ind w:left="286"/>
              <w:spacing w:after="0"/>
              <w:rPr>
                <w:sz w:val="20"/>
                <w:szCs w:val="20"/>
                <w:color w:val="auto"/>
              </w:rPr>
            </w:pPr>
            <w:r>
              <w:rPr>
                <w:rFonts w:ascii="Arial" w:cs="Arial" w:eastAsia="Arial" w:hAnsi="Arial"/>
                <w:sz w:val="14"/>
                <w:szCs w:val="14"/>
                <w:b w:val="1"/>
                <w:bCs w:val="1"/>
                <w:color w:val="auto"/>
              </w:rPr>
              <w:t>M</w:t>
            </w:r>
          </w:p>
        </w:tc>
        <w:tc>
          <w:tcPr>
            <w:tcW w:w="20" w:type="dxa"/>
            <w:vAlign w:val="bottom"/>
            <w:shd w:val="clear" w:color="auto" w:fill="E5E5E5"/>
          </w:tcPr>
          <w:p>
            <w:pPr>
              <w:spacing w:after="0"/>
              <w:rPr>
                <w:sz w:val="24"/>
                <w:szCs w:val="24"/>
                <w:color w:val="auto"/>
              </w:rPr>
            </w:pPr>
          </w:p>
        </w:tc>
        <w:tc>
          <w:tcPr>
            <w:tcW w:w="1100" w:type="dxa"/>
            <w:vAlign w:val="bottom"/>
          </w:tcPr>
          <w:p>
            <w:pPr>
              <w:jc w:val="center"/>
              <w:ind w:left="306"/>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53"/>
        </w:trPr>
        <w:tc>
          <w:tcPr>
            <w:tcW w:w="4360" w:type="dxa"/>
            <w:vAlign w:val="bottom"/>
          </w:tcPr>
          <w:p>
            <w:pPr>
              <w:spacing w:after="0"/>
              <w:rPr>
                <w:sz w:val="4"/>
                <w:szCs w:val="4"/>
                <w:color w:val="auto"/>
              </w:rPr>
            </w:pPr>
          </w:p>
        </w:tc>
        <w:tc>
          <w:tcPr>
            <w:tcW w:w="340" w:type="dxa"/>
            <w:vAlign w:val="bottom"/>
            <w:tcBorders>
              <w:left w:val="single" w:sz="8" w:color="E5E5E5"/>
            </w:tcBorders>
          </w:tcPr>
          <w:p>
            <w:pPr>
              <w:spacing w:after="0"/>
              <w:rPr>
                <w:sz w:val="4"/>
                <w:szCs w:val="4"/>
                <w:color w:val="auto"/>
              </w:rPr>
            </w:pPr>
          </w:p>
        </w:tc>
        <w:tc>
          <w:tcPr>
            <w:tcW w:w="840" w:type="dxa"/>
            <w:vAlign w:val="bottom"/>
            <w:tcBorders>
              <w:right w:val="single" w:sz="8" w:color="E5E5E5"/>
            </w:tcBorders>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John C. Hockin</w:t>
            </w:r>
          </w:p>
        </w:tc>
        <w:tc>
          <w:tcPr>
            <w:tcW w:w="340" w:type="dxa"/>
            <w:vAlign w:val="bottom"/>
            <w:tcBorders>
              <w:left w:val="single" w:sz="8" w:color="E5E5E5"/>
              <w:bottom w:val="single" w:sz="8" w:color="E5E5E5"/>
            </w:tcBorders>
            <w:shd w:val="clear" w:color="auto" w:fill="E5E5E5"/>
          </w:tcPr>
          <w:p>
            <w:pPr>
              <w:spacing w:after="0"/>
              <w:rPr>
                <w:sz w:val="24"/>
                <w:szCs w:val="24"/>
                <w:color w:val="auto"/>
              </w:rPr>
            </w:pPr>
          </w:p>
        </w:tc>
        <w:tc>
          <w:tcPr>
            <w:tcW w:w="8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I</w:t>
            </w:r>
          </w:p>
        </w:tc>
        <w:tc>
          <w:tcPr>
            <w:tcW w:w="126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360" w:type="dxa"/>
            <w:vAlign w:val="bottom"/>
            <w:tcBorders>
              <w:bottom w:val="single" w:sz="8" w:color="E5E5E5"/>
            </w:tcBorders>
            <w:gridSpan w:val="2"/>
            <w:shd w:val="clear" w:color="auto" w:fill="E5E5E5"/>
          </w:tcPr>
          <w:p>
            <w:pPr>
              <w:jc w:val="center"/>
              <w:ind w:left="246"/>
              <w:spacing w:after="0"/>
              <w:rPr>
                <w:sz w:val="20"/>
                <w:szCs w:val="20"/>
                <w:color w:val="auto"/>
              </w:rPr>
            </w:pPr>
            <w:r>
              <w:rPr>
                <w:rFonts w:ascii="Arial" w:cs="Arial" w:eastAsia="Arial" w:hAnsi="Arial"/>
                <w:sz w:val="14"/>
                <w:szCs w:val="14"/>
                <w:b w:val="1"/>
                <w:bCs w:val="1"/>
                <w:color w:val="auto"/>
              </w:rPr>
              <w:t>M</w:t>
            </w:r>
          </w:p>
        </w:tc>
        <w:tc>
          <w:tcPr>
            <w:tcW w:w="132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100" w:type="dxa"/>
            <w:vAlign w:val="bottom"/>
            <w:tcBorders>
              <w:bottom w:val="single" w:sz="8" w:color="E5E5E5"/>
            </w:tcBorders>
            <w:shd w:val="clear" w:color="auto" w:fill="E5E5E5"/>
          </w:tcPr>
          <w:p>
            <w:pPr>
              <w:jc w:val="center"/>
              <w:ind w:left="306"/>
              <w:spacing w:after="0"/>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285"/>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Brian A. Jenkins(4)</w:t>
            </w:r>
          </w:p>
        </w:tc>
        <w:tc>
          <w:tcPr>
            <w:tcW w:w="340" w:type="dxa"/>
            <w:vAlign w:val="bottom"/>
            <w:tcBorders>
              <w:left w:val="single" w:sz="8" w:color="E5E5E5"/>
            </w:tcBorders>
          </w:tcPr>
          <w:p>
            <w:pPr>
              <w:spacing w:after="0"/>
              <w:rPr>
                <w:sz w:val="24"/>
                <w:szCs w:val="24"/>
                <w:color w:val="auto"/>
              </w:rPr>
            </w:pPr>
          </w:p>
        </w:tc>
        <w:tc>
          <w:tcPr>
            <w:tcW w:w="8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rPr>
              <w:t>CEO</w:t>
            </w:r>
          </w:p>
        </w:tc>
        <w:tc>
          <w:tcPr>
            <w:tcW w:w="1260" w:type="dxa"/>
            <w:vAlign w:val="bottom"/>
          </w:tcPr>
          <w:p>
            <w:pPr>
              <w:spacing w:after="0"/>
              <w:rPr>
                <w:sz w:val="24"/>
                <w:szCs w:val="24"/>
                <w:color w:val="auto"/>
              </w:rPr>
            </w:pPr>
          </w:p>
        </w:tc>
        <w:tc>
          <w:tcPr>
            <w:tcW w:w="20" w:type="dxa"/>
            <w:vAlign w:val="bottom"/>
            <w:shd w:val="clear" w:color="auto" w:fill="E5E5E5"/>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shd w:val="clear" w:color="auto" w:fill="E5E5E5"/>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shd w:val="clear" w:color="auto" w:fill="E5E5E5"/>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360" w:type="dxa"/>
            <w:vAlign w:val="bottom"/>
          </w:tcPr>
          <w:p>
            <w:pPr>
              <w:spacing w:after="0"/>
              <w:rPr>
                <w:sz w:val="4"/>
                <w:szCs w:val="4"/>
                <w:color w:val="auto"/>
              </w:rPr>
            </w:pPr>
          </w:p>
        </w:tc>
        <w:tc>
          <w:tcPr>
            <w:tcW w:w="340" w:type="dxa"/>
            <w:vAlign w:val="bottom"/>
            <w:tcBorders>
              <w:left w:val="single" w:sz="8" w:color="E5E5E5"/>
            </w:tcBorders>
          </w:tcPr>
          <w:p>
            <w:pPr>
              <w:spacing w:after="0"/>
              <w:rPr>
                <w:sz w:val="4"/>
                <w:szCs w:val="4"/>
                <w:color w:val="auto"/>
              </w:rPr>
            </w:pPr>
          </w:p>
        </w:tc>
        <w:tc>
          <w:tcPr>
            <w:tcW w:w="840" w:type="dxa"/>
            <w:vAlign w:val="bottom"/>
            <w:tcBorders>
              <w:right w:val="single" w:sz="8" w:color="E5E5E5"/>
            </w:tcBorders>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Stephen M. King(2)(5)</w:t>
            </w:r>
          </w:p>
        </w:tc>
        <w:tc>
          <w:tcPr>
            <w:tcW w:w="340" w:type="dxa"/>
            <w:vAlign w:val="bottom"/>
            <w:tcBorders>
              <w:left w:val="single" w:sz="8" w:color="E5E5E5"/>
              <w:bottom w:val="single" w:sz="8" w:color="E5E5E5"/>
            </w:tcBorders>
            <w:shd w:val="clear" w:color="auto" w:fill="E5E5E5"/>
          </w:tcPr>
          <w:p>
            <w:pPr>
              <w:spacing w:after="0"/>
              <w:rPr>
                <w:sz w:val="24"/>
                <w:szCs w:val="24"/>
                <w:color w:val="auto"/>
              </w:rPr>
            </w:pPr>
          </w:p>
        </w:tc>
        <w:tc>
          <w:tcPr>
            <w:tcW w:w="8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COB</w:t>
            </w:r>
          </w:p>
        </w:tc>
        <w:tc>
          <w:tcPr>
            <w:tcW w:w="126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34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32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100" w:type="dxa"/>
            <w:vAlign w:val="bottom"/>
            <w:tcBorders>
              <w:bottom w:val="single" w:sz="8" w:color="E5E5E5"/>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Patricia H. Mueller</w:t>
            </w:r>
          </w:p>
        </w:tc>
        <w:tc>
          <w:tcPr>
            <w:tcW w:w="340" w:type="dxa"/>
            <w:vAlign w:val="bottom"/>
            <w:tcBorders>
              <w:left w:val="single" w:sz="8" w:color="E5E5E5"/>
            </w:tcBorders>
          </w:tcPr>
          <w:p>
            <w:pPr>
              <w:spacing w:after="0"/>
              <w:rPr>
                <w:sz w:val="24"/>
                <w:szCs w:val="24"/>
                <w:color w:val="auto"/>
              </w:rPr>
            </w:pPr>
          </w:p>
        </w:tc>
        <w:tc>
          <w:tcPr>
            <w:tcW w:w="8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rPr>
              <w:t>I</w:t>
            </w:r>
          </w:p>
        </w:tc>
        <w:tc>
          <w:tcPr>
            <w:tcW w:w="1260" w:type="dxa"/>
            <w:vAlign w:val="bottom"/>
          </w:tcPr>
          <w:p>
            <w:pPr>
              <w:spacing w:after="0"/>
              <w:rPr>
                <w:sz w:val="24"/>
                <w:szCs w:val="24"/>
                <w:color w:val="auto"/>
              </w:rPr>
            </w:pPr>
          </w:p>
        </w:tc>
        <w:tc>
          <w:tcPr>
            <w:tcW w:w="20" w:type="dxa"/>
            <w:vAlign w:val="bottom"/>
            <w:shd w:val="clear" w:color="auto" w:fill="E5E5E5"/>
          </w:tcPr>
          <w:p>
            <w:pPr>
              <w:spacing w:after="0"/>
              <w:rPr>
                <w:sz w:val="24"/>
                <w:szCs w:val="24"/>
                <w:color w:val="auto"/>
              </w:rPr>
            </w:pPr>
          </w:p>
        </w:tc>
        <w:tc>
          <w:tcPr>
            <w:tcW w:w="1340" w:type="dxa"/>
            <w:vAlign w:val="bottom"/>
          </w:tcPr>
          <w:p>
            <w:pPr>
              <w:jc w:val="center"/>
              <w:ind w:left="266"/>
              <w:spacing w:after="0"/>
              <w:rPr>
                <w:sz w:val="20"/>
                <w:szCs w:val="20"/>
                <w:color w:val="auto"/>
              </w:rPr>
            </w:pPr>
            <w:r>
              <w:rPr>
                <w:rFonts w:ascii="Arial" w:cs="Arial" w:eastAsia="Arial" w:hAnsi="Arial"/>
                <w:sz w:val="14"/>
                <w:szCs w:val="14"/>
                <w:b w:val="1"/>
                <w:bCs w:val="1"/>
                <w:color w:val="auto"/>
              </w:rPr>
              <w:t>M</w:t>
            </w:r>
          </w:p>
        </w:tc>
        <w:tc>
          <w:tcPr>
            <w:tcW w:w="20" w:type="dxa"/>
            <w:vAlign w:val="bottom"/>
            <w:shd w:val="clear" w:color="auto" w:fill="E5E5E5"/>
          </w:tcPr>
          <w:p>
            <w:pPr>
              <w:spacing w:after="0"/>
              <w:rPr>
                <w:sz w:val="24"/>
                <w:szCs w:val="24"/>
                <w:color w:val="auto"/>
              </w:rPr>
            </w:pPr>
          </w:p>
        </w:tc>
        <w:tc>
          <w:tcPr>
            <w:tcW w:w="1320" w:type="dxa"/>
            <w:vAlign w:val="bottom"/>
          </w:tcPr>
          <w:p>
            <w:pPr>
              <w:jc w:val="center"/>
              <w:ind w:left="306"/>
              <w:spacing w:after="0"/>
              <w:rPr>
                <w:sz w:val="20"/>
                <w:szCs w:val="20"/>
                <w:color w:val="auto"/>
              </w:rPr>
            </w:pPr>
            <w:r>
              <w:rPr>
                <w:rFonts w:ascii="Arial" w:cs="Arial" w:eastAsia="Arial" w:hAnsi="Arial"/>
                <w:sz w:val="14"/>
                <w:szCs w:val="14"/>
                <w:b w:val="1"/>
                <w:bCs w:val="1"/>
                <w:color w:val="auto"/>
                <w:w w:val="98"/>
              </w:rPr>
              <w:t>C</w:t>
            </w:r>
          </w:p>
        </w:tc>
        <w:tc>
          <w:tcPr>
            <w:tcW w:w="20" w:type="dxa"/>
            <w:vAlign w:val="bottom"/>
            <w:shd w:val="clear" w:color="auto" w:fill="E5E5E5"/>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4360" w:type="dxa"/>
            <w:vAlign w:val="bottom"/>
          </w:tcPr>
          <w:p>
            <w:pPr>
              <w:spacing w:after="0"/>
              <w:rPr>
                <w:sz w:val="4"/>
                <w:szCs w:val="4"/>
                <w:color w:val="auto"/>
              </w:rPr>
            </w:pPr>
          </w:p>
        </w:tc>
        <w:tc>
          <w:tcPr>
            <w:tcW w:w="340" w:type="dxa"/>
            <w:vAlign w:val="bottom"/>
            <w:tcBorders>
              <w:left w:val="single" w:sz="8" w:color="E5E5E5"/>
            </w:tcBorders>
          </w:tcPr>
          <w:p>
            <w:pPr>
              <w:spacing w:after="0"/>
              <w:rPr>
                <w:sz w:val="4"/>
                <w:szCs w:val="4"/>
                <w:color w:val="auto"/>
              </w:rPr>
            </w:pPr>
          </w:p>
        </w:tc>
        <w:tc>
          <w:tcPr>
            <w:tcW w:w="840" w:type="dxa"/>
            <w:vAlign w:val="bottom"/>
            <w:tcBorders>
              <w:right w:val="single" w:sz="8" w:color="E5E5E5"/>
            </w:tcBorders>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60" w:type="dxa"/>
            <w:vAlign w:val="bottom"/>
            <w:tcBorders>
              <w:bottom w:val="single" w:sz="8" w:color="E5E5E5"/>
            </w:tcBorders>
            <w:shd w:val="clear" w:color="auto" w:fill="E5E5E5"/>
          </w:tcPr>
          <w:p>
            <w:pPr>
              <w:ind w:left="80"/>
              <w:spacing w:after="0"/>
              <w:rPr>
                <w:sz w:val="20"/>
                <w:szCs w:val="20"/>
                <w:color w:val="auto"/>
              </w:rPr>
            </w:pPr>
            <w:r>
              <w:rPr>
                <w:rFonts w:ascii="Arial" w:cs="Arial" w:eastAsia="Arial" w:hAnsi="Arial"/>
                <w:sz w:val="18"/>
                <w:szCs w:val="18"/>
                <w:b w:val="1"/>
                <w:bCs w:val="1"/>
                <w:color w:val="auto"/>
              </w:rPr>
              <w:t>Kevin M. Sheehan(2)</w:t>
            </w:r>
          </w:p>
        </w:tc>
        <w:tc>
          <w:tcPr>
            <w:tcW w:w="340" w:type="dxa"/>
            <w:vAlign w:val="bottom"/>
            <w:tcBorders>
              <w:left w:val="single" w:sz="8" w:color="E5E5E5"/>
              <w:bottom w:val="single" w:sz="8" w:color="E5E5E5"/>
            </w:tcBorders>
            <w:shd w:val="clear" w:color="auto" w:fill="E5E5E5"/>
          </w:tcPr>
          <w:p>
            <w:pPr>
              <w:spacing w:after="0"/>
              <w:rPr>
                <w:sz w:val="24"/>
                <w:szCs w:val="24"/>
                <w:color w:val="auto"/>
              </w:rPr>
            </w:pPr>
          </w:p>
        </w:tc>
        <w:tc>
          <w:tcPr>
            <w:tcW w:w="840" w:type="dxa"/>
            <w:vAlign w:val="bottom"/>
            <w:tcBorders>
              <w:bottom w:val="single" w:sz="8" w:color="E5E5E5"/>
              <w:right w:val="single" w:sz="8" w:color="E5E5E5"/>
            </w:tcBorders>
            <w:shd w:val="clear" w:color="auto" w:fill="E5E5E5"/>
          </w:tcPr>
          <w:p>
            <w:pPr>
              <w:jc w:val="center"/>
              <w:spacing w:after="0"/>
              <w:rPr>
                <w:sz w:val="20"/>
                <w:szCs w:val="20"/>
                <w:color w:val="auto"/>
              </w:rPr>
            </w:pPr>
            <w:r>
              <w:rPr>
                <w:rFonts w:ascii="Arial" w:cs="Arial" w:eastAsia="Arial" w:hAnsi="Arial"/>
                <w:sz w:val="14"/>
                <w:szCs w:val="14"/>
                <w:color w:val="auto"/>
              </w:rPr>
              <w:t>I</w:t>
            </w:r>
          </w:p>
        </w:tc>
        <w:tc>
          <w:tcPr>
            <w:tcW w:w="1280" w:type="dxa"/>
            <w:vAlign w:val="bottom"/>
            <w:tcBorders>
              <w:bottom w:val="single" w:sz="8" w:color="E5E5E5"/>
            </w:tcBorders>
            <w:gridSpan w:val="2"/>
            <w:shd w:val="clear" w:color="auto" w:fill="E5E5E5"/>
          </w:tcPr>
          <w:p>
            <w:pPr>
              <w:ind w:left="740"/>
              <w:spacing w:after="0"/>
              <w:rPr>
                <w:sz w:val="20"/>
                <w:szCs w:val="20"/>
                <w:color w:val="auto"/>
              </w:rPr>
            </w:pPr>
            <w:r>
              <w:rPr>
                <w:rFonts w:ascii="Arial" w:cs="Arial" w:eastAsia="Arial" w:hAnsi="Arial"/>
                <w:sz w:val="14"/>
                <w:szCs w:val="14"/>
                <w:b w:val="1"/>
                <w:bCs w:val="1"/>
                <w:color w:val="auto"/>
              </w:rPr>
              <w:t>C</w:t>
            </w:r>
          </w:p>
        </w:tc>
        <w:tc>
          <w:tcPr>
            <w:tcW w:w="1340" w:type="dxa"/>
            <w:vAlign w:val="bottom"/>
            <w:tcBorders>
              <w:bottom w:val="single" w:sz="8" w:color="E5E5E5"/>
            </w:tcBorders>
            <w:shd w:val="clear" w:color="auto" w:fill="E5E5E5"/>
          </w:tcPr>
          <w:p>
            <w:pPr>
              <w:spacing w:after="0"/>
              <w:rPr>
                <w:sz w:val="24"/>
                <w:szCs w:val="24"/>
                <w:color w:val="auto"/>
              </w:rPr>
            </w:pPr>
          </w:p>
        </w:tc>
        <w:tc>
          <w:tcPr>
            <w:tcW w:w="20" w:type="dxa"/>
            <w:vAlign w:val="bottom"/>
            <w:tcBorders>
              <w:bottom w:val="single" w:sz="8" w:color="E5E5E5"/>
            </w:tcBorders>
            <w:shd w:val="clear" w:color="auto" w:fill="E5E5E5"/>
          </w:tcPr>
          <w:p>
            <w:pPr>
              <w:spacing w:after="0"/>
              <w:rPr>
                <w:sz w:val="24"/>
                <w:szCs w:val="24"/>
                <w:color w:val="auto"/>
              </w:rPr>
            </w:pPr>
          </w:p>
        </w:tc>
        <w:tc>
          <w:tcPr>
            <w:tcW w:w="1340" w:type="dxa"/>
            <w:vAlign w:val="bottom"/>
            <w:tcBorders>
              <w:bottom w:val="single" w:sz="8" w:color="E5E5E5"/>
            </w:tcBorders>
            <w:gridSpan w:val="2"/>
            <w:shd w:val="clear" w:color="auto" w:fill="E5E5E5"/>
          </w:tcPr>
          <w:p>
            <w:pPr>
              <w:jc w:val="center"/>
              <w:ind w:left="266"/>
              <w:spacing w:after="0"/>
              <w:rPr>
                <w:sz w:val="20"/>
                <w:szCs w:val="20"/>
                <w:color w:val="auto"/>
              </w:rPr>
            </w:pPr>
            <w:r>
              <w:rPr>
                <w:rFonts w:ascii="Arial" w:cs="Arial" w:eastAsia="Arial" w:hAnsi="Arial"/>
                <w:sz w:val="14"/>
                <w:szCs w:val="14"/>
                <w:b w:val="1"/>
                <w:bCs w:val="1"/>
                <w:color w:val="auto"/>
              </w:rPr>
              <w:t>M</w:t>
            </w:r>
          </w:p>
        </w:tc>
        <w:tc>
          <w:tcPr>
            <w:tcW w:w="1100" w:type="dxa"/>
            <w:vAlign w:val="bottom"/>
            <w:tcBorders>
              <w:bottom w:val="single" w:sz="8" w:color="E5E5E5"/>
            </w:tcBorders>
            <w:shd w:val="clear" w:color="auto" w:fill="E5E5E5"/>
          </w:tcPr>
          <w:p>
            <w:pPr>
              <w:jc w:val="center"/>
              <w:ind w:left="306"/>
              <w:spacing w:after="0"/>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285"/>
        </w:trPr>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Jennifer Storms</w:t>
            </w:r>
          </w:p>
        </w:tc>
        <w:tc>
          <w:tcPr>
            <w:tcW w:w="340" w:type="dxa"/>
            <w:vAlign w:val="bottom"/>
            <w:tcBorders>
              <w:left w:val="single" w:sz="8" w:color="E5E5E5"/>
            </w:tcBorders>
          </w:tcPr>
          <w:p>
            <w:pPr>
              <w:spacing w:after="0"/>
              <w:rPr>
                <w:sz w:val="24"/>
                <w:szCs w:val="24"/>
                <w:color w:val="auto"/>
              </w:rPr>
            </w:pPr>
          </w:p>
        </w:tc>
        <w:tc>
          <w:tcPr>
            <w:tcW w:w="840" w:type="dxa"/>
            <w:vAlign w:val="bottom"/>
            <w:tcBorders>
              <w:right w:val="single" w:sz="8" w:color="E5E5E5"/>
            </w:tcBorders>
          </w:tcPr>
          <w:p>
            <w:pPr>
              <w:jc w:val="center"/>
              <w:spacing w:after="0"/>
              <w:rPr>
                <w:sz w:val="20"/>
                <w:szCs w:val="20"/>
                <w:color w:val="auto"/>
              </w:rPr>
            </w:pPr>
            <w:r>
              <w:rPr>
                <w:rFonts w:ascii="Arial" w:cs="Arial" w:eastAsia="Arial" w:hAnsi="Arial"/>
                <w:sz w:val="14"/>
                <w:szCs w:val="14"/>
                <w:color w:val="auto"/>
              </w:rPr>
              <w:t>I</w:t>
            </w:r>
          </w:p>
        </w:tc>
        <w:tc>
          <w:tcPr>
            <w:tcW w:w="1260" w:type="dxa"/>
            <w:vAlign w:val="bottom"/>
          </w:tcPr>
          <w:p>
            <w:pPr>
              <w:spacing w:after="0"/>
              <w:rPr>
                <w:sz w:val="24"/>
                <w:szCs w:val="24"/>
                <w:color w:val="auto"/>
              </w:rPr>
            </w:pPr>
          </w:p>
        </w:tc>
        <w:tc>
          <w:tcPr>
            <w:tcW w:w="20" w:type="dxa"/>
            <w:vAlign w:val="bottom"/>
            <w:shd w:val="clear" w:color="auto" w:fill="E5E5E5"/>
          </w:tcPr>
          <w:p>
            <w:pPr>
              <w:spacing w:after="0"/>
              <w:rPr>
                <w:sz w:val="24"/>
                <w:szCs w:val="24"/>
                <w:color w:val="auto"/>
              </w:rPr>
            </w:pPr>
          </w:p>
        </w:tc>
        <w:tc>
          <w:tcPr>
            <w:tcW w:w="1340" w:type="dxa"/>
            <w:vAlign w:val="bottom"/>
          </w:tcPr>
          <w:p>
            <w:pPr>
              <w:jc w:val="center"/>
              <w:ind w:left="266"/>
              <w:spacing w:after="0"/>
              <w:rPr>
                <w:sz w:val="20"/>
                <w:szCs w:val="20"/>
                <w:color w:val="auto"/>
              </w:rPr>
            </w:pPr>
            <w:r>
              <w:rPr>
                <w:rFonts w:ascii="Arial" w:cs="Arial" w:eastAsia="Arial" w:hAnsi="Arial"/>
                <w:sz w:val="14"/>
                <w:szCs w:val="14"/>
                <w:b w:val="1"/>
                <w:bCs w:val="1"/>
                <w:color w:val="auto"/>
              </w:rPr>
              <w:t>M</w:t>
            </w:r>
          </w:p>
        </w:tc>
        <w:tc>
          <w:tcPr>
            <w:tcW w:w="20" w:type="dxa"/>
            <w:vAlign w:val="bottom"/>
            <w:shd w:val="clear" w:color="auto" w:fill="E5E5E5"/>
          </w:tcPr>
          <w:p>
            <w:pPr>
              <w:spacing w:after="0"/>
              <w:rPr>
                <w:sz w:val="24"/>
                <w:szCs w:val="24"/>
                <w:color w:val="auto"/>
              </w:rPr>
            </w:pPr>
          </w:p>
        </w:tc>
        <w:tc>
          <w:tcPr>
            <w:tcW w:w="1320" w:type="dxa"/>
            <w:vAlign w:val="bottom"/>
          </w:tcPr>
          <w:p>
            <w:pPr>
              <w:jc w:val="center"/>
              <w:ind w:left="286"/>
              <w:spacing w:after="0"/>
              <w:rPr>
                <w:sz w:val="20"/>
                <w:szCs w:val="20"/>
                <w:color w:val="auto"/>
              </w:rPr>
            </w:pPr>
            <w:r>
              <w:rPr>
                <w:rFonts w:ascii="Arial" w:cs="Arial" w:eastAsia="Arial" w:hAnsi="Arial"/>
                <w:sz w:val="14"/>
                <w:szCs w:val="14"/>
                <w:b w:val="1"/>
                <w:bCs w:val="1"/>
                <w:color w:val="auto"/>
              </w:rPr>
              <w:t>M</w:t>
            </w:r>
          </w:p>
        </w:tc>
        <w:tc>
          <w:tcPr>
            <w:tcW w:w="20" w:type="dxa"/>
            <w:vAlign w:val="bottom"/>
            <w:shd w:val="clear" w:color="auto" w:fill="E5E5E5"/>
          </w:tcPr>
          <w:p>
            <w:pPr>
              <w:spacing w:after="0"/>
              <w:rPr>
                <w:sz w:val="24"/>
                <w:szCs w:val="24"/>
                <w:color w:val="auto"/>
              </w:rPr>
            </w:pPr>
          </w:p>
        </w:tc>
        <w:tc>
          <w:tcPr>
            <w:tcW w:w="1100" w:type="dxa"/>
            <w:vAlign w:val="bottom"/>
          </w:tcPr>
          <w:p>
            <w:pPr>
              <w:jc w:val="center"/>
              <w:ind w:left="306"/>
              <w:spacing w:after="0"/>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53"/>
        </w:trPr>
        <w:tc>
          <w:tcPr>
            <w:tcW w:w="4360" w:type="dxa"/>
            <w:vAlign w:val="bottom"/>
          </w:tcPr>
          <w:p>
            <w:pPr>
              <w:spacing w:after="0"/>
              <w:rPr>
                <w:sz w:val="4"/>
                <w:szCs w:val="4"/>
                <w:color w:val="auto"/>
              </w:rPr>
            </w:pPr>
          </w:p>
        </w:tc>
        <w:tc>
          <w:tcPr>
            <w:tcW w:w="340" w:type="dxa"/>
            <w:vAlign w:val="bottom"/>
            <w:tcBorders>
              <w:left w:val="single" w:sz="8" w:color="E5E5E5"/>
            </w:tcBorders>
          </w:tcPr>
          <w:p>
            <w:pPr>
              <w:spacing w:after="0"/>
              <w:rPr>
                <w:sz w:val="4"/>
                <w:szCs w:val="4"/>
                <w:color w:val="auto"/>
              </w:rPr>
            </w:pPr>
          </w:p>
        </w:tc>
        <w:tc>
          <w:tcPr>
            <w:tcW w:w="840" w:type="dxa"/>
            <w:vAlign w:val="bottom"/>
            <w:tcBorders>
              <w:right w:val="single" w:sz="8" w:color="E5E5E5"/>
            </w:tcBorders>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shd w:val="clear" w:color="auto" w:fill="E5E5E5"/>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360" w:type="dxa"/>
            <w:vAlign w:val="bottom"/>
            <w:vMerge w:val="restart"/>
            <w:shd w:val="clear" w:color="auto" w:fill="003B71"/>
          </w:tcPr>
          <w:p>
            <w:pPr>
              <w:ind w:left="80"/>
              <w:spacing w:after="0"/>
              <w:rPr>
                <w:sz w:val="20"/>
                <w:szCs w:val="20"/>
                <w:color w:val="auto"/>
              </w:rPr>
            </w:pPr>
            <w:r>
              <w:rPr>
                <w:rFonts w:ascii="Arial" w:cs="Arial" w:eastAsia="Arial" w:hAnsi="Arial"/>
                <w:sz w:val="18"/>
                <w:szCs w:val="18"/>
                <w:b w:val="1"/>
                <w:bCs w:val="1"/>
                <w:color w:val="FFFFFF"/>
              </w:rPr>
              <w:t>Number of Meetings in Fiscal 2020</w:t>
            </w:r>
          </w:p>
        </w:tc>
        <w:tc>
          <w:tcPr>
            <w:tcW w:w="340" w:type="dxa"/>
            <w:vAlign w:val="bottom"/>
            <w:tcBorders>
              <w:left w:val="single" w:sz="8" w:color="E5E5E5"/>
            </w:tcBorders>
            <w:shd w:val="clear" w:color="auto" w:fill="003B71"/>
          </w:tcPr>
          <w:p>
            <w:pPr>
              <w:spacing w:after="0"/>
              <w:rPr>
                <w:sz w:val="5"/>
                <w:szCs w:val="5"/>
                <w:color w:val="auto"/>
              </w:rPr>
            </w:pPr>
          </w:p>
        </w:tc>
        <w:tc>
          <w:tcPr>
            <w:tcW w:w="840" w:type="dxa"/>
            <w:vAlign w:val="bottom"/>
            <w:tcBorders>
              <w:right w:val="single" w:sz="8" w:color="E5E5E5"/>
            </w:tcBorders>
            <w:shd w:val="clear" w:color="auto" w:fill="003B71"/>
          </w:tcPr>
          <w:p>
            <w:pPr>
              <w:spacing w:after="0"/>
              <w:rPr>
                <w:sz w:val="5"/>
                <w:szCs w:val="5"/>
                <w:color w:val="auto"/>
              </w:rPr>
            </w:pPr>
          </w:p>
        </w:tc>
        <w:tc>
          <w:tcPr>
            <w:tcW w:w="1260" w:type="dxa"/>
            <w:vAlign w:val="bottom"/>
            <w:vMerge w:val="restart"/>
            <w:shd w:val="clear" w:color="auto" w:fill="003B71"/>
          </w:tcPr>
          <w:p>
            <w:pPr>
              <w:jc w:val="right"/>
              <w:ind w:right="346"/>
              <w:spacing w:after="0"/>
              <w:rPr>
                <w:sz w:val="20"/>
                <w:szCs w:val="20"/>
                <w:color w:val="auto"/>
              </w:rPr>
            </w:pPr>
            <w:r>
              <w:rPr>
                <w:rFonts w:ascii="Arial" w:cs="Arial" w:eastAsia="Arial" w:hAnsi="Arial"/>
                <w:sz w:val="18"/>
                <w:szCs w:val="18"/>
                <w:b w:val="1"/>
                <w:bCs w:val="1"/>
                <w:color w:val="FFFFFF"/>
              </w:rPr>
              <w:t>9</w:t>
            </w:r>
          </w:p>
        </w:tc>
        <w:tc>
          <w:tcPr>
            <w:tcW w:w="20" w:type="dxa"/>
            <w:vAlign w:val="bottom"/>
            <w:shd w:val="clear" w:color="auto" w:fill="E5E5E5"/>
          </w:tcPr>
          <w:p>
            <w:pPr>
              <w:spacing w:after="0"/>
              <w:rPr>
                <w:sz w:val="5"/>
                <w:szCs w:val="5"/>
                <w:color w:val="auto"/>
              </w:rPr>
            </w:pPr>
          </w:p>
        </w:tc>
        <w:tc>
          <w:tcPr>
            <w:tcW w:w="1340" w:type="dxa"/>
            <w:vAlign w:val="bottom"/>
            <w:vMerge w:val="restart"/>
            <w:shd w:val="clear" w:color="auto" w:fill="003B71"/>
          </w:tcPr>
          <w:p>
            <w:pPr>
              <w:jc w:val="center"/>
              <w:ind w:left="246"/>
              <w:spacing w:after="0"/>
              <w:rPr>
                <w:sz w:val="20"/>
                <w:szCs w:val="20"/>
                <w:color w:val="auto"/>
              </w:rPr>
            </w:pPr>
            <w:r>
              <w:rPr>
                <w:rFonts w:ascii="Arial" w:cs="Arial" w:eastAsia="Arial" w:hAnsi="Arial"/>
                <w:sz w:val="18"/>
                <w:szCs w:val="18"/>
                <w:b w:val="1"/>
                <w:bCs w:val="1"/>
                <w:color w:val="FFFFFF"/>
                <w:w w:val="99"/>
              </w:rPr>
              <w:t>3</w:t>
            </w:r>
          </w:p>
        </w:tc>
        <w:tc>
          <w:tcPr>
            <w:tcW w:w="20" w:type="dxa"/>
            <w:vAlign w:val="bottom"/>
            <w:shd w:val="clear" w:color="auto" w:fill="E5E5E5"/>
          </w:tcPr>
          <w:p>
            <w:pPr>
              <w:spacing w:after="0"/>
              <w:rPr>
                <w:sz w:val="5"/>
                <w:szCs w:val="5"/>
                <w:color w:val="auto"/>
              </w:rPr>
            </w:pPr>
          </w:p>
        </w:tc>
        <w:tc>
          <w:tcPr>
            <w:tcW w:w="1320" w:type="dxa"/>
            <w:vAlign w:val="bottom"/>
            <w:vMerge w:val="restart"/>
            <w:shd w:val="clear" w:color="auto" w:fill="003B71"/>
          </w:tcPr>
          <w:p>
            <w:pPr>
              <w:jc w:val="center"/>
              <w:ind w:left="306"/>
              <w:spacing w:after="0"/>
              <w:rPr>
                <w:sz w:val="20"/>
                <w:szCs w:val="20"/>
                <w:color w:val="auto"/>
              </w:rPr>
            </w:pPr>
            <w:r>
              <w:rPr>
                <w:rFonts w:ascii="Arial" w:cs="Arial" w:eastAsia="Arial" w:hAnsi="Arial"/>
                <w:sz w:val="18"/>
                <w:szCs w:val="18"/>
                <w:b w:val="1"/>
                <w:bCs w:val="1"/>
                <w:color w:val="FFFFFF"/>
                <w:w w:val="99"/>
              </w:rPr>
              <w:t>8</w:t>
            </w:r>
          </w:p>
        </w:tc>
        <w:tc>
          <w:tcPr>
            <w:tcW w:w="20" w:type="dxa"/>
            <w:vAlign w:val="bottom"/>
            <w:shd w:val="clear" w:color="auto" w:fill="E5E5E5"/>
          </w:tcPr>
          <w:p>
            <w:pPr>
              <w:spacing w:after="0"/>
              <w:rPr>
                <w:sz w:val="5"/>
                <w:szCs w:val="5"/>
                <w:color w:val="auto"/>
              </w:rPr>
            </w:pPr>
          </w:p>
        </w:tc>
        <w:tc>
          <w:tcPr>
            <w:tcW w:w="1100" w:type="dxa"/>
            <w:vAlign w:val="bottom"/>
            <w:vMerge w:val="restart"/>
            <w:shd w:val="clear" w:color="auto" w:fill="003B71"/>
          </w:tcPr>
          <w:p>
            <w:pPr>
              <w:jc w:val="center"/>
              <w:ind w:left="286"/>
              <w:spacing w:after="0"/>
              <w:rPr>
                <w:sz w:val="20"/>
                <w:szCs w:val="20"/>
                <w:color w:val="auto"/>
              </w:rPr>
            </w:pPr>
            <w:r>
              <w:rPr>
                <w:rFonts w:ascii="Arial" w:cs="Arial" w:eastAsia="Arial" w:hAnsi="Arial"/>
                <w:sz w:val="18"/>
                <w:szCs w:val="18"/>
                <w:b w:val="1"/>
                <w:bCs w:val="1"/>
                <w:color w:val="FFFFFF"/>
                <w:w w:val="99"/>
              </w:rPr>
              <w:t>9</w:t>
            </w:r>
          </w:p>
        </w:tc>
        <w:tc>
          <w:tcPr>
            <w:tcW w:w="0" w:type="dxa"/>
            <w:vAlign w:val="bottom"/>
          </w:tcPr>
          <w:p>
            <w:pPr>
              <w:spacing w:after="0"/>
              <w:rPr>
                <w:sz w:val="1"/>
                <w:szCs w:val="1"/>
                <w:color w:val="auto"/>
              </w:rPr>
            </w:pPr>
          </w:p>
        </w:tc>
      </w:tr>
      <w:tr>
        <w:trPr>
          <w:trHeight w:val="239"/>
        </w:trPr>
        <w:tc>
          <w:tcPr>
            <w:tcW w:w="4360" w:type="dxa"/>
            <w:vAlign w:val="bottom"/>
            <w:vMerge w:val="continue"/>
            <w:shd w:val="clear" w:color="auto" w:fill="003B71"/>
          </w:tcPr>
          <w:p>
            <w:pPr>
              <w:spacing w:after="0"/>
              <w:rPr>
                <w:sz w:val="20"/>
                <w:szCs w:val="20"/>
                <w:color w:val="auto"/>
              </w:rPr>
            </w:pPr>
          </w:p>
        </w:tc>
        <w:tc>
          <w:tcPr>
            <w:tcW w:w="1180" w:type="dxa"/>
            <w:vAlign w:val="bottom"/>
            <w:tcBorders>
              <w:left w:val="single" w:sz="8" w:color="003B71"/>
              <w:right w:val="single" w:sz="8" w:color="003B71"/>
            </w:tcBorders>
            <w:gridSpan w:val="2"/>
            <w:shd w:val="clear" w:color="auto" w:fill="003B71"/>
          </w:tcPr>
          <w:p>
            <w:pPr>
              <w:jc w:val="right"/>
              <w:ind w:right="248"/>
              <w:spacing w:after="0"/>
              <w:rPr>
                <w:sz w:val="20"/>
                <w:szCs w:val="20"/>
                <w:color w:val="auto"/>
              </w:rPr>
            </w:pPr>
            <w:r>
              <w:rPr>
                <w:rFonts w:ascii="Arial" w:cs="Arial" w:eastAsia="Arial" w:hAnsi="Arial"/>
                <w:sz w:val="18"/>
                <w:szCs w:val="18"/>
                <w:b w:val="1"/>
                <w:bCs w:val="1"/>
                <w:color w:val="FFFFFF"/>
              </w:rPr>
              <w:t>20</w:t>
            </w:r>
          </w:p>
        </w:tc>
        <w:tc>
          <w:tcPr>
            <w:tcW w:w="1260" w:type="dxa"/>
            <w:vAlign w:val="bottom"/>
            <w:vMerge w:val="continue"/>
            <w:shd w:val="clear" w:color="auto" w:fill="003B71"/>
          </w:tcPr>
          <w:p>
            <w:pPr>
              <w:spacing w:after="0"/>
              <w:rPr>
                <w:sz w:val="20"/>
                <w:szCs w:val="20"/>
                <w:color w:val="auto"/>
              </w:rPr>
            </w:pPr>
          </w:p>
        </w:tc>
        <w:tc>
          <w:tcPr>
            <w:tcW w:w="20" w:type="dxa"/>
            <w:vAlign w:val="bottom"/>
            <w:shd w:val="clear" w:color="auto" w:fill="003B71"/>
          </w:tcPr>
          <w:p>
            <w:pPr>
              <w:spacing w:after="0"/>
              <w:rPr>
                <w:sz w:val="20"/>
                <w:szCs w:val="20"/>
                <w:color w:val="auto"/>
              </w:rPr>
            </w:pPr>
          </w:p>
        </w:tc>
        <w:tc>
          <w:tcPr>
            <w:tcW w:w="1340" w:type="dxa"/>
            <w:vAlign w:val="bottom"/>
            <w:vMerge w:val="continue"/>
            <w:shd w:val="clear" w:color="auto" w:fill="003B71"/>
          </w:tcPr>
          <w:p>
            <w:pPr>
              <w:spacing w:after="0"/>
              <w:rPr>
                <w:sz w:val="20"/>
                <w:szCs w:val="20"/>
                <w:color w:val="auto"/>
              </w:rPr>
            </w:pPr>
          </w:p>
        </w:tc>
        <w:tc>
          <w:tcPr>
            <w:tcW w:w="20" w:type="dxa"/>
            <w:vAlign w:val="bottom"/>
            <w:shd w:val="clear" w:color="auto" w:fill="003B71"/>
          </w:tcPr>
          <w:p>
            <w:pPr>
              <w:spacing w:after="0"/>
              <w:rPr>
                <w:sz w:val="20"/>
                <w:szCs w:val="20"/>
                <w:color w:val="auto"/>
              </w:rPr>
            </w:pPr>
          </w:p>
        </w:tc>
        <w:tc>
          <w:tcPr>
            <w:tcW w:w="1320" w:type="dxa"/>
            <w:vAlign w:val="bottom"/>
            <w:vMerge w:val="continue"/>
            <w:shd w:val="clear" w:color="auto" w:fill="003B71"/>
          </w:tcPr>
          <w:p>
            <w:pPr>
              <w:spacing w:after="0"/>
              <w:rPr>
                <w:sz w:val="20"/>
                <w:szCs w:val="20"/>
                <w:color w:val="auto"/>
              </w:rPr>
            </w:pPr>
          </w:p>
        </w:tc>
        <w:tc>
          <w:tcPr>
            <w:tcW w:w="20" w:type="dxa"/>
            <w:vAlign w:val="bottom"/>
            <w:shd w:val="clear" w:color="auto" w:fill="003B71"/>
          </w:tcPr>
          <w:p>
            <w:pPr>
              <w:spacing w:after="0"/>
              <w:rPr>
                <w:sz w:val="20"/>
                <w:szCs w:val="20"/>
                <w:color w:val="auto"/>
              </w:rPr>
            </w:pPr>
          </w:p>
        </w:tc>
        <w:tc>
          <w:tcPr>
            <w:tcW w:w="1100" w:type="dxa"/>
            <w:vAlign w:val="bottom"/>
            <w:vMerge w:val="continue"/>
            <w:shd w:val="clear" w:color="auto" w:fill="003B71"/>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360" w:type="dxa"/>
            <w:vAlign w:val="bottom"/>
            <w:shd w:val="clear" w:color="auto" w:fill="003B71"/>
          </w:tcPr>
          <w:p>
            <w:pPr>
              <w:spacing w:after="0"/>
              <w:rPr>
                <w:sz w:val="2"/>
                <w:szCs w:val="2"/>
                <w:color w:val="auto"/>
              </w:rPr>
            </w:pPr>
          </w:p>
        </w:tc>
        <w:tc>
          <w:tcPr>
            <w:tcW w:w="340" w:type="dxa"/>
            <w:vAlign w:val="bottom"/>
            <w:tcBorders>
              <w:left w:val="single" w:sz="8" w:color="003B71"/>
            </w:tcBorders>
            <w:shd w:val="clear" w:color="auto" w:fill="003B71"/>
          </w:tcPr>
          <w:p>
            <w:pPr>
              <w:spacing w:after="0"/>
              <w:rPr>
                <w:sz w:val="2"/>
                <w:szCs w:val="2"/>
                <w:color w:val="auto"/>
              </w:rPr>
            </w:pPr>
          </w:p>
        </w:tc>
        <w:tc>
          <w:tcPr>
            <w:tcW w:w="840" w:type="dxa"/>
            <w:vAlign w:val="bottom"/>
            <w:tcBorders>
              <w:right w:val="single" w:sz="8" w:color="003B71"/>
            </w:tcBorders>
            <w:shd w:val="clear" w:color="auto" w:fill="003B71"/>
          </w:tcPr>
          <w:p>
            <w:pPr>
              <w:spacing w:after="0"/>
              <w:rPr>
                <w:sz w:val="2"/>
                <w:szCs w:val="2"/>
                <w:color w:val="auto"/>
              </w:rPr>
            </w:pPr>
          </w:p>
        </w:tc>
        <w:tc>
          <w:tcPr>
            <w:tcW w:w="1260" w:type="dxa"/>
            <w:vAlign w:val="bottom"/>
            <w:shd w:val="clear" w:color="auto" w:fill="003B71"/>
          </w:tcPr>
          <w:p>
            <w:pPr>
              <w:spacing w:after="0"/>
              <w:rPr>
                <w:sz w:val="2"/>
                <w:szCs w:val="2"/>
                <w:color w:val="auto"/>
              </w:rPr>
            </w:pPr>
          </w:p>
        </w:tc>
        <w:tc>
          <w:tcPr>
            <w:tcW w:w="20" w:type="dxa"/>
            <w:vAlign w:val="bottom"/>
            <w:shd w:val="clear" w:color="auto" w:fill="003B71"/>
          </w:tcPr>
          <w:p>
            <w:pPr>
              <w:spacing w:after="0"/>
              <w:rPr>
                <w:sz w:val="2"/>
                <w:szCs w:val="2"/>
                <w:color w:val="auto"/>
              </w:rPr>
            </w:pPr>
          </w:p>
        </w:tc>
        <w:tc>
          <w:tcPr>
            <w:tcW w:w="1340" w:type="dxa"/>
            <w:vAlign w:val="bottom"/>
            <w:shd w:val="clear" w:color="auto" w:fill="003B71"/>
          </w:tcPr>
          <w:p>
            <w:pPr>
              <w:spacing w:after="0"/>
              <w:rPr>
                <w:sz w:val="2"/>
                <w:szCs w:val="2"/>
                <w:color w:val="auto"/>
              </w:rPr>
            </w:pPr>
          </w:p>
        </w:tc>
        <w:tc>
          <w:tcPr>
            <w:tcW w:w="20" w:type="dxa"/>
            <w:vAlign w:val="bottom"/>
            <w:shd w:val="clear" w:color="auto" w:fill="003B71"/>
          </w:tcPr>
          <w:p>
            <w:pPr>
              <w:spacing w:after="0"/>
              <w:rPr>
                <w:sz w:val="2"/>
                <w:szCs w:val="2"/>
                <w:color w:val="auto"/>
              </w:rPr>
            </w:pPr>
          </w:p>
        </w:tc>
        <w:tc>
          <w:tcPr>
            <w:tcW w:w="1320" w:type="dxa"/>
            <w:vAlign w:val="bottom"/>
            <w:shd w:val="clear" w:color="auto" w:fill="003B71"/>
          </w:tcPr>
          <w:p>
            <w:pPr>
              <w:spacing w:after="0"/>
              <w:rPr>
                <w:sz w:val="2"/>
                <w:szCs w:val="2"/>
                <w:color w:val="auto"/>
              </w:rPr>
            </w:pPr>
          </w:p>
        </w:tc>
        <w:tc>
          <w:tcPr>
            <w:tcW w:w="20" w:type="dxa"/>
            <w:vAlign w:val="bottom"/>
            <w:shd w:val="clear" w:color="auto" w:fill="003B71"/>
          </w:tcPr>
          <w:p>
            <w:pPr>
              <w:spacing w:after="0"/>
              <w:rPr>
                <w:sz w:val="2"/>
                <w:szCs w:val="2"/>
                <w:color w:val="auto"/>
              </w:rPr>
            </w:pPr>
          </w:p>
        </w:tc>
        <w:tc>
          <w:tcPr>
            <w:tcW w:w="1100" w:type="dxa"/>
            <w:vAlign w:val="bottom"/>
            <w:shd w:val="clear" w:color="auto" w:fill="003B7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820" w:hanging="50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Independent Director</w:t>
      </w:r>
    </w:p>
    <w:tbl>
      <w:tblPr>
        <w:tblLayout w:type="fixed"/>
        <w:tblInd w:w="320" w:type="dxa"/>
        <w:tblCellMar>
          <w:top w:w="0" w:type="dxa"/>
          <w:left w:w="0" w:type="dxa"/>
          <w:bottom w:w="0" w:type="dxa"/>
          <w:right w:w="0" w:type="dxa"/>
        </w:tblCellMar>
      </w:tblP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LID</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ind w:left="60"/>
              <w:spacing w:after="0" w:line="202" w:lineRule="exact"/>
              <w:rPr>
                <w:sz w:val="20"/>
                <w:szCs w:val="20"/>
                <w:color w:val="auto"/>
              </w:rPr>
            </w:pPr>
            <w:r>
              <w:rPr>
                <w:rFonts w:ascii="Arial" w:cs="Arial" w:eastAsia="Arial" w:hAnsi="Arial"/>
                <w:sz w:val="18"/>
                <w:szCs w:val="18"/>
                <w:color w:val="auto"/>
                <w:w w:val="99"/>
              </w:rPr>
              <w:t>Lead Independent Director</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CEO</w:t>
            </w:r>
          </w:p>
        </w:tc>
        <w:tc>
          <w:tcPr>
            <w:tcW w:w="2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ind w:left="60"/>
              <w:spacing w:after="0" w:line="202" w:lineRule="exact"/>
              <w:rPr>
                <w:sz w:val="20"/>
                <w:szCs w:val="20"/>
                <w:color w:val="auto"/>
              </w:rPr>
            </w:pPr>
            <w:r>
              <w:rPr>
                <w:rFonts w:ascii="Arial" w:cs="Arial" w:eastAsia="Arial" w:hAnsi="Arial"/>
                <w:sz w:val="18"/>
                <w:szCs w:val="18"/>
                <w:color w:val="auto"/>
              </w:rPr>
              <w:t>Chief Executive Officer</w:t>
            </w:r>
          </w:p>
        </w:tc>
      </w:tr>
      <w:tr>
        <w:trPr>
          <w:trHeight w:val="203"/>
        </w:trPr>
        <w:tc>
          <w:tcPr>
            <w:tcW w:w="440" w:type="dxa"/>
            <w:vAlign w:val="bottom"/>
          </w:tcPr>
          <w:p>
            <w:pPr>
              <w:spacing w:after="0" w:line="202" w:lineRule="exact"/>
              <w:rPr>
                <w:sz w:val="20"/>
                <w:szCs w:val="20"/>
                <w:color w:val="auto"/>
              </w:rPr>
            </w:pPr>
            <w:r>
              <w:rPr>
                <w:rFonts w:ascii="Arial" w:cs="Arial" w:eastAsia="Arial" w:hAnsi="Arial"/>
                <w:sz w:val="18"/>
                <w:szCs w:val="18"/>
                <w:color w:val="auto"/>
              </w:rPr>
              <w:t>COB</w:t>
            </w:r>
          </w:p>
        </w:tc>
        <w:tc>
          <w:tcPr>
            <w:tcW w:w="24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  Chair of the Board</w:t>
            </w:r>
          </w:p>
        </w:tc>
      </w:tr>
    </w:tbl>
    <w:p>
      <w:pPr>
        <w:ind w:left="320" w:right="8500" w:hanging="8"/>
        <w:spacing w:after="0" w:line="234" w:lineRule="auto"/>
        <w:tabs>
          <w:tab w:leader="none" w:pos="833" w:val="left"/>
        </w:tabs>
        <w:numPr>
          <w:ilvl w:val="0"/>
          <w:numId w:val="9"/>
        </w:numPr>
        <w:rPr>
          <w:rFonts w:ascii="Arial" w:cs="Arial" w:eastAsia="Arial" w:hAnsi="Arial"/>
          <w:sz w:val="18"/>
          <w:szCs w:val="18"/>
          <w:color w:val="auto"/>
        </w:rPr>
      </w:pPr>
      <w:r>
        <w:rPr>
          <w:rFonts w:ascii="Arial" w:cs="Arial" w:eastAsia="Arial" w:hAnsi="Arial"/>
          <w:sz w:val="18"/>
          <w:szCs w:val="18"/>
          <w:color w:val="auto"/>
        </w:rPr>
        <w:t>– Committee Chair M – Committee Member</w:t>
      </w:r>
    </w:p>
    <w:p>
      <w:pPr>
        <w:spacing w:after="0" w:line="1" w:lineRule="exact"/>
        <w:rPr>
          <w:sz w:val="20"/>
          <w:szCs w:val="20"/>
          <w:color w:val="auto"/>
        </w:rPr>
      </w:pPr>
    </w:p>
    <w:p>
      <w:pPr>
        <w:ind w:left="1060" w:right="800" w:hanging="748"/>
        <w:spacing w:after="0" w:line="234" w:lineRule="auto"/>
        <w:tabs>
          <w:tab w:leader="none" w:pos="8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Mr. Chambers was appointed to the Board and to the Audit, Finance and Compensation Committees of the Board on December 22, 2020.</w:t>
      </w:r>
    </w:p>
    <w:p>
      <w:pPr>
        <w:spacing w:after="0" w:line="1" w:lineRule="exact"/>
        <w:rPr>
          <w:rFonts w:ascii="Arial" w:cs="Arial" w:eastAsia="Arial" w:hAnsi="Arial"/>
          <w:sz w:val="18"/>
          <w:szCs w:val="18"/>
          <w:color w:val="auto"/>
        </w:rPr>
      </w:pPr>
    </w:p>
    <w:p>
      <w:pPr>
        <w:ind w:left="1060" w:right="520" w:hanging="748"/>
        <w:spacing w:after="0" w:line="234" w:lineRule="auto"/>
        <w:tabs>
          <w:tab w:leader="none" w:pos="8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Mr. King is retiring from the Board at the end of his current term and is not standing for re-election in 2021. In connection with his retirement, Mr. King stepped down as Chair of the Board following the April 15, 2021 Board meeting, and</w:t>
      </w:r>
    </w:p>
    <w:p>
      <w:pPr>
        <w:spacing w:after="0" w:line="1" w:lineRule="exact"/>
        <w:rPr>
          <w:rFonts w:ascii="Arial" w:cs="Arial" w:eastAsia="Arial" w:hAnsi="Arial"/>
          <w:sz w:val="18"/>
          <w:szCs w:val="18"/>
          <w:color w:val="auto"/>
        </w:rPr>
      </w:pPr>
    </w:p>
    <w:p>
      <w:pPr>
        <w:ind w:left="1060" w:right="1060"/>
        <w:spacing w:after="0" w:line="234" w:lineRule="auto"/>
        <w:rPr>
          <w:rFonts w:ascii="Arial" w:cs="Arial" w:eastAsia="Arial" w:hAnsi="Arial"/>
          <w:sz w:val="18"/>
          <w:szCs w:val="18"/>
          <w:color w:val="auto"/>
        </w:rPr>
      </w:pPr>
      <w:r>
        <w:rPr>
          <w:rFonts w:ascii="Arial" w:cs="Arial" w:eastAsia="Arial" w:hAnsi="Arial"/>
          <w:sz w:val="18"/>
          <w:szCs w:val="18"/>
          <w:color w:val="auto"/>
        </w:rPr>
        <w:t>Mr. Sheehan succeeded Mr. King as the new independent Chair of the Board. Since Mr. Sheehan is independent, Mr. Griffith also stepped aside as Lead Independent Director.</w:t>
      </w:r>
    </w:p>
    <w:p>
      <w:pPr>
        <w:spacing w:after="0" w:line="1" w:lineRule="exact"/>
        <w:rPr>
          <w:rFonts w:ascii="Arial" w:cs="Arial" w:eastAsia="Arial" w:hAnsi="Arial"/>
          <w:sz w:val="18"/>
          <w:szCs w:val="18"/>
          <w:color w:val="auto"/>
        </w:rPr>
      </w:pPr>
    </w:p>
    <w:p>
      <w:pPr>
        <w:ind w:left="1060" w:right="900" w:hanging="748"/>
        <w:spacing w:after="0" w:line="234" w:lineRule="auto"/>
        <w:tabs>
          <w:tab w:leader="none" w:pos="8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Mr. Halkyard is serving out his current term and not standing for re-election in 2021 due to his new position as Chief Financial Officer with MGM Resorts International.</w:t>
      </w:r>
    </w:p>
    <w:p>
      <w:pPr>
        <w:spacing w:after="0" w:line="1" w:lineRule="exact"/>
        <w:rPr>
          <w:rFonts w:ascii="Arial" w:cs="Arial" w:eastAsia="Arial" w:hAnsi="Arial"/>
          <w:sz w:val="18"/>
          <w:szCs w:val="18"/>
          <w:color w:val="auto"/>
        </w:rPr>
      </w:pPr>
    </w:p>
    <w:p>
      <w:pPr>
        <w:ind w:left="820" w:hanging="508"/>
        <w:spacing w:after="0" w:line="23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As a non-independent member of the Board, Mr. Jenkins does not serve on any committees.</w:t>
      </w:r>
    </w:p>
    <w:p>
      <w:pPr>
        <w:ind w:left="820" w:hanging="508"/>
        <w:spacing w:after="0" w:line="23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As the non-independent Chair of the Board, Mr. King does not serve on any committees.</w:t>
      </w:r>
    </w:p>
    <w:p>
      <w:pPr>
        <w:ind w:left="1060" w:right="420" w:hanging="748"/>
        <w:spacing w:after="0" w:line="246" w:lineRule="auto"/>
        <w:tabs>
          <w:tab w:leader="none" w:pos="8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 Mr. Atish Shah is not included in this table as he was appointed to the Board and Audit Committee on April 16, 2021, after the end of fiscal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6638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0715" cy="66389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Board Skills and Core Competencies of Current Board Members: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Board is comprised of directors who have a variety of skills and core competencies as noted in the chart*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hanging="313"/>
        <w:spacing w:after="0"/>
        <w:tabs>
          <w:tab w:leader="none" w:pos="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Messrs. Halkyard and King are not included as they are leaving the Board at the end of their current terms.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Board is also diverse in age, tenure, gender and ethnicity as noted in the charts**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20" w:hanging="313"/>
        <w:spacing w:after="0"/>
        <w:tabs>
          <w:tab w:leader="none" w:pos="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Messrs. Halkyard and King are not included as they are leaving the Board at the end of their current terms.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6202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0715" cy="62020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Corporate Governance Highlights:</w:t>
      </w:r>
    </w:p>
    <w:p>
      <w:pPr>
        <w:spacing w:after="0" w:line="215" w:lineRule="exact"/>
        <w:rPr>
          <w:sz w:val="20"/>
          <w:szCs w:val="20"/>
          <w:color w:val="auto"/>
        </w:rPr>
      </w:pPr>
    </w:p>
    <w:p>
      <w:pPr>
        <w:jc w:val="both"/>
        <w:ind w:left="300" w:right="200"/>
        <w:spacing w:after="0"/>
        <w:rPr>
          <w:sz w:val="20"/>
          <w:szCs w:val="20"/>
          <w:color w:val="auto"/>
        </w:rPr>
      </w:pPr>
      <w:r>
        <w:rPr>
          <w:rFonts w:ascii="Arial" w:cs="Arial" w:eastAsia="Arial" w:hAnsi="Arial"/>
          <w:sz w:val="18"/>
          <w:szCs w:val="18"/>
          <w:color w:val="auto"/>
        </w:rPr>
        <w:t>Our Board of Directors and management are committed to maintaining strong corporate governance practices that promote and protect the long-term interests of our shareholders. Our practices are designed to provide effective oversight and management of our Company as well as meet our regulatory and NASDAQ requirements, including the following:</w:t>
      </w:r>
    </w:p>
    <w:p>
      <w:pPr>
        <w:sectPr>
          <w:pgSz w:w="11900" w:h="16838" w:orient="portrait"/>
          <w:cols w:equalWidth="0" w:num="1">
            <w:col w:w="11140"/>
          </w:cols>
          <w:pgMar w:left="320" w:top="459" w:right="439" w:bottom="1440" w:gutter="0" w:footer="0" w:header="0"/>
        </w:sectPr>
      </w:pPr>
    </w:p>
    <w:p>
      <w:pPr>
        <w:spacing w:after="0" w:line="122" w:lineRule="exact"/>
        <w:rPr>
          <w:sz w:val="20"/>
          <w:szCs w:val="20"/>
          <w:color w:val="auto"/>
        </w:rPr>
      </w:pPr>
    </w:p>
    <w:p>
      <w:pPr>
        <w:ind w:left="720" w:hanging="332"/>
        <w:spacing w:after="0" w:line="246" w:lineRule="auto"/>
        <w:tabs>
          <w:tab w:leader="none" w:pos="7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Separate, Independent Chair of the Board and Chief Executive Officer</w:t>
      </w:r>
    </w:p>
    <w:p>
      <w:pPr>
        <w:spacing w:after="0" w:line="61" w:lineRule="exact"/>
        <w:rPr>
          <w:rFonts w:ascii="MS PGothic" w:cs="MS PGothic" w:eastAsia="MS PGothic" w:hAnsi="MS PGothic"/>
          <w:sz w:val="18"/>
          <w:szCs w:val="18"/>
          <w:color w:val="auto"/>
        </w:rPr>
      </w:pPr>
    </w:p>
    <w:p>
      <w:pPr>
        <w:ind w:left="720" w:hanging="332"/>
        <w:spacing w:after="0" w:line="246" w:lineRule="auto"/>
        <w:tabs>
          <w:tab w:leader="none" w:pos="7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All Board Committees comprised of only Independent Directors</w:t>
      </w:r>
    </w:p>
    <w:p>
      <w:pPr>
        <w:spacing w:after="0" w:line="61" w:lineRule="exact"/>
        <w:rPr>
          <w:rFonts w:ascii="MS PGothic" w:cs="MS PGothic" w:eastAsia="MS PGothic" w:hAnsi="MS PGothic"/>
          <w:sz w:val="18"/>
          <w:szCs w:val="18"/>
          <w:color w:val="auto"/>
        </w:rPr>
      </w:pPr>
    </w:p>
    <w:p>
      <w:pPr>
        <w:ind w:left="720" w:hanging="332"/>
        <w:spacing w:after="0"/>
        <w:tabs>
          <w:tab w:leader="none" w:pos="7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Regular Executive Sessions of Independent Directors</w:t>
      </w:r>
    </w:p>
    <w:p>
      <w:pPr>
        <w:spacing w:after="0" w:line="90" w:lineRule="exact"/>
        <w:rPr>
          <w:rFonts w:ascii="MS PGothic" w:cs="MS PGothic" w:eastAsia="MS PGothic" w:hAnsi="MS PGothic"/>
          <w:sz w:val="18"/>
          <w:szCs w:val="18"/>
          <w:color w:val="auto"/>
        </w:rPr>
      </w:pPr>
    </w:p>
    <w:p>
      <w:pPr>
        <w:ind w:left="720" w:hanging="332"/>
        <w:spacing w:after="0"/>
        <w:tabs>
          <w:tab w:leader="none" w:pos="7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Diverse Board</w:t>
      </w:r>
    </w:p>
    <w:p>
      <w:pPr>
        <w:spacing w:after="0" w:line="90" w:lineRule="exact"/>
        <w:rPr>
          <w:rFonts w:ascii="MS PGothic" w:cs="MS PGothic" w:eastAsia="MS PGothic" w:hAnsi="MS PGothic"/>
          <w:sz w:val="18"/>
          <w:szCs w:val="18"/>
          <w:color w:val="auto"/>
        </w:rPr>
      </w:pPr>
    </w:p>
    <w:p>
      <w:pPr>
        <w:ind w:left="720" w:hanging="332"/>
        <w:spacing w:after="0"/>
        <w:tabs>
          <w:tab w:leader="none" w:pos="7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Commitment to Board Refreshment</w:t>
      </w:r>
    </w:p>
    <w:p>
      <w:pPr>
        <w:spacing w:after="0" w:line="90" w:lineRule="exact"/>
        <w:rPr>
          <w:rFonts w:ascii="MS PGothic" w:cs="MS PGothic" w:eastAsia="MS PGothic" w:hAnsi="MS PGothic"/>
          <w:sz w:val="18"/>
          <w:szCs w:val="18"/>
          <w:color w:val="auto"/>
        </w:rPr>
      </w:pPr>
    </w:p>
    <w:p>
      <w:pPr>
        <w:ind w:left="720" w:hanging="332"/>
        <w:spacing w:after="0"/>
        <w:tabs>
          <w:tab w:leader="none" w:pos="7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Annual Director Elections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329" w:hanging="329"/>
        <w:spacing w:after="0"/>
        <w:tabs>
          <w:tab w:leader="none" w:pos="329"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Majority Voting in Uncontested Director Elections</w:t>
      </w:r>
    </w:p>
    <w:p>
      <w:pPr>
        <w:spacing w:after="0" w:line="101" w:lineRule="exact"/>
        <w:rPr>
          <w:rFonts w:ascii="MS PGothic" w:cs="MS PGothic" w:eastAsia="MS PGothic" w:hAnsi="MS PGothic"/>
          <w:sz w:val="17"/>
          <w:szCs w:val="17"/>
          <w:color w:val="auto"/>
        </w:rPr>
      </w:pPr>
    </w:p>
    <w:p>
      <w:pPr>
        <w:ind w:left="329" w:hanging="329"/>
        <w:spacing w:after="0"/>
        <w:tabs>
          <w:tab w:leader="none" w:pos="329"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Director Share Ownership Requirements</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Strong Director Attendance Record</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Director Overboarding Policy</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Mandatory Director Retirement Age</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Annual Board and Committee Evaluations</w:t>
      </w:r>
    </w:p>
    <w:p>
      <w:pPr>
        <w:spacing w:after="0" w:line="90" w:lineRule="exact"/>
        <w:rPr>
          <w:rFonts w:ascii="MS PGothic" w:cs="MS PGothic" w:eastAsia="MS PGothic" w:hAnsi="MS PGothic"/>
          <w:sz w:val="18"/>
          <w:szCs w:val="18"/>
          <w:color w:val="auto"/>
        </w:rPr>
      </w:pPr>
    </w:p>
    <w:p>
      <w:pPr>
        <w:ind w:left="329" w:hanging="329"/>
        <w:spacing w:after="0"/>
        <w:tabs>
          <w:tab w:leader="none" w:pos="329"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Continued Engagement with Our Shareholders</w:t>
      </w:r>
    </w:p>
    <w:p>
      <w:pPr>
        <w:spacing w:after="0" w:line="280" w:lineRule="exact"/>
        <w:rPr>
          <w:sz w:val="20"/>
          <w:szCs w:val="20"/>
          <w:color w:val="auto"/>
        </w:rPr>
      </w:pPr>
    </w:p>
    <w:p>
      <w:pPr>
        <w:sectPr>
          <w:pgSz w:w="11900" w:h="16838" w:orient="portrait"/>
          <w:cols w:equalWidth="0" w:num="2">
            <w:col w:w="5400" w:space="411"/>
            <w:col w:w="5329"/>
          </w:cols>
          <w:pgMar w:left="320" w:top="459" w:right="439" w:bottom="1440" w:gutter="0" w:footer="0" w:header="0"/>
          <w:type w:val="continuous"/>
        </w:sectPr>
      </w:pPr>
    </w:p>
    <w:p>
      <w:pPr>
        <w:spacing w:after="0" w:line="157"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Fiscal 2020 Business Performance Highlights:</w:t>
      </w:r>
    </w:p>
    <w:p>
      <w:pPr>
        <w:spacing w:after="0" w:line="269" w:lineRule="exact"/>
        <w:rPr>
          <w:sz w:val="20"/>
          <w:szCs w:val="20"/>
          <w:color w:val="auto"/>
        </w:rPr>
      </w:pPr>
    </w:p>
    <w:p>
      <w:pPr>
        <w:ind w:left="700" w:right="220" w:hanging="298"/>
        <w:spacing w:after="0" w:line="246" w:lineRule="auto"/>
        <w:tabs>
          <w:tab w:leader="none" w:pos="700" w:val="left"/>
        </w:tabs>
        <w:numPr>
          <w:ilvl w:val="0"/>
          <w:numId w:val="15"/>
        </w:numPr>
        <w:rPr>
          <w:rFonts w:ascii="Arial" w:cs="Arial" w:eastAsia="Arial" w:hAnsi="Arial"/>
          <w:sz w:val="18"/>
          <w:szCs w:val="18"/>
          <w:color w:val="003B71"/>
        </w:rPr>
      </w:pPr>
      <w:r>
        <w:rPr>
          <w:rFonts w:ascii="Arial" w:cs="Arial" w:eastAsia="Arial" w:hAnsi="Arial"/>
          <w:sz w:val="18"/>
          <w:szCs w:val="18"/>
          <w:color w:val="auto"/>
        </w:rPr>
        <w:t>Throughout 2020, our Company faced numerous challenges due to the COVID-19 Pandemic (the “COVID-19 Pandemic”) that required swift action by both Management and the Compensation Committee. Our response included:</w:t>
      </w:r>
    </w:p>
    <w:p>
      <w:pPr>
        <w:spacing w:after="0" w:line="102" w:lineRule="exact"/>
        <w:rPr>
          <w:rFonts w:ascii="Arial" w:cs="Arial" w:eastAsia="Arial" w:hAnsi="Arial"/>
          <w:sz w:val="18"/>
          <w:szCs w:val="18"/>
          <w:color w:val="003B71"/>
        </w:rPr>
      </w:pPr>
    </w:p>
    <w:p>
      <w:pPr>
        <w:ind w:left="1260" w:hanging="534"/>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Temporarily closing all stores.</w:t>
      </w:r>
    </w:p>
    <w:p>
      <w:pPr>
        <w:spacing w:after="0" w:line="117" w:lineRule="exact"/>
        <w:rPr>
          <w:rFonts w:ascii="Arial" w:cs="Arial" w:eastAsia="Arial" w:hAnsi="Arial"/>
          <w:sz w:val="18"/>
          <w:szCs w:val="18"/>
          <w:color w:val="auto"/>
        </w:rPr>
      </w:pPr>
    </w:p>
    <w:p>
      <w:pPr>
        <w:ind w:left="1260" w:hanging="534"/>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Significant reductions in capital spending and operating expenses.</w:t>
      </w:r>
    </w:p>
    <w:p>
      <w:pPr>
        <w:spacing w:after="0" w:line="117" w:lineRule="exact"/>
        <w:rPr>
          <w:rFonts w:ascii="Arial" w:cs="Arial" w:eastAsia="Arial" w:hAnsi="Arial"/>
          <w:sz w:val="18"/>
          <w:szCs w:val="18"/>
          <w:color w:val="auto"/>
        </w:rPr>
      </w:pPr>
    </w:p>
    <w:p>
      <w:pPr>
        <w:ind w:left="1260" w:right="220" w:hanging="534"/>
        <w:spacing w:after="0" w:line="246"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Temporary furlough of all store hourly team members and reduction in store management and corporate staff by 90% during initial store closing period.</w:t>
      </w:r>
    </w:p>
    <w:p>
      <w:pPr>
        <w:spacing w:after="0" w:line="102" w:lineRule="exact"/>
        <w:rPr>
          <w:rFonts w:ascii="Arial" w:cs="Arial" w:eastAsia="Arial" w:hAnsi="Arial"/>
          <w:sz w:val="18"/>
          <w:szCs w:val="18"/>
          <w:color w:val="auto"/>
        </w:rPr>
      </w:pPr>
    </w:p>
    <w:p>
      <w:pPr>
        <w:ind w:left="1260" w:hanging="534"/>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Suspension of quarterly dividend and share repurchase program.</w:t>
      </w:r>
    </w:p>
    <w:p>
      <w:pPr>
        <w:spacing w:after="0" w:line="117" w:lineRule="exact"/>
        <w:rPr>
          <w:rFonts w:ascii="Arial" w:cs="Arial" w:eastAsia="Arial" w:hAnsi="Arial"/>
          <w:sz w:val="18"/>
          <w:szCs w:val="18"/>
          <w:color w:val="auto"/>
        </w:rPr>
      </w:pPr>
    </w:p>
    <w:p>
      <w:pPr>
        <w:ind w:left="1260" w:hanging="534"/>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Drawdown of revolving credit facility.</w:t>
      </w:r>
    </w:p>
    <w:p>
      <w:pPr>
        <w:spacing w:after="0" w:line="117" w:lineRule="exact"/>
        <w:rPr>
          <w:rFonts w:ascii="Arial" w:cs="Arial" w:eastAsia="Arial" w:hAnsi="Arial"/>
          <w:sz w:val="18"/>
          <w:szCs w:val="18"/>
          <w:color w:val="auto"/>
        </w:rPr>
      </w:pPr>
    </w:p>
    <w:p>
      <w:pPr>
        <w:ind w:left="1260" w:right="220" w:hanging="534"/>
        <w:spacing w:after="0" w:line="246"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Agreements with landlords and vendors to further reduce expenses, extend payment terms and obtain other payment concessions.</w:t>
      </w:r>
    </w:p>
    <w:p>
      <w:pPr>
        <w:spacing w:after="0" w:line="102" w:lineRule="exact"/>
        <w:rPr>
          <w:rFonts w:ascii="Arial" w:cs="Arial" w:eastAsia="Arial" w:hAnsi="Arial"/>
          <w:sz w:val="18"/>
          <w:szCs w:val="18"/>
          <w:color w:val="auto"/>
        </w:rPr>
      </w:pPr>
    </w:p>
    <w:p>
      <w:pPr>
        <w:ind w:left="1260" w:hanging="534"/>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Gradual re-opening of stores with safety of team members and guests as top priority.</w:t>
      </w:r>
    </w:p>
    <w:p>
      <w:pPr>
        <w:spacing w:after="0" w:line="117" w:lineRule="exact"/>
        <w:rPr>
          <w:rFonts w:ascii="Arial" w:cs="Arial" w:eastAsia="Arial" w:hAnsi="Arial"/>
          <w:sz w:val="18"/>
          <w:szCs w:val="18"/>
          <w:color w:val="auto"/>
        </w:rPr>
      </w:pPr>
    </w:p>
    <w:p>
      <w:pPr>
        <w:ind w:left="1260" w:hanging="534"/>
        <w:spacing w:after="0"/>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Raising new equity capital through sale of shares of common stock in April and May of 2020.</w:t>
      </w:r>
    </w:p>
    <w:p>
      <w:pPr>
        <w:spacing w:after="0" w:line="117" w:lineRule="exact"/>
        <w:rPr>
          <w:rFonts w:ascii="Arial" w:cs="Arial" w:eastAsia="Arial" w:hAnsi="Arial"/>
          <w:sz w:val="18"/>
          <w:szCs w:val="18"/>
          <w:color w:val="auto"/>
        </w:rPr>
      </w:pPr>
    </w:p>
    <w:p>
      <w:pPr>
        <w:ind w:left="1260" w:right="200" w:hanging="534"/>
        <w:spacing w:after="0" w:line="246"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Restructuring long-term debt with issuance of senior secured notes in October 2020 and concurrent amendment of existing revolving credit facility terms including extension of maturity.</w:t>
      </w:r>
    </w:p>
    <w:p>
      <w:pPr>
        <w:spacing w:after="0" w:line="102" w:lineRule="exact"/>
        <w:rPr>
          <w:rFonts w:ascii="Arial" w:cs="Arial" w:eastAsia="Arial" w:hAnsi="Arial"/>
          <w:sz w:val="18"/>
          <w:szCs w:val="18"/>
          <w:color w:val="auto"/>
        </w:rPr>
      </w:pPr>
    </w:p>
    <w:p>
      <w:pPr>
        <w:ind w:left="700" w:hanging="298"/>
        <w:spacing w:after="0"/>
        <w:tabs>
          <w:tab w:leader="none" w:pos="700" w:val="left"/>
        </w:tabs>
        <w:numPr>
          <w:ilvl w:val="0"/>
          <w:numId w:val="15"/>
        </w:numPr>
        <w:rPr>
          <w:rFonts w:ascii="Arial" w:cs="Arial" w:eastAsia="Arial" w:hAnsi="Arial"/>
          <w:sz w:val="18"/>
          <w:szCs w:val="18"/>
          <w:color w:val="003B71"/>
        </w:rPr>
      </w:pPr>
      <w:r>
        <w:rPr>
          <w:rFonts w:ascii="Arial" w:cs="Arial" w:eastAsia="Arial" w:hAnsi="Arial"/>
          <w:sz w:val="18"/>
          <w:szCs w:val="18"/>
          <w:color w:val="auto"/>
        </w:rPr>
        <w:t>Total revenues and comparable store sales were negatively impacted by the COVID-19 Pandemic.</w:t>
      </w:r>
    </w:p>
    <w:p>
      <w:pPr>
        <w:spacing w:after="0" w:line="117" w:lineRule="exact"/>
        <w:rPr>
          <w:rFonts w:ascii="Arial" w:cs="Arial" w:eastAsia="Arial" w:hAnsi="Arial"/>
          <w:sz w:val="18"/>
          <w:szCs w:val="18"/>
          <w:color w:val="003B71"/>
        </w:rPr>
      </w:pPr>
    </w:p>
    <w:p>
      <w:pPr>
        <w:ind w:left="700" w:hanging="298"/>
        <w:spacing w:after="0"/>
        <w:tabs>
          <w:tab w:leader="none" w:pos="700" w:val="left"/>
        </w:tabs>
        <w:numPr>
          <w:ilvl w:val="0"/>
          <w:numId w:val="15"/>
        </w:numPr>
        <w:rPr>
          <w:rFonts w:ascii="Arial" w:cs="Arial" w:eastAsia="Arial" w:hAnsi="Arial"/>
          <w:sz w:val="18"/>
          <w:szCs w:val="18"/>
          <w:color w:val="003B71"/>
        </w:rPr>
      </w:pPr>
      <w:r>
        <w:rPr>
          <w:rFonts w:ascii="Arial" w:cs="Arial" w:eastAsia="Arial" w:hAnsi="Arial"/>
          <w:sz w:val="18"/>
          <w:szCs w:val="18"/>
          <w:color w:val="auto"/>
        </w:rPr>
        <w:t>Number of stores increased on a net basis by 2.9% with 6 new locations and 2 closed existing locations.</w:t>
      </w:r>
    </w:p>
    <w:p>
      <w:pPr>
        <w:spacing w:after="0" w:line="117" w:lineRule="exact"/>
        <w:rPr>
          <w:rFonts w:ascii="Arial" w:cs="Arial" w:eastAsia="Arial" w:hAnsi="Arial"/>
          <w:sz w:val="18"/>
          <w:szCs w:val="18"/>
          <w:color w:val="003B71"/>
        </w:rPr>
      </w:pPr>
    </w:p>
    <w:p>
      <w:pPr>
        <w:ind w:left="700" w:right="200" w:hanging="298"/>
        <w:spacing w:after="0" w:line="246" w:lineRule="auto"/>
        <w:tabs>
          <w:tab w:leader="none" w:pos="700" w:val="left"/>
        </w:tabs>
        <w:numPr>
          <w:ilvl w:val="0"/>
          <w:numId w:val="15"/>
        </w:numPr>
        <w:rPr>
          <w:rFonts w:ascii="Arial" w:cs="Arial" w:eastAsia="Arial" w:hAnsi="Arial"/>
          <w:sz w:val="18"/>
          <w:szCs w:val="18"/>
          <w:color w:val="003B71"/>
        </w:rPr>
      </w:pPr>
      <w:r>
        <w:rPr>
          <w:rFonts w:ascii="Arial" w:cs="Arial" w:eastAsia="Arial" w:hAnsi="Arial"/>
          <w:sz w:val="18"/>
          <w:szCs w:val="18"/>
          <w:color w:val="auto"/>
        </w:rPr>
        <w:t>Ended fiscal 2020 with $12 million in cash and equivalents and $280 million in available capacity under the revolving credit facility, net of a $150 million minimum liquidity covenant and $10 million in letters of credit.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55848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0715" cy="558482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Fiscal 2020 Executive Compensation Highlights and Key Practices:</w:t>
      </w:r>
    </w:p>
    <w:p>
      <w:pPr>
        <w:spacing w:after="0" w:line="255" w:lineRule="exact"/>
        <w:rPr>
          <w:sz w:val="20"/>
          <w:szCs w:val="20"/>
          <w:color w:val="auto"/>
        </w:rPr>
      </w:pPr>
    </w:p>
    <w:p>
      <w:pPr>
        <w:ind w:left="700" w:right="220" w:hanging="298"/>
        <w:spacing w:after="0" w:line="246" w:lineRule="auto"/>
        <w:tabs>
          <w:tab w:leader="none" w:pos="700" w:val="left"/>
        </w:tabs>
        <w:numPr>
          <w:ilvl w:val="0"/>
          <w:numId w:val="16"/>
        </w:numPr>
        <w:rPr>
          <w:rFonts w:ascii="Arial" w:cs="Arial" w:eastAsia="Arial" w:hAnsi="Arial"/>
          <w:sz w:val="18"/>
          <w:szCs w:val="18"/>
          <w:color w:val="003B71"/>
        </w:rPr>
      </w:pPr>
      <w:r>
        <w:rPr>
          <w:rFonts w:ascii="Arial" w:cs="Arial" w:eastAsia="Arial" w:hAnsi="Arial"/>
          <w:sz w:val="18"/>
          <w:szCs w:val="18"/>
          <w:color w:val="auto"/>
        </w:rPr>
        <w:t>In light of the COVID-19 Pandemic, the Compensation Committee made the following changes to fiscal 2019 incentive compensation payouts and fiscal 2020 compensation programs (as disclosed in the 2020 proxy statement):</w:t>
      </w:r>
    </w:p>
    <w:p>
      <w:pPr>
        <w:spacing w:after="0" w:line="102" w:lineRule="exact"/>
        <w:rPr>
          <w:rFonts w:ascii="Arial" w:cs="Arial" w:eastAsia="Arial" w:hAnsi="Arial"/>
          <w:sz w:val="18"/>
          <w:szCs w:val="18"/>
          <w:color w:val="003B71"/>
        </w:rPr>
      </w:pPr>
    </w:p>
    <w:p>
      <w:pPr>
        <w:ind w:left="1260" w:right="220" w:hanging="534"/>
        <w:spacing w:after="0" w:line="246"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Cash payouts on the 2019 Executive Incentive Plan were delayed and payments were made in awards of stock to preserve cash.</w:t>
      </w:r>
    </w:p>
    <w:p>
      <w:pPr>
        <w:spacing w:after="0" w:line="102" w:lineRule="exact"/>
        <w:rPr>
          <w:rFonts w:ascii="Arial" w:cs="Arial" w:eastAsia="Arial" w:hAnsi="Arial"/>
          <w:sz w:val="18"/>
          <w:szCs w:val="18"/>
          <w:color w:val="auto"/>
        </w:rPr>
      </w:pPr>
    </w:p>
    <w:p>
      <w:pPr>
        <w:ind w:left="1260" w:right="220" w:hanging="534"/>
        <w:spacing w:after="0" w:line="246"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Base salary reductions of 50% were implemented for 12 weeks from March to June 2020 for the CEO and all Senior Vice Presidents reporting to the CEO, including all named executive officers.</w:t>
      </w:r>
    </w:p>
    <w:p>
      <w:pPr>
        <w:spacing w:after="0" w:line="102" w:lineRule="exact"/>
        <w:rPr>
          <w:rFonts w:ascii="Arial" w:cs="Arial" w:eastAsia="Arial" w:hAnsi="Arial"/>
          <w:sz w:val="18"/>
          <w:szCs w:val="18"/>
          <w:color w:val="auto"/>
        </w:rPr>
      </w:pPr>
    </w:p>
    <w:p>
      <w:pPr>
        <w:ind w:left="1260" w:hanging="534"/>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Cash payments were waived by all members of the Board of Directors for the last three quarters of 2020.</w:t>
      </w:r>
    </w:p>
    <w:p>
      <w:pPr>
        <w:spacing w:after="0" w:line="117" w:lineRule="exact"/>
        <w:rPr>
          <w:rFonts w:ascii="Arial" w:cs="Arial" w:eastAsia="Arial" w:hAnsi="Arial"/>
          <w:sz w:val="18"/>
          <w:szCs w:val="18"/>
          <w:color w:val="auto"/>
        </w:rPr>
      </w:pPr>
    </w:p>
    <w:p>
      <w:pPr>
        <w:ind w:left="1260" w:hanging="534"/>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Merit-based increases in salaries for 2020 were eliminated.</w:t>
      </w:r>
    </w:p>
    <w:p>
      <w:pPr>
        <w:spacing w:after="0" w:line="117" w:lineRule="exact"/>
        <w:rPr>
          <w:rFonts w:ascii="Arial" w:cs="Arial" w:eastAsia="Arial" w:hAnsi="Arial"/>
          <w:sz w:val="18"/>
          <w:szCs w:val="18"/>
          <w:color w:val="auto"/>
        </w:rPr>
      </w:pPr>
    </w:p>
    <w:p>
      <w:pPr>
        <w:ind w:left="1260" w:hanging="534"/>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2014 Omnibus Incentive Plan was amended to increase available shares by 3.0 million and approved by shareholders.</w:t>
      </w:r>
    </w:p>
    <w:p>
      <w:pPr>
        <w:spacing w:after="0" w:line="117" w:lineRule="exact"/>
        <w:rPr>
          <w:rFonts w:ascii="Arial" w:cs="Arial" w:eastAsia="Arial" w:hAnsi="Arial"/>
          <w:sz w:val="18"/>
          <w:szCs w:val="18"/>
          <w:color w:val="auto"/>
        </w:rPr>
      </w:pPr>
    </w:p>
    <w:p>
      <w:pPr>
        <w:jc w:val="both"/>
        <w:ind w:left="1260" w:right="220" w:hanging="534"/>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Short- and long-term bonus plans were suspended for fiscal 2020, and the Compensation Committee adopted the 2020 Business Recovery and Transformation Plan (discussed below) to replace the original plans to address the Company’s needs during the COVID-19 Pandemic.</w:t>
      </w:r>
    </w:p>
    <w:p>
      <w:pPr>
        <w:spacing w:after="0" w:line="108" w:lineRule="exact"/>
        <w:rPr>
          <w:rFonts w:ascii="Arial" w:cs="Arial" w:eastAsia="Arial" w:hAnsi="Arial"/>
          <w:sz w:val="18"/>
          <w:szCs w:val="18"/>
          <w:color w:val="auto"/>
        </w:rPr>
      </w:pPr>
    </w:p>
    <w:p>
      <w:pPr>
        <w:ind w:left="700" w:hanging="298"/>
        <w:spacing w:after="0"/>
        <w:tabs>
          <w:tab w:leader="none" w:pos="700" w:val="left"/>
        </w:tabs>
        <w:numPr>
          <w:ilvl w:val="0"/>
          <w:numId w:val="16"/>
        </w:numPr>
        <w:rPr>
          <w:rFonts w:ascii="Arial" w:cs="Arial" w:eastAsia="Arial" w:hAnsi="Arial"/>
          <w:sz w:val="18"/>
          <w:szCs w:val="18"/>
          <w:color w:val="003B71"/>
        </w:rPr>
      </w:pPr>
      <w:r>
        <w:rPr>
          <w:rFonts w:ascii="Arial" w:cs="Arial" w:eastAsia="Arial" w:hAnsi="Arial"/>
          <w:sz w:val="18"/>
          <w:szCs w:val="18"/>
          <w:color w:val="auto"/>
        </w:rPr>
        <w:t>2020 Business Recovery and Transformation Plan</w:t>
      </w:r>
    </w:p>
    <w:p>
      <w:pPr>
        <w:spacing w:after="0" w:line="117" w:lineRule="exact"/>
        <w:rPr>
          <w:rFonts w:ascii="Arial" w:cs="Arial" w:eastAsia="Arial" w:hAnsi="Arial"/>
          <w:sz w:val="18"/>
          <w:szCs w:val="18"/>
          <w:color w:val="003B71"/>
        </w:rPr>
      </w:pPr>
    </w:p>
    <w:p>
      <w:pPr>
        <w:jc w:val="both"/>
        <w:ind w:left="1260" w:right="200" w:hanging="534"/>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to address the immediate cash liquidity needs to stabilize the business, prepare for recovery given the extraordinary impact of the COVID-19 Pandemic on our finances and business operations, and incentivize retention of key team members.</w:t>
      </w:r>
    </w:p>
    <w:p>
      <w:pPr>
        <w:spacing w:after="0" w:line="108" w:lineRule="exact"/>
        <w:rPr>
          <w:rFonts w:ascii="Arial" w:cs="Arial" w:eastAsia="Arial" w:hAnsi="Arial"/>
          <w:sz w:val="18"/>
          <w:szCs w:val="18"/>
          <w:color w:val="auto"/>
        </w:rPr>
      </w:pPr>
    </w:p>
    <w:p>
      <w:pPr>
        <w:ind w:left="1260" w:right="220" w:hanging="534"/>
        <w:spacing w:after="0" w:line="246"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Replaced both the 2020 short-term bonus, as well as the 2020 long-term incentive grant, with two equally weighted equity-based awards, performance-based Market Stock Units (MSUs) and Restricted Stock Units (RSUs).</w:t>
      </w:r>
    </w:p>
    <w:p>
      <w:pPr>
        <w:spacing w:after="0" w:line="102" w:lineRule="exact"/>
        <w:rPr>
          <w:rFonts w:ascii="Arial" w:cs="Arial" w:eastAsia="Arial" w:hAnsi="Arial"/>
          <w:sz w:val="18"/>
          <w:szCs w:val="18"/>
          <w:color w:val="auto"/>
        </w:rPr>
      </w:pPr>
    </w:p>
    <w:p>
      <w:pPr>
        <w:jc w:val="both"/>
        <w:ind w:left="1260" w:right="220" w:hanging="534"/>
        <w:spacing w:after="0"/>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MSUs are performance stock units, earned based on absolute stock price performance. The actual number of MSUs delivered is directly correlated to the absolute change in the Company’s stock price growth as measured on the first anniversary of grant.</w:t>
      </w:r>
    </w:p>
    <w:p>
      <w:pPr>
        <w:spacing w:after="0" w:line="108" w:lineRule="exact"/>
        <w:rPr>
          <w:rFonts w:ascii="Arial" w:cs="Arial" w:eastAsia="Arial" w:hAnsi="Arial"/>
          <w:sz w:val="18"/>
          <w:szCs w:val="18"/>
          <w:color w:val="auto"/>
        </w:rPr>
      </w:pPr>
    </w:p>
    <w:p>
      <w:pPr>
        <w:jc w:val="both"/>
        <w:ind w:left="1260" w:right="200" w:hanging="534"/>
        <w:spacing w:after="0" w:line="236" w:lineRule="auto"/>
        <w:tabs>
          <w:tab w:leader="none" w:pos="12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Given the uncertainty at the time of grant, the Compensation Committee did not believe it feasible to establish long-term performance goals as has been the historic practice for the Company. Instead, measuring the change in stock price was determined to be the most appropriate way to hold management accountable for the success of 2020 Business Recovery and Transformation Plan. This special compensation program was developed in direct response to the unprecedented impact of the COVID-19 Pandemic and its devastating impact on store operations. Management and the Board felt it was in the best interest of our investors to modify the pay program to maintain business and leadership stability during this period of uncertainty. While not required by SEC proxy disclosure rules, we felt it was imperative to be timely and completely transparent to our investors about these unique changes to our compensation program in 2020 and they were clearly communicated in our proxy last year. Our investors were generally supportive of these pay actions as evidenced by the overwhelming (99%) support of our Say-on-Pay vote. Management and the Board intend to return to the Company’s performance-based short- and long-term incentive programs as the business recovers.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207645</wp:posOffset>
            </wp:positionV>
            <wp:extent cx="6990715" cy="2215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0715" cy="221551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4C4C4C"/>
        </w:rPr>
        <w:t>Corporate Social Responsibility:</w:t>
      </w:r>
    </w:p>
    <w:p>
      <w:pPr>
        <w:spacing w:after="0" w:line="255" w:lineRule="exact"/>
        <w:rPr>
          <w:sz w:val="20"/>
          <w:szCs w:val="20"/>
          <w:color w:val="auto"/>
        </w:rPr>
      </w:pPr>
    </w:p>
    <w:p>
      <w:pPr>
        <w:ind w:left="700" w:hanging="298"/>
        <w:spacing w:after="0"/>
        <w:tabs>
          <w:tab w:leader="none" w:pos="700" w:val="left"/>
        </w:tabs>
        <w:numPr>
          <w:ilvl w:val="0"/>
          <w:numId w:val="17"/>
        </w:numPr>
        <w:rPr>
          <w:rFonts w:ascii="Arial" w:cs="Arial" w:eastAsia="Arial" w:hAnsi="Arial"/>
          <w:sz w:val="18"/>
          <w:szCs w:val="18"/>
          <w:color w:val="003B71"/>
        </w:rPr>
      </w:pPr>
      <w:r>
        <w:rPr>
          <w:rFonts w:ascii="Arial" w:cs="Arial" w:eastAsia="Arial" w:hAnsi="Arial"/>
          <w:sz w:val="18"/>
          <w:szCs w:val="18"/>
          <w:color w:val="auto"/>
        </w:rPr>
        <w:t>In 2020, we strengthened its commitment to diversity, equity and inclusion by the following actions:</w:t>
      </w:r>
    </w:p>
    <w:p>
      <w:pPr>
        <w:spacing w:after="0" w:line="117" w:lineRule="exact"/>
        <w:rPr>
          <w:rFonts w:ascii="Arial" w:cs="Arial" w:eastAsia="Arial" w:hAnsi="Arial"/>
          <w:sz w:val="18"/>
          <w:szCs w:val="18"/>
          <w:color w:val="003B71"/>
        </w:rPr>
      </w:pPr>
    </w:p>
    <w:p>
      <w:pPr>
        <w:ind w:left="1260" w:hanging="534"/>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Adopted an enterprise Human Rights Policy, which can be found on the Company’s website.</w:t>
      </w:r>
    </w:p>
    <w:p>
      <w:pPr>
        <w:spacing w:after="0" w:line="117" w:lineRule="exact"/>
        <w:rPr>
          <w:rFonts w:ascii="Arial" w:cs="Arial" w:eastAsia="Arial" w:hAnsi="Arial"/>
          <w:sz w:val="18"/>
          <w:szCs w:val="18"/>
          <w:color w:val="auto"/>
        </w:rPr>
      </w:pPr>
    </w:p>
    <w:p>
      <w:pPr>
        <w:jc w:val="both"/>
        <w:ind w:left="1260" w:right="220" w:hanging="534"/>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Formed a Human Resources Steering Committee comprised of leaders from different levels and departments within the Company that is specifically charged with stewardship of, and ensuring accountability to, the Company’s diversity, equity and inclusion strategy and goals.</w:t>
      </w:r>
    </w:p>
    <w:p>
      <w:pPr>
        <w:spacing w:after="0" w:line="108" w:lineRule="exact"/>
        <w:rPr>
          <w:rFonts w:ascii="Arial" w:cs="Arial" w:eastAsia="Arial" w:hAnsi="Arial"/>
          <w:sz w:val="18"/>
          <w:szCs w:val="18"/>
          <w:color w:val="auto"/>
        </w:rPr>
      </w:pPr>
    </w:p>
    <w:p>
      <w:pPr>
        <w:jc w:val="both"/>
        <w:ind w:left="1260" w:right="220" w:hanging="534"/>
        <w:spacing w:after="0"/>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Set goals for improving representation of women and team members who are black, indigenous, or people of color in the Company’s corporate and field leadership teams and began providing quarterly updates to the Board of Directors on progress in meeting these goals.</w:t>
      </w:r>
    </w:p>
    <w:p>
      <w:pPr>
        <w:spacing w:after="0" w:line="108" w:lineRule="exact"/>
        <w:rPr>
          <w:rFonts w:ascii="Arial" w:cs="Arial" w:eastAsia="Arial" w:hAnsi="Arial"/>
          <w:sz w:val="18"/>
          <w:szCs w:val="18"/>
          <w:color w:val="auto"/>
        </w:rPr>
      </w:pPr>
    </w:p>
    <w:p>
      <w:pPr>
        <w:ind w:left="1260" w:right="220" w:hanging="534"/>
        <w:spacing w:after="0" w:line="246" w:lineRule="auto"/>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Improved representation of women on internal governance committees by more than 50% and increased representation of team members who are black, indigenous, or people of color on these committees by nearly 100%.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tabs>
          <w:tab w:leader="none" w:pos="560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PROPOSAL NO. 1</w:t>
      </w:r>
    </w:p>
    <w:p>
      <w:pPr>
        <w:jc w:val="center"/>
        <w:ind w:right="-99"/>
        <w:spacing w:after="0"/>
        <w:rPr>
          <w:sz w:val="20"/>
          <w:szCs w:val="20"/>
          <w:color w:val="auto"/>
        </w:rPr>
      </w:pPr>
      <w:r>
        <w:rPr>
          <w:rFonts w:ascii="Arial" w:cs="Arial" w:eastAsia="Arial" w:hAnsi="Arial"/>
          <w:sz w:val="40"/>
          <w:szCs w:val="40"/>
          <w:color w:val="003B71"/>
        </w:rPr>
        <w:t>ELECTION OF DIRECTORS</w:t>
      </w:r>
    </w:p>
    <w:p>
      <w:pPr>
        <w:spacing w:after="0" w:line="18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Your proxy will be used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of the nominees named below unless you abstain from or vote against the nominees when you send in your proxy. The Company’s Board of Directors will be comprised of nine (9) members. Each of the nominees for election to the Board of Directors is currently a director of the Company. If elected at the Annual Meeting, each of the nominees will serve for one year or until his or her successor is duly elected and qualified, or until such director’s earlier death, resignation or removal. If any of the nominees is unable or unwilling to be a candidate for election by the time of the Annual Meeting (a contingency which the Board does not expect to occur), the shareholders may vote for a substitute nominee chosen by the present Board to fill a vacancy. In the alternative, the shareholders may vote for just the remaining nominees leaving a vacancy that may be filled later by the Board. Alternatively, the Board may reduce its size.</w:t>
      </w:r>
    </w:p>
    <w:p>
      <w:pPr>
        <w:spacing w:after="0" w:line="20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are furnishing below certain biographical information about each of the nine (9) nominees for director. Also included is a description of the experience, qualifications, attributes and skills of each nominee.</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James P.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2417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3415" cy="2417445"/>
                    </a:xfrm>
                    <a:prstGeom prst="rect">
                      <a:avLst/>
                    </a:prstGeom>
                    <a:noFill/>
                  </pic:spPr>
                </pic:pic>
              </a:graphicData>
            </a:graphic>
          </wp:anchor>
        </w:drawing>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60" w:type="dxa"/>
            <w:vAlign w:val="bottom"/>
            <w:tcBorders>
              <w:top w:val="single" w:sz="8" w:color="003B71"/>
            </w:tcBorders>
          </w:tcPr>
          <w:p>
            <w:pPr>
              <w:spacing w:after="0"/>
              <w:rPr>
                <w:sz w:val="16"/>
                <w:szCs w:val="16"/>
                <w:color w:val="auto"/>
              </w:rPr>
            </w:pPr>
          </w:p>
        </w:tc>
        <w:tc>
          <w:tcPr>
            <w:tcW w:w="4940" w:type="dxa"/>
            <w:vAlign w:val="bottom"/>
            <w:tcBorders>
              <w:top w:val="single" w:sz="8" w:color="003B71"/>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2020</w:t>
            </w:r>
          </w:p>
        </w:tc>
        <w:tc>
          <w:tcPr>
            <w:tcW w:w="5920" w:type="dxa"/>
            <w:vAlign w:val="bottom"/>
            <w:tcBorders>
              <w:top w:val="single" w:sz="8" w:color="003B71"/>
            </w:tcBorders>
          </w:tcPr>
          <w:p>
            <w:pPr>
              <w:ind w:left="180"/>
              <w:spacing w:after="0" w:line="195" w:lineRule="exact"/>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35</w:t>
            </w:r>
          </w:p>
        </w:tc>
      </w:tr>
      <w:tr>
        <w:trPr>
          <w:trHeight w:val="203"/>
        </w:trPr>
        <w:tc>
          <w:tcPr>
            <w:tcW w:w="160" w:type="dxa"/>
            <w:vAlign w:val="bottom"/>
          </w:tcPr>
          <w:p>
            <w:pPr>
              <w:spacing w:after="0"/>
              <w:rPr>
                <w:sz w:val="17"/>
                <w:szCs w:val="17"/>
                <w:color w:val="auto"/>
              </w:rPr>
            </w:pPr>
          </w:p>
        </w:tc>
        <w:tc>
          <w:tcPr>
            <w:tcW w:w="494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Audit, Compensation, and Finance</w:t>
            </w:r>
          </w:p>
        </w:tc>
        <w:tc>
          <w:tcPr>
            <w:tcW w:w="5920" w:type="dxa"/>
            <w:vAlign w:val="bottom"/>
          </w:tcPr>
          <w:p>
            <w:pPr>
              <w:ind w:left="180"/>
              <w:spacing w:after="0" w:line="202"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tc>
      </w:tr>
      <w:tr>
        <w:trPr>
          <w:trHeight w:val="176"/>
        </w:trPr>
        <w:tc>
          <w:tcPr>
            <w:tcW w:w="160" w:type="dxa"/>
            <w:vAlign w:val="bottom"/>
          </w:tcPr>
          <w:p>
            <w:pPr>
              <w:spacing w:after="0"/>
              <w:rPr>
                <w:sz w:val="15"/>
                <w:szCs w:val="15"/>
                <w:color w:val="auto"/>
              </w:rPr>
            </w:pPr>
          </w:p>
        </w:tc>
        <w:tc>
          <w:tcPr>
            <w:tcW w:w="4940" w:type="dxa"/>
            <w:vAlign w:val="bottom"/>
            <w:gridSpan w:val="2"/>
          </w:tcPr>
          <w:p>
            <w:pPr>
              <w:spacing w:after="0" w:line="176"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URRENT</w:t>
            </w:r>
            <w:r>
              <w:rPr>
                <w:rFonts w:ascii="Arial" w:cs="Arial" w:eastAsia="Arial" w:hAnsi="Arial"/>
                <w:sz w:val="18"/>
                <w:szCs w:val="18"/>
                <w:color w:val="auto"/>
              </w:rPr>
              <w:t xml:space="preserve"> P</w:t>
            </w:r>
            <w:r>
              <w:rPr>
                <w:rFonts w:ascii="Arial" w:cs="Arial" w:eastAsia="Arial" w:hAnsi="Arial"/>
                <w:sz w:val="14"/>
                <w:szCs w:val="14"/>
                <w:color w:val="auto"/>
              </w:rPr>
              <w:t>OSITION</w:t>
            </w:r>
            <w:r>
              <w:rPr>
                <w:rFonts w:ascii="Arial" w:cs="Arial" w:eastAsia="Arial" w:hAnsi="Arial"/>
                <w:sz w:val="18"/>
                <w:szCs w:val="18"/>
                <w:color w:val="auto"/>
              </w:rPr>
              <w:t>:</w:t>
            </w:r>
          </w:p>
        </w:tc>
        <w:tc>
          <w:tcPr>
            <w:tcW w:w="59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bl>
    <w:p>
      <w:pPr>
        <w:spacing w:after="0" w:line="31" w:lineRule="exact"/>
        <w:rPr>
          <w:sz w:val="20"/>
          <w:szCs w:val="20"/>
          <w:color w:val="auto"/>
        </w:rPr>
      </w:pPr>
    </w:p>
    <w:p>
      <w:pPr>
        <w:ind w:left="400" w:hanging="127"/>
        <w:spacing w:after="0"/>
        <w:tabs>
          <w:tab w:leader="none" w:pos="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Partner of </w:t>
      </w:r>
      <w:r>
        <w:rPr>
          <w:rFonts w:ascii="Arial" w:cs="Arial" w:eastAsia="Arial" w:hAnsi="Arial"/>
          <w:sz w:val="14"/>
          <w:szCs w:val="14"/>
          <w:i w:val="1"/>
          <w:iCs w:val="1"/>
          <w:color w:val="auto"/>
        </w:rPr>
        <w:t>Hill Path Capital, LP</w:t>
      </w:r>
      <w:r>
        <w:rPr>
          <w:rFonts w:ascii="Arial" w:cs="Arial" w:eastAsia="Arial" w:hAnsi="Arial"/>
          <w:sz w:val="14"/>
          <w:szCs w:val="14"/>
          <w:color w:val="auto"/>
        </w:rPr>
        <w:t>, a private investment firm investing in the equity and debt of public and private companies since 2016.</w:t>
      </w:r>
    </w:p>
    <w:p>
      <w:pPr>
        <w:spacing w:after="0" w:line="15" w:lineRule="exact"/>
        <w:rPr>
          <w:rFonts w:ascii="Arial" w:cs="Arial" w:eastAsia="Arial" w:hAnsi="Arial"/>
          <w:sz w:val="14"/>
          <w:szCs w:val="14"/>
          <w:color w:val="auto"/>
        </w:rPr>
      </w:pPr>
    </w:p>
    <w:p>
      <w:pPr>
        <w:ind w:left="2340"/>
        <w:spacing w:after="0"/>
        <w:rPr>
          <w:rFonts w:ascii="Arial" w:cs="Arial" w:eastAsia="Arial" w:hAnsi="Arial"/>
          <w:sz w:val="14"/>
          <w:szCs w:val="14"/>
          <w:color w:val="auto"/>
        </w:rPr>
      </w:pPr>
      <w:r>
        <w:rPr>
          <w:rFonts w:ascii="Arial" w:cs="Arial" w:eastAsia="Arial" w:hAnsi="Arial"/>
          <w:sz w:val="14"/>
          <w:szCs w:val="14"/>
          <w:b w:val="1"/>
          <w:bCs w:val="1"/>
          <w:color w:val="auto"/>
        </w:rPr>
        <w:t>Leadership, Strategy, Investments, Leisure &amp; Hospitality, Entertainment, Finance and Governance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4" w:lineRule="exact"/>
        <w:rPr>
          <w:sz w:val="20"/>
          <w:szCs w:val="20"/>
          <w:color w:val="auto"/>
        </w:rPr>
      </w:pPr>
    </w:p>
    <w:p>
      <w:pPr>
        <w:ind w:left="400" w:hanging="127"/>
        <w:spacing w:after="0"/>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 xml:space="preserve">Apollo Global Management, Inc. </w:t>
      </w:r>
      <w:r>
        <w:rPr>
          <w:rFonts w:ascii="Arial" w:cs="Arial" w:eastAsia="Arial" w:hAnsi="Arial"/>
          <w:sz w:val="14"/>
          <w:szCs w:val="14"/>
          <w:color w:val="auto"/>
        </w:rPr>
        <w:t>a global alternative investment management firm:</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19"/>
        </w:numPr>
        <w:rPr>
          <w:rFonts w:ascii="Arial" w:cs="Arial" w:eastAsia="Arial" w:hAnsi="Arial"/>
          <w:sz w:val="14"/>
          <w:szCs w:val="14"/>
          <w:color w:val="003B71"/>
        </w:rPr>
      </w:pPr>
      <w:r>
        <w:rPr>
          <w:rFonts w:ascii="Arial" w:cs="Arial" w:eastAsia="Arial" w:hAnsi="Arial"/>
          <w:sz w:val="14"/>
          <w:szCs w:val="14"/>
          <w:color w:val="auto"/>
        </w:rPr>
        <w:t>Principal (2009-2016)</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Leadership, Strategy, Leisure &amp; Hospitality, Entertainment, Finance and Governance</w:t>
      </w:r>
    </w:p>
    <w:p>
      <w:pPr>
        <w:spacing w:after="0" w:line="1" w:lineRule="exact"/>
        <w:rPr>
          <w:sz w:val="20"/>
          <w:szCs w:val="20"/>
          <w:color w:val="auto"/>
        </w:rPr>
      </w:pPr>
    </w:p>
    <w:p>
      <w:pPr>
        <w:ind w:left="400" w:hanging="127"/>
        <w:spacing w:after="0"/>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 xml:space="preserve">Goldman Sachs &amp; Co., Inc, </w:t>
      </w:r>
      <w:r>
        <w:rPr>
          <w:rFonts w:ascii="Arial" w:cs="Arial" w:eastAsia="Arial" w:hAnsi="Arial"/>
          <w:sz w:val="14"/>
          <w:szCs w:val="14"/>
          <w:color w:val="auto"/>
        </w:rPr>
        <w:t>a multinational investment bank and financial services company:</w:t>
      </w:r>
    </w:p>
    <w:p>
      <w:pPr>
        <w:spacing w:after="0" w:line="1" w:lineRule="exact"/>
        <w:rPr>
          <w:rFonts w:ascii="Arial" w:cs="Arial" w:eastAsia="Arial" w:hAnsi="Arial"/>
          <w:sz w:val="14"/>
          <w:szCs w:val="14"/>
          <w:color w:val="auto"/>
        </w:rPr>
      </w:pPr>
    </w:p>
    <w:p>
      <w:pPr>
        <w:ind w:left="580" w:hanging="163"/>
        <w:spacing w:after="0"/>
        <w:tabs>
          <w:tab w:leader="none" w:pos="580" w:val="left"/>
        </w:tabs>
        <w:numPr>
          <w:ilvl w:val="1"/>
          <w:numId w:val="20"/>
        </w:numPr>
        <w:rPr>
          <w:rFonts w:ascii="Arial" w:cs="Arial" w:eastAsia="Arial" w:hAnsi="Arial"/>
          <w:sz w:val="14"/>
          <w:szCs w:val="14"/>
          <w:color w:val="003B71"/>
        </w:rPr>
      </w:pPr>
      <w:r>
        <w:rPr>
          <w:rFonts w:ascii="Arial" w:cs="Arial" w:eastAsia="Arial" w:hAnsi="Arial"/>
          <w:sz w:val="14"/>
          <w:szCs w:val="14"/>
          <w:color w:val="auto"/>
        </w:rPr>
        <w:t>Analyst, Consumer Retail Group, Investment Banking Division (2009-2011)</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Leadership, Strategy, Retail, Investment, Finance, Food &amp; Beverage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60" w:type="dxa"/>
            <w:vAlign w:val="bottom"/>
          </w:tcPr>
          <w:p>
            <w:pPr>
              <w:ind w:left="40"/>
              <w:spacing w:after="0"/>
              <w:rPr>
                <w:sz w:val="20"/>
                <w:szCs w:val="20"/>
                <w:color w:val="auto"/>
              </w:rPr>
            </w:pPr>
            <w:r>
              <w:rPr>
                <w:rFonts w:ascii="Arial" w:cs="Arial" w:eastAsia="Arial" w:hAnsi="Arial"/>
                <w:sz w:val="14"/>
                <w:szCs w:val="14"/>
                <w:color w:val="auto"/>
              </w:rPr>
              <w:t>Current:</w:t>
            </w:r>
          </w:p>
        </w:tc>
        <w:tc>
          <w:tcPr>
            <w:tcW w:w="4100" w:type="dxa"/>
            <w:vAlign w:val="bottom"/>
            <w:tcBorders>
              <w:right w:val="single" w:sz="8" w:color="auto"/>
            </w:tcBorders>
            <w:gridSpan w:val="4"/>
          </w:tcPr>
          <w:p>
            <w:pPr>
              <w:ind w:left="160"/>
              <w:spacing w:after="0"/>
              <w:rPr>
                <w:sz w:val="20"/>
                <w:szCs w:val="20"/>
                <w:color w:val="auto"/>
              </w:rPr>
            </w:pPr>
            <w:r>
              <w:rPr>
                <w:rFonts w:ascii="Arial" w:cs="Arial" w:eastAsia="Arial" w:hAnsi="Arial"/>
                <w:sz w:val="14"/>
                <w:szCs w:val="14"/>
                <w:color w:val="auto"/>
              </w:rPr>
              <w:t>Dave &amp; Buster’s Entertainment, Inc.</w:t>
            </w:r>
          </w:p>
        </w:tc>
        <w:tc>
          <w:tcPr>
            <w:tcW w:w="2960" w:type="dxa"/>
            <w:vAlign w:val="bottom"/>
          </w:tcPr>
          <w:p>
            <w:pPr>
              <w:ind w:left="260"/>
              <w:spacing w:after="0"/>
              <w:rPr>
                <w:sz w:val="20"/>
                <w:szCs w:val="20"/>
                <w:color w:val="auto"/>
              </w:rPr>
            </w:pPr>
            <w:r>
              <w:rPr>
                <w:rFonts w:ascii="Arial" w:cs="Arial" w:eastAsia="Arial" w:hAnsi="Arial"/>
                <w:sz w:val="14"/>
                <w:szCs w:val="14"/>
                <w:color w:val="auto"/>
              </w:rPr>
              <w:t>SeaWorld Entertainment, Inc.</w:t>
            </w: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2120" w:type="dxa"/>
            <w:vAlign w:val="bottom"/>
            <w:tcBorders>
              <w:bottom w:val="single" w:sz="8" w:color="auto"/>
            </w:tcBorders>
            <w:gridSpan w:val="3"/>
          </w:tcPr>
          <w:p>
            <w:pPr>
              <w:spacing w:after="0" w:line="202" w:lineRule="exact"/>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760" w:type="dxa"/>
            <w:vAlign w:val="bottom"/>
            <w:gridSpan w:val="2"/>
          </w:tcPr>
          <w:p>
            <w:pPr>
              <w:spacing w:after="0"/>
              <w:rPr>
                <w:sz w:val="17"/>
                <w:szCs w:val="17"/>
                <w:color w:val="auto"/>
              </w:rPr>
            </w:pPr>
          </w:p>
        </w:tc>
        <w:tc>
          <w:tcPr>
            <w:tcW w:w="20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54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Prior: CEC Entertainment</w:t>
            </w:r>
          </w:p>
        </w:tc>
        <w:tc>
          <w:tcPr>
            <w:tcW w:w="260" w:type="dxa"/>
            <w:vAlign w:val="bottom"/>
          </w:tcPr>
          <w:p>
            <w:pPr>
              <w:spacing w:after="0"/>
              <w:rPr>
                <w:sz w:val="17"/>
                <w:szCs w:val="17"/>
                <w:color w:val="auto"/>
              </w:rPr>
            </w:pPr>
          </w:p>
        </w:tc>
        <w:tc>
          <w:tcPr>
            <w:tcW w:w="20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Great Wolf Resorts, Inc.</w:t>
            </w:r>
          </w:p>
        </w:tc>
        <w:tc>
          <w:tcPr>
            <w:tcW w:w="2960" w:type="dxa"/>
            <w:vAlign w:val="bottom"/>
            <w:tcBorders>
              <w:right w:val="single" w:sz="8" w:color="auto"/>
            </w:tcBorders>
          </w:tcPr>
          <w:p>
            <w:pPr>
              <w:ind w:left="260"/>
              <w:spacing w:after="0"/>
              <w:rPr>
                <w:sz w:val="20"/>
                <w:szCs w:val="20"/>
                <w:color w:val="auto"/>
              </w:rPr>
            </w:pPr>
            <w:r>
              <w:rPr>
                <w:rFonts w:ascii="Arial" w:cs="Arial" w:eastAsia="Arial" w:hAnsi="Arial"/>
                <w:sz w:val="14"/>
                <w:szCs w:val="14"/>
                <w:color w:val="auto"/>
              </w:rPr>
              <w:t>Principal Maritime Tankers Corp.</w:t>
            </w:r>
          </w:p>
        </w:tc>
        <w:tc>
          <w:tcPr>
            <w:tcW w:w="2980" w:type="dxa"/>
            <w:vAlign w:val="bottom"/>
            <w:gridSpan w:val="2"/>
          </w:tcPr>
          <w:p>
            <w:pPr>
              <w:ind w:left="280"/>
              <w:spacing w:after="0"/>
              <w:rPr>
                <w:sz w:val="20"/>
                <w:szCs w:val="20"/>
                <w:color w:val="auto"/>
              </w:rPr>
            </w:pPr>
            <w:r>
              <w:rPr>
                <w:rFonts w:ascii="Arial" w:cs="Arial" w:eastAsia="Arial" w:hAnsi="Arial"/>
                <w:sz w:val="14"/>
                <w:szCs w:val="14"/>
                <w:color w:val="auto"/>
              </w:rPr>
              <w:t>Principal Chemical Carriers, LLC</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8"/>
              </w:rPr>
              <w:t>E</w:t>
            </w:r>
            <w:r>
              <w:rPr>
                <w:rFonts w:ascii="Arial" w:cs="Arial" w:eastAsia="Arial" w:hAnsi="Arial"/>
                <w:sz w:val="13"/>
                <w:szCs w:val="13"/>
                <w:color w:val="auto"/>
                <w:w w:val="98"/>
              </w:rPr>
              <w:t>DUCATION</w:t>
            </w:r>
            <w:r>
              <w:rPr>
                <w:rFonts w:ascii="Arial" w:cs="Arial" w:eastAsia="Arial" w:hAnsi="Arial"/>
                <w:sz w:val="16"/>
                <w:szCs w:val="16"/>
                <w:color w:val="auto"/>
                <w:w w:val="98"/>
              </w:rPr>
              <w:t>:</w:t>
            </w:r>
          </w:p>
        </w:tc>
        <w:tc>
          <w:tcPr>
            <w:tcW w:w="1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820" w:type="dxa"/>
            <w:vAlign w:val="bottom"/>
            <w:gridSpan w:val="6"/>
          </w:tcPr>
          <w:p>
            <w:pPr>
              <w:ind w:left="40"/>
              <w:spacing w:after="0"/>
              <w:rPr>
                <w:sz w:val="20"/>
                <w:szCs w:val="20"/>
                <w:color w:val="auto"/>
              </w:rPr>
            </w:pPr>
            <w:r>
              <w:rPr>
                <w:rFonts w:ascii="Arial" w:cs="Arial" w:eastAsia="Arial" w:hAnsi="Arial"/>
                <w:sz w:val="14"/>
                <w:szCs w:val="14"/>
                <w:color w:val="auto"/>
              </w:rPr>
              <w:t>B.A. Political Science and Certificate in Markets and Management, Duke University</w:t>
            </w:r>
          </w:p>
        </w:tc>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160" w:type="dxa"/>
            <w:vAlign w:val="bottom"/>
            <w:tcBorders>
              <w:bottom w:val="single" w:sz="8" w:color="003B71"/>
            </w:tcBorders>
          </w:tcPr>
          <w:p>
            <w:pPr>
              <w:spacing w:after="0"/>
              <w:rPr>
                <w:sz w:val="6"/>
                <w:szCs w:val="6"/>
                <w:color w:val="auto"/>
              </w:rPr>
            </w:pPr>
          </w:p>
        </w:tc>
        <w:tc>
          <w:tcPr>
            <w:tcW w:w="2120" w:type="dxa"/>
            <w:vAlign w:val="bottom"/>
            <w:tcBorders>
              <w:bottom w:val="single" w:sz="8" w:color="003B71"/>
            </w:tcBorders>
            <w:gridSpan w:val="3"/>
          </w:tcPr>
          <w:p>
            <w:pPr>
              <w:spacing w:after="0"/>
              <w:rPr>
                <w:sz w:val="6"/>
                <w:szCs w:val="6"/>
                <w:color w:val="auto"/>
              </w:rPr>
            </w:pPr>
          </w:p>
        </w:tc>
        <w:tc>
          <w:tcPr>
            <w:tcW w:w="500" w:type="dxa"/>
            <w:vAlign w:val="bottom"/>
            <w:tcBorders>
              <w:bottom w:val="single" w:sz="8" w:color="003B71"/>
            </w:tcBorders>
          </w:tcPr>
          <w:p>
            <w:pPr>
              <w:spacing w:after="0"/>
              <w:rPr>
                <w:sz w:val="6"/>
                <w:szCs w:val="6"/>
                <w:color w:val="auto"/>
              </w:rPr>
            </w:pPr>
          </w:p>
        </w:tc>
        <w:tc>
          <w:tcPr>
            <w:tcW w:w="260" w:type="dxa"/>
            <w:vAlign w:val="bottom"/>
            <w:tcBorders>
              <w:bottom w:val="single" w:sz="8" w:color="003B71"/>
            </w:tcBorders>
          </w:tcPr>
          <w:p>
            <w:pPr>
              <w:spacing w:after="0"/>
              <w:rPr>
                <w:sz w:val="6"/>
                <w:szCs w:val="6"/>
                <w:color w:val="auto"/>
              </w:rPr>
            </w:pPr>
          </w:p>
        </w:tc>
        <w:tc>
          <w:tcPr>
            <w:tcW w:w="2060" w:type="dxa"/>
            <w:vAlign w:val="bottom"/>
            <w:tcBorders>
              <w:bottom w:val="single" w:sz="8" w:color="003B71"/>
            </w:tcBorders>
          </w:tcPr>
          <w:p>
            <w:pPr>
              <w:spacing w:after="0"/>
              <w:rPr>
                <w:sz w:val="6"/>
                <w:szCs w:val="6"/>
                <w:color w:val="auto"/>
              </w:rPr>
            </w:pPr>
          </w:p>
        </w:tc>
        <w:tc>
          <w:tcPr>
            <w:tcW w:w="2960" w:type="dxa"/>
            <w:vAlign w:val="bottom"/>
            <w:tcBorders>
              <w:bottom w:val="single" w:sz="8" w:color="003B71"/>
            </w:tcBorders>
          </w:tcPr>
          <w:p>
            <w:pPr>
              <w:spacing w:after="0"/>
              <w:rPr>
                <w:sz w:val="6"/>
                <w:szCs w:val="6"/>
                <w:color w:val="auto"/>
              </w:rPr>
            </w:pPr>
          </w:p>
        </w:tc>
        <w:tc>
          <w:tcPr>
            <w:tcW w:w="2960" w:type="dxa"/>
            <w:vAlign w:val="bottom"/>
            <w:tcBorders>
              <w:bottom w:val="single" w:sz="8" w:color="003B71"/>
            </w:tcBorders>
          </w:tcPr>
          <w:p>
            <w:pPr>
              <w:spacing w:after="0"/>
              <w:rPr>
                <w:sz w:val="6"/>
                <w:szCs w:val="6"/>
                <w:color w:val="auto"/>
              </w:rPr>
            </w:pPr>
          </w:p>
        </w:tc>
        <w:tc>
          <w:tcPr>
            <w:tcW w:w="20" w:type="dxa"/>
            <w:vAlign w:val="bottom"/>
            <w:tcBorders>
              <w:bottom w:val="single" w:sz="8" w:color="003B71"/>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60" w:type="dxa"/>
            <w:vAlign w:val="bottom"/>
            <w:tcBorders>
              <w:bottom w:val="single" w:sz="8" w:color="003B71"/>
            </w:tcBorders>
          </w:tcPr>
          <w:p>
            <w:pPr>
              <w:spacing w:after="0"/>
              <w:rPr>
                <w:sz w:val="12"/>
                <w:szCs w:val="12"/>
                <w:color w:val="auto"/>
              </w:rPr>
            </w:pPr>
          </w:p>
        </w:tc>
        <w:tc>
          <w:tcPr>
            <w:tcW w:w="2120" w:type="dxa"/>
            <w:vAlign w:val="bottom"/>
            <w:tcBorders>
              <w:bottom w:val="single" w:sz="8" w:color="003B71"/>
            </w:tcBorders>
            <w:gridSpan w:val="3"/>
          </w:tcPr>
          <w:p>
            <w:pPr>
              <w:spacing w:after="0"/>
              <w:rPr>
                <w:sz w:val="12"/>
                <w:szCs w:val="12"/>
                <w:color w:val="auto"/>
              </w:rPr>
            </w:pPr>
          </w:p>
        </w:tc>
        <w:tc>
          <w:tcPr>
            <w:tcW w:w="760" w:type="dxa"/>
            <w:vAlign w:val="bottom"/>
            <w:tcBorders>
              <w:bottom w:val="single" w:sz="8" w:color="003B71"/>
            </w:tcBorders>
            <w:gridSpan w:val="2"/>
          </w:tcPr>
          <w:p>
            <w:pPr>
              <w:spacing w:after="0"/>
              <w:rPr>
                <w:sz w:val="12"/>
                <w:szCs w:val="12"/>
                <w:color w:val="auto"/>
              </w:rPr>
            </w:pPr>
          </w:p>
        </w:tc>
        <w:tc>
          <w:tcPr>
            <w:tcW w:w="2060" w:type="dxa"/>
            <w:vAlign w:val="bottom"/>
            <w:tcBorders>
              <w:bottom w:val="single" w:sz="8" w:color="003B71"/>
            </w:tcBorders>
          </w:tcPr>
          <w:p>
            <w:pPr>
              <w:spacing w:after="0"/>
              <w:rPr>
                <w:sz w:val="12"/>
                <w:szCs w:val="12"/>
                <w:color w:val="auto"/>
              </w:rPr>
            </w:pPr>
          </w:p>
        </w:tc>
        <w:tc>
          <w:tcPr>
            <w:tcW w:w="2960" w:type="dxa"/>
            <w:vAlign w:val="bottom"/>
            <w:tcBorders>
              <w:bottom w:val="single" w:sz="8" w:color="003B71"/>
            </w:tcBorders>
          </w:tcPr>
          <w:p>
            <w:pPr>
              <w:spacing w:after="0"/>
              <w:rPr>
                <w:sz w:val="12"/>
                <w:szCs w:val="12"/>
                <w:color w:val="auto"/>
              </w:rPr>
            </w:pPr>
          </w:p>
        </w:tc>
        <w:tc>
          <w:tcPr>
            <w:tcW w:w="2960" w:type="dxa"/>
            <w:vAlign w:val="bottom"/>
            <w:tcBorders>
              <w:bottom w:val="single" w:sz="8" w:color="003B71"/>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040" w:type="dxa"/>
            <w:vAlign w:val="bottom"/>
            <w:gridSpan w:val="6"/>
          </w:tcPr>
          <w:p>
            <w:pPr>
              <w:spacing w:after="0"/>
              <w:rPr>
                <w:sz w:val="20"/>
                <w:szCs w:val="20"/>
                <w:color w:val="auto"/>
              </w:rPr>
            </w:pPr>
            <w:r>
              <w:rPr>
                <w:rFonts w:ascii="Arial" w:cs="Arial" w:eastAsia="Arial" w:hAnsi="Arial"/>
                <w:sz w:val="18"/>
                <w:szCs w:val="18"/>
                <w:b w:val="1"/>
                <w:bCs w:val="1"/>
                <w:color w:val="003B71"/>
                <w:w w:val="98"/>
              </w:rPr>
              <w:t>Dave &amp; Buster’s Entertainment, Inc.</w:t>
            </w:r>
          </w:p>
        </w:tc>
        <w:tc>
          <w:tcPr>
            <w:tcW w:w="2060" w:type="dxa"/>
            <w:vAlign w:val="bottom"/>
          </w:tcPr>
          <w:p>
            <w:pPr>
              <w:spacing w:after="0"/>
              <w:rPr>
                <w:sz w:val="20"/>
                <w:szCs w:val="20"/>
                <w:color w:val="auto"/>
              </w:rPr>
            </w:pPr>
          </w:p>
        </w:tc>
        <w:tc>
          <w:tcPr>
            <w:tcW w:w="2960" w:type="dxa"/>
            <w:vAlign w:val="bottom"/>
          </w:tcPr>
          <w:p>
            <w:pPr>
              <w:jc w:val="right"/>
              <w:ind w:right="2382"/>
              <w:spacing w:after="0"/>
              <w:rPr>
                <w:sz w:val="20"/>
                <w:szCs w:val="20"/>
                <w:color w:val="auto"/>
              </w:rPr>
            </w:pPr>
            <w:r>
              <w:rPr>
                <w:rFonts w:ascii="Arial" w:cs="Arial" w:eastAsia="Arial" w:hAnsi="Arial"/>
                <w:sz w:val="18"/>
                <w:szCs w:val="18"/>
                <w:b w:val="1"/>
                <w:bCs w:val="1"/>
                <w:color w:val="4C4C4C"/>
              </w:rPr>
              <w:t>7</w:t>
            </w:r>
          </w:p>
        </w:tc>
        <w:tc>
          <w:tcPr>
            <w:tcW w:w="2960" w:type="dxa"/>
            <w:vAlign w:val="bottom"/>
          </w:tcPr>
          <w:p>
            <w:pPr>
              <w:ind w:left="1040"/>
              <w:spacing w:after="0"/>
              <w:rPr>
                <w:sz w:val="20"/>
                <w:szCs w:val="20"/>
                <w:color w:val="auto"/>
              </w:rPr>
            </w:pPr>
            <w:r>
              <w:rPr>
                <w:rFonts w:ascii="Arial" w:cs="Arial" w:eastAsia="Arial" w:hAnsi="Arial"/>
                <w:sz w:val="18"/>
                <w:szCs w:val="18"/>
                <w:b w:val="1"/>
                <w:bCs w:val="1"/>
                <w:color w:val="003B71"/>
                <w:w w:val="99"/>
              </w:rPr>
              <w:t>Eat Drink Play Watch</w:t>
            </w:r>
            <w:r>
              <w:rPr>
                <w:rFonts w:ascii="Arial" w:cs="Arial" w:eastAsia="Arial" w:hAnsi="Arial"/>
                <w:sz w:val="15"/>
                <w:szCs w:val="15"/>
                <w:b w:val="1"/>
                <w:bCs w:val="1"/>
                <w:color w:val="003B71"/>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Hamish A. Dodds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33864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03415" cy="3386455"/>
                    </a:xfrm>
                    <a:prstGeom prst="rect">
                      <a:avLst/>
                    </a:prstGeom>
                    <a:noFill/>
                  </pic:spPr>
                </pic:pic>
              </a:graphicData>
            </a:graphic>
          </wp:anchor>
        </w:drawing>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5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2017</w:t>
            </w:r>
          </w:p>
        </w:tc>
        <w:tc>
          <w:tcPr>
            <w:tcW w:w="268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64</w:t>
            </w:r>
          </w:p>
        </w:tc>
      </w:tr>
      <w:tr>
        <w:trPr>
          <w:trHeight w:val="203"/>
        </w:trPr>
        <w:tc>
          <w:tcPr>
            <w:tcW w:w="526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Audit and Finance</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tc>
      </w:tr>
      <w:tr>
        <w:trPr>
          <w:trHeight w:val="176"/>
        </w:trPr>
        <w:tc>
          <w:tcPr>
            <w:tcW w:w="5260" w:type="dxa"/>
            <w:vAlign w:val="bottom"/>
            <w:gridSpan w:val="2"/>
          </w:tcPr>
          <w:p>
            <w:pPr>
              <w:spacing w:after="0" w:line="176"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w:t>
            </w:r>
            <w:r>
              <w:rPr>
                <w:rFonts w:ascii="Arial" w:cs="Arial" w:eastAsia="Arial" w:hAnsi="Arial"/>
                <w:sz w:val="18"/>
                <w:szCs w:val="18"/>
                <w:color w:val="auto"/>
              </w:rPr>
              <w:t xml:space="preserve"> P</w:t>
            </w:r>
            <w:r>
              <w:rPr>
                <w:rFonts w:ascii="Arial" w:cs="Arial" w:eastAsia="Arial" w:hAnsi="Arial"/>
                <w:sz w:val="14"/>
                <w:szCs w:val="14"/>
                <w:color w:val="auto"/>
              </w:rPr>
              <w:t>OSITION</w:t>
            </w:r>
            <w:r>
              <w:rPr>
                <w:rFonts w:ascii="Arial" w:cs="Arial" w:eastAsia="Arial" w:hAnsi="Arial"/>
                <w:sz w:val="18"/>
                <w:szCs w:val="18"/>
                <w:color w:val="auto"/>
              </w:rPr>
              <w:t>:</w:t>
            </w:r>
          </w:p>
        </w:tc>
        <w:tc>
          <w:tcPr>
            <w:tcW w:w="2680" w:type="dxa"/>
            <w:vAlign w:val="bottom"/>
          </w:tcPr>
          <w:p>
            <w:pPr>
              <w:spacing w:after="0"/>
              <w:rPr>
                <w:sz w:val="15"/>
                <w:szCs w:val="15"/>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4" w:lineRule="exact"/>
        <w:rPr>
          <w:sz w:val="20"/>
          <w:szCs w:val="20"/>
          <w:color w:val="auto"/>
        </w:rPr>
      </w:pPr>
    </w:p>
    <w:p>
      <w:pPr>
        <w:ind w:left="420" w:right="460" w:hanging="147"/>
        <w:spacing w:after="0" w:line="251" w:lineRule="auto"/>
        <w:tabs>
          <w:tab w:leader="none" w:pos="405"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President and Chief Executive Officer of </w:t>
      </w:r>
      <w:r>
        <w:rPr>
          <w:rFonts w:ascii="Arial" w:cs="Arial" w:eastAsia="Arial" w:hAnsi="Arial"/>
          <w:sz w:val="14"/>
          <w:szCs w:val="14"/>
          <w:i w:val="1"/>
          <w:iCs w:val="1"/>
          <w:color w:val="auto"/>
        </w:rPr>
        <w:t>Hard Rock International</w:t>
      </w:r>
      <w:r>
        <w:rPr>
          <w:rFonts w:ascii="Arial" w:cs="Arial" w:eastAsia="Arial" w:hAnsi="Arial"/>
          <w:sz w:val="14"/>
          <w:szCs w:val="14"/>
          <w:color w:val="auto"/>
        </w:rPr>
        <w:t>, an owner, operator, and franchisor of restaurants, hotels, casinos, and live music venues in over seventy countries, from 2004-February 2017.</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Leadership, Strategy, Operations, Finance, Global, Franchise, Entertainment, Gaming, Food &amp; Beverage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20" w:right="760" w:hanging="147"/>
        <w:spacing w:after="0" w:line="241" w:lineRule="auto"/>
        <w:tabs>
          <w:tab w:leader="none" w:pos="405" w:val="left"/>
        </w:tabs>
        <w:numPr>
          <w:ilvl w:val="0"/>
          <w:numId w:val="22"/>
        </w:numPr>
        <w:rPr>
          <w:rFonts w:ascii="Arial" w:cs="Arial" w:eastAsia="Arial" w:hAnsi="Arial"/>
          <w:sz w:val="14"/>
          <w:szCs w:val="14"/>
          <w:color w:val="auto"/>
        </w:rPr>
      </w:pPr>
      <w:r>
        <w:rPr>
          <w:rFonts w:ascii="Arial" w:cs="Arial" w:eastAsia="Arial" w:hAnsi="Arial"/>
          <w:sz w:val="14"/>
          <w:szCs w:val="14"/>
          <w:i w:val="1"/>
          <w:iCs w:val="1"/>
          <w:color w:val="auto"/>
        </w:rPr>
        <w:t xml:space="preserve">cbc (The Central American Bottling Corporation) </w:t>
      </w:r>
      <w:r>
        <w:rPr>
          <w:rFonts w:ascii="Arial" w:cs="Arial" w:eastAsia="Arial" w:hAnsi="Arial"/>
          <w:sz w:val="14"/>
          <w:szCs w:val="14"/>
          <w:color w:val="auto"/>
        </w:rPr>
        <w:t>(also known as CabCorp), a multi-Latin beverage company in more than 33 countries with strategic partners</w:t>
      </w:r>
      <w:r>
        <w:rPr>
          <w:rFonts w:ascii="Arial" w:cs="Arial" w:eastAsia="Arial" w:hAnsi="Arial"/>
          <w:sz w:val="14"/>
          <w:szCs w:val="14"/>
          <w:i w:val="1"/>
          <w:iCs w:val="1"/>
          <w:color w:val="auto"/>
        </w:rPr>
        <w:t xml:space="preserve"> </w:t>
      </w:r>
      <w:r>
        <w:rPr>
          <w:rFonts w:ascii="Arial" w:cs="Arial" w:eastAsia="Arial" w:hAnsi="Arial"/>
          <w:sz w:val="14"/>
          <w:szCs w:val="14"/>
          <w:color w:val="auto"/>
        </w:rPr>
        <w:t>PepsiCo, Ambev and Beliv:</w:t>
      </w:r>
    </w:p>
    <w:p>
      <w:pPr>
        <w:ind w:left="600" w:hanging="183"/>
        <w:spacing w:after="0"/>
        <w:tabs>
          <w:tab w:leader="none" w:pos="600" w:val="left"/>
        </w:tabs>
        <w:numPr>
          <w:ilvl w:val="1"/>
          <w:numId w:val="22"/>
        </w:numPr>
        <w:rPr>
          <w:rFonts w:ascii="Arial" w:cs="Arial" w:eastAsia="Arial" w:hAnsi="Arial"/>
          <w:sz w:val="14"/>
          <w:szCs w:val="14"/>
          <w:color w:val="003B71"/>
        </w:rPr>
      </w:pPr>
      <w:r>
        <w:rPr>
          <w:rFonts w:ascii="Arial" w:cs="Arial" w:eastAsia="Arial" w:hAnsi="Arial"/>
          <w:sz w:val="14"/>
          <w:szCs w:val="14"/>
          <w:color w:val="auto"/>
        </w:rPr>
        <w:t>Chief Executive Officer (2002-2003)</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22"/>
        </w:numPr>
        <w:rPr>
          <w:rFonts w:ascii="Arial" w:cs="Arial" w:eastAsia="Arial" w:hAnsi="Arial"/>
          <w:sz w:val="14"/>
          <w:szCs w:val="14"/>
          <w:color w:val="003B71"/>
        </w:rPr>
      </w:pPr>
      <w:r>
        <w:rPr>
          <w:rFonts w:ascii="Arial" w:cs="Arial" w:eastAsia="Arial" w:hAnsi="Arial"/>
          <w:sz w:val="14"/>
          <w:szCs w:val="14"/>
          <w:color w:val="auto"/>
        </w:rPr>
        <w:t>Non-executive Director (2003-2010)</w:t>
      </w:r>
    </w:p>
    <w:p>
      <w:pPr>
        <w:spacing w:after="0" w:line="1" w:lineRule="exact"/>
        <w:rPr>
          <w:sz w:val="20"/>
          <w:szCs w:val="20"/>
          <w:color w:val="auto"/>
        </w:rPr>
      </w:pPr>
    </w:p>
    <w:p>
      <w:pPr>
        <w:ind w:left="280" w:right="2860" w:firstLine="2552"/>
        <w:spacing w:after="0" w:line="241" w:lineRule="auto"/>
        <w:rPr>
          <w:sz w:val="20"/>
          <w:szCs w:val="20"/>
          <w:color w:val="auto"/>
        </w:rPr>
      </w:pPr>
      <w:r>
        <w:rPr>
          <w:rFonts w:ascii="Arial" w:cs="Arial" w:eastAsia="Arial" w:hAnsi="Arial"/>
          <w:sz w:val="14"/>
          <w:szCs w:val="14"/>
          <w:b w:val="1"/>
          <w:bCs w:val="1"/>
          <w:color w:val="auto"/>
        </w:rPr>
        <w:t xml:space="preserve">Leadership, Strategy, Board Governance, Global, Distribution, Food &amp; Beverage </w:t>
      </w:r>
      <w:r>
        <w:rPr>
          <w:rFonts w:ascii="Arial" w:cs="Arial" w:eastAsia="Arial" w:hAnsi="Arial"/>
          <w:sz w:val="14"/>
          <w:szCs w:val="14"/>
          <w:color w:val="auto"/>
        </w:rPr>
        <w:t xml:space="preserve">- </w:t>
      </w:r>
      <w:r>
        <w:rPr>
          <w:rFonts w:ascii="Arial" w:cs="Arial" w:eastAsia="Arial" w:hAnsi="Arial"/>
          <w:sz w:val="14"/>
          <w:szCs w:val="14"/>
          <w:i w:val="1"/>
          <w:iCs w:val="1"/>
          <w:color w:val="auto"/>
        </w:rPr>
        <w:t>PepsiCo, Inc</w:t>
      </w:r>
      <w:r>
        <w:rPr>
          <w:rFonts w:ascii="Arial" w:cs="Arial" w:eastAsia="Arial" w:hAnsi="Arial"/>
          <w:sz w:val="14"/>
          <w:szCs w:val="14"/>
          <w:color w:val="auto"/>
        </w:rPr>
        <w:t>., a multinational food, snack and beverage corporation:</w:t>
      </w:r>
    </w:p>
    <w:p>
      <w:pPr>
        <w:spacing w:after="0" w:line="1" w:lineRule="exact"/>
        <w:rPr>
          <w:sz w:val="20"/>
          <w:szCs w:val="20"/>
          <w:color w:val="auto"/>
        </w:rPr>
      </w:pPr>
    </w:p>
    <w:p>
      <w:pPr>
        <w:ind w:left="640" w:right="720" w:hanging="223"/>
        <w:spacing w:after="0" w:line="241" w:lineRule="auto"/>
        <w:tabs>
          <w:tab w:leader="none" w:pos="604" w:val="left"/>
        </w:tabs>
        <w:numPr>
          <w:ilvl w:val="0"/>
          <w:numId w:val="23"/>
        </w:numPr>
        <w:rPr>
          <w:rFonts w:ascii="Arial" w:cs="Arial" w:eastAsia="Arial" w:hAnsi="Arial"/>
          <w:sz w:val="14"/>
          <w:szCs w:val="14"/>
          <w:color w:val="003B71"/>
        </w:rPr>
      </w:pPr>
      <w:r>
        <w:rPr>
          <w:rFonts w:ascii="Arial" w:cs="Arial" w:eastAsia="Arial" w:hAnsi="Arial"/>
          <w:sz w:val="14"/>
          <w:szCs w:val="14"/>
          <w:color w:val="auto"/>
        </w:rPr>
        <w:t>Various management and financial positions including Division President and General Manager for beverage operations across Latin America, Europe and Middle East/North Africa (1989-2002)</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Accounting, Finance, Food &amp; Beverage, Operations, Global</w:t>
      </w:r>
    </w:p>
    <w:p>
      <w:pPr>
        <w:spacing w:after="0" w:line="1" w:lineRule="exact"/>
        <w:rPr>
          <w:sz w:val="20"/>
          <w:szCs w:val="20"/>
          <w:color w:val="auto"/>
        </w:rPr>
      </w:pPr>
    </w:p>
    <w:p>
      <w:pPr>
        <w:ind w:left="400" w:hanging="127"/>
        <w:spacing w:after="0"/>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 xml:space="preserve">The Burton Group (now Arcadia Group) </w:t>
      </w:r>
      <w:r>
        <w:rPr>
          <w:rFonts w:ascii="Arial" w:cs="Arial" w:eastAsia="Arial" w:hAnsi="Arial"/>
          <w:sz w:val="14"/>
          <w:szCs w:val="14"/>
          <w:color w:val="auto"/>
        </w:rPr>
        <w:t>(an UK multinational retailing company) and</w:t>
      </w:r>
      <w:r>
        <w:rPr>
          <w:rFonts w:ascii="Arial" w:cs="Arial" w:eastAsia="Arial" w:hAnsi="Arial"/>
          <w:sz w:val="14"/>
          <w:szCs w:val="14"/>
          <w:i w:val="1"/>
          <w:iCs w:val="1"/>
          <w:color w:val="auto"/>
        </w:rPr>
        <w:t xml:space="preserve"> Overseas Containers, Ltd. </w:t>
      </w:r>
      <w:r>
        <w:rPr>
          <w:rFonts w:ascii="Arial" w:cs="Arial" w:eastAsia="Arial" w:hAnsi="Arial"/>
          <w:sz w:val="14"/>
          <w:szCs w:val="14"/>
          <w:color w:val="auto"/>
        </w:rPr>
        <w:t>(an UK container shipping company):</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24"/>
        </w:numPr>
        <w:rPr>
          <w:rFonts w:ascii="Arial" w:cs="Arial" w:eastAsia="Arial" w:hAnsi="Arial"/>
          <w:sz w:val="14"/>
          <w:szCs w:val="14"/>
          <w:color w:val="003B71"/>
        </w:rPr>
      </w:pPr>
      <w:r>
        <w:rPr>
          <w:rFonts w:ascii="Arial" w:cs="Arial" w:eastAsia="Arial" w:hAnsi="Arial"/>
          <w:sz w:val="14"/>
          <w:szCs w:val="14"/>
          <w:color w:val="auto"/>
        </w:rPr>
        <w:t>Multiple management and financial positions (1982-1989)</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Accounting, Finance, Consumer Goods, Retail</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p>
      <w:pPr>
        <w:spacing w:after="0" w:line="20" w:lineRule="exact"/>
        <w:rPr>
          <w:sz w:val="20"/>
          <w:szCs w:val="20"/>
          <w:color w:val="auto"/>
        </w:rPr>
      </w:pPr>
    </w:p>
    <w:tbl>
      <w:tblPr>
        <w:tblLayout w:type="fixed"/>
        <w:tblInd w:w="280" w:type="dxa"/>
        <w:tblCellMar>
          <w:top w:w="0" w:type="dxa"/>
          <w:left w:w="0" w:type="dxa"/>
          <w:bottom w:w="0" w:type="dxa"/>
          <w:right w:w="0" w:type="dxa"/>
        </w:tblCellMar>
      </w:tblPr>
      <w:tr>
        <w:trPr>
          <w:trHeight w:val="20"/>
        </w:trPr>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54"/>
        </w:trPr>
        <w:tc>
          <w:tcPr>
            <w:tcW w:w="80" w:type="dxa"/>
            <w:vAlign w:val="bottom"/>
          </w:tcPr>
          <w:p>
            <w:pPr>
              <w:spacing w:after="0" w:line="154" w:lineRule="exact"/>
              <w:rPr>
                <w:sz w:val="20"/>
                <w:szCs w:val="20"/>
                <w:color w:val="auto"/>
              </w:rPr>
            </w:pPr>
            <w:r>
              <w:rPr>
                <w:rFonts w:ascii="Arial" w:cs="Arial" w:eastAsia="Arial" w:hAnsi="Arial"/>
                <w:sz w:val="14"/>
                <w:szCs w:val="14"/>
                <w:color w:val="auto"/>
              </w:rPr>
              <w:t>-</w:t>
            </w:r>
          </w:p>
        </w:tc>
        <w:tc>
          <w:tcPr>
            <w:tcW w:w="98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Current:</w:t>
            </w:r>
          </w:p>
        </w:tc>
        <w:tc>
          <w:tcPr>
            <w:tcW w:w="4100" w:type="dxa"/>
            <w:vAlign w:val="bottom"/>
            <w:gridSpan w:val="3"/>
          </w:tcPr>
          <w:p>
            <w:pPr>
              <w:ind w:left="100"/>
              <w:spacing w:after="0" w:line="154" w:lineRule="exact"/>
              <w:rPr>
                <w:sz w:val="20"/>
                <w:szCs w:val="20"/>
                <w:color w:val="auto"/>
              </w:rPr>
            </w:pPr>
            <w:r>
              <w:rPr>
                <w:rFonts w:ascii="Arial" w:cs="Arial" w:eastAsia="Arial" w:hAnsi="Arial"/>
                <w:sz w:val="14"/>
                <w:szCs w:val="14"/>
                <w:color w:val="auto"/>
              </w:rPr>
              <w:t>Dave &amp; Buster’s Entertainment, Inc.</w:t>
            </w:r>
          </w:p>
        </w:tc>
      </w:tr>
      <w:tr>
        <w:trPr>
          <w:trHeight w:val="172"/>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Past 5 years:</w:t>
            </w:r>
          </w:p>
        </w:tc>
        <w:tc>
          <w:tcPr>
            <w:tcW w:w="4100" w:type="dxa"/>
            <w:vAlign w:val="bottom"/>
            <w:gridSpan w:val="3"/>
          </w:tcPr>
          <w:p>
            <w:pPr>
              <w:ind w:left="140"/>
              <w:spacing w:after="0"/>
              <w:rPr>
                <w:sz w:val="20"/>
                <w:szCs w:val="20"/>
                <w:color w:val="auto"/>
              </w:rPr>
            </w:pPr>
            <w:r>
              <w:rPr>
                <w:rFonts w:ascii="Arial" w:cs="Arial" w:eastAsia="Arial" w:hAnsi="Arial"/>
                <w:sz w:val="14"/>
                <w:szCs w:val="14"/>
                <w:color w:val="auto"/>
              </w:rPr>
              <w:t>Pier 1 Imports, Inc. (2010-2020)</w:t>
            </w:r>
          </w:p>
        </w:tc>
      </w:tr>
      <w:tr>
        <w:trPr>
          <w:trHeight w:val="174"/>
        </w:trPr>
        <w:tc>
          <w:tcPr>
            <w:tcW w:w="2400" w:type="dxa"/>
            <w:vAlign w:val="bottom"/>
            <w:tcBorders>
              <w:bottom w:val="single" w:sz="8" w:color="auto"/>
            </w:tcBorders>
            <w:gridSpan w:val="6"/>
          </w:tcPr>
          <w:p>
            <w:pPr>
              <w:spacing w:after="0" w:line="174" w:lineRule="exact"/>
              <w:rPr>
                <w:sz w:val="20"/>
                <w:szCs w:val="20"/>
                <w:color w:val="auto"/>
              </w:rPr>
            </w:pPr>
            <w:r>
              <w:rPr>
                <w:rFonts w:ascii="Arial" w:cs="Arial" w:eastAsia="Arial" w:hAnsi="Arial"/>
                <w:sz w:val="16"/>
                <w:szCs w:val="16"/>
                <w:color w:val="auto"/>
              </w:rPr>
              <w:t>O</w:t>
            </w:r>
            <w:r>
              <w:rPr>
                <w:rFonts w:ascii="Arial" w:cs="Arial" w:eastAsia="Arial" w:hAnsi="Arial"/>
                <w:sz w:val="13"/>
                <w:szCs w:val="13"/>
                <w:color w:val="auto"/>
              </w:rPr>
              <w:t>THER</w:t>
            </w:r>
            <w:r>
              <w:rPr>
                <w:rFonts w:ascii="Arial" w:cs="Arial" w:eastAsia="Arial" w:hAnsi="Arial"/>
                <w:sz w:val="16"/>
                <w:szCs w:val="16"/>
                <w:color w:val="auto"/>
              </w:rPr>
              <w:t xml:space="preserve"> P</w:t>
            </w:r>
            <w:r>
              <w:rPr>
                <w:rFonts w:ascii="Arial" w:cs="Arial" w:eastAsia="Arial" w:hAnsi="Arial"/>
                <w:sz w:val="13"/>
                <w:szCs w:val="13"/>
                <w:color w:val="auto"/>
              </w:rPr>
              <w:t>OSITIONS</w:t>
            </w:r>
            <w:r>
              <w:rPr>
                <w:rFonts w:ascii="Arial" w:cs="Arial" w:eastAsia="Arial" w:hAnsi="Arial"/>
                <w:sz w:val="16"/>
                <w:szCs w:val="16"/>
                <w:color w:val="auto"/>
              </w:rPr>
              <w:t>/M</w:t>
            </w:r>
            <w:r>
              <w:rPr>
                <w:rFonts w:ascii="Arial" w:cs="Arial" w:eastAsia="Arial" w:hAnsi="Arial"/>
                <w:sz w:val="13"/>
                <w:szCs w:val="13"/>
                <w:color w:val="auto"/>
              </w:rPr>
              <w:t>EMBERSHIPS</w:t>
            </w:r>
            <w:r>
              <w:rPr>
                <w:rFonts w:ascii="Arial" w:cs="Arial" w:eastAsia="Arial" w:hAnsi="Arial"/>
                <w:sz w:val="16"/>
                <w:szCs w:val="16"/>
                <w:color w:val="auto"/>
              </w:rPr>
              <w:t>:</w:t>
            </w:r>
          </w:p>
        </w:tc>
        <w:tc>
          <w:tcPr>
            <w:tcW w:w="2760" w:type="dxa"/>
            <w:vAlign w:val="bottom"/>
          </w:tcPr>
          <w:p>
            <w:pPr>
              <w:spacing w:after="0"/>
              <w:rPr>
                <w:sz w:val="15"/>
                <w:szCs w:val="15"/>
                <w:color w:val="auto"/>
              </w:rPr>
            </w:pPr>
          </w:p>
        </w:tc>
      </w:tr>
      <w:tr>
        <w:trPr>
          <w:trHeight w:val="184"/>
        </w:trPr>
        <w:tc>
          <w:tcPr>
            <w:tcW w:w="5160" w:type="dxa"/>
            <w:vAlign w:val="bottom"/>
            <w:gridSpan w:val="7"/>
          </w:tcPr>
          <w:p>
            <w:pPr>
              <w:spacing w:after="0"/>
              <w:rPr>
                <w:sz w:val="20"/>
                <w:szCs w:val="20"/>
                <w:color w:val="auto"/>
              </w:rPr>
            </w:pPr>
            <w:r>
              <w:rPr>
                <w:rFonts w:ascii="Arial" w:cs="Arial" w:eastAsia="Arial" w:hAnsi="Arial"/>
                <w:sz w:val="14"/>
                <w:szCs w:val="14"/>
                <w:color w:val="auto"/>
              </w:rPr>
              <w:t>- Fellow Member, Chartered Management Accountants</w:t>
            </w:r>
          </w:p>
        </w:tc>
      </w:tr>
      <w:tr>
        <w:trPr>
          <w:trHeight w:val="174"/>
        </w:trPr>
        <w:tc>
          <w:tcPr>
            <w:tcW w:w="1060" w:type="dxa"/>
            <w:vAlign w:val="bottom"/>
            <w:gridSpan w:val="4"/>
          </w:tcPr>
          <w:p>
            <w:pPr>
              <w:spacing w:after="0" w:line="174" w:lineRule="exact"/>
              <w:rPr>
                <w:sz w:val="20"/>
                <w:szCs w:val="20"/>
                <w:color w:val="auto"/>
              </w:rPr>
            </w:pPr>
            <w:r>
              <w:rPr>
                <w:rFonts w:ascii="Arial" w:cs="Arial" w:eastAsia="Arial" w:hAnsi="Arial"/>
                <w:sz w:val="16"/>
                <w:szCs w:val="16"/>
                <w:color w:val="auto"/>
              </w:rPr>
              <w:t>E</w:t>
            </w:r>
            <w:r>
              <w:rPr>
                <w:rFonts w:ascii="Arial" w:cs="Arial" w:eastAsia="Arial" w:hAnsi="Arial"/>
                <w:sz w:val="13"/>
                <w:szCs w:val="13"/>
                <w:color w:val="auto"/>
              </w:rPr>
              <w:t>DUCATION</w:t>
            </w:r>
            <w:r>
              <w:rPr>
                <w:rFonts w:ascii="Arial" w:cs="Arial" w:eastAsia="Arial" w:hAnsi="Arial"/>
                <w:sz w:val="16"/>
                <w:szCs w:val="16"/>
                <w:color w:val="auto"/>
              </w:rPr>
              <w:t>:</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r>
      <w:tr>
        <w:trPr>
          <w:trHeight w:val="184"/>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5080" w:type="dxa"/>
            <w:vAlign w:val="bottom"/>
            <w:gridSpan w:val="6"/>
          </w:tcPr>
          <w:p>
            <w:pPr>
              <w:ind w:left="40"/>
              <w:spacing w:after="0"/>
              <w:rPr>
                <w:sz w:val="20"/>
                <w:szCs w:val="20"/>
                <w:color w:val="auto"/>
              </w:rPr>
            </w:pPr>
            <w:r>
              <w:rPr>
                <w:rFonts w:ascii="Arial" w:cs="Arial" w:eastAsia="Arial" w:hAnsi="Arial"/>
                <w:sz w:val="14"/>
                <w:szCs w:val="14"/>
                <w:color w:val="auto"/>
              </w:rPr>
              <w:t>B.A. Business Studies, Robert Gordon University, Scotland</w:t>
            </w:r>
          </w:p>
        </w:tc>
      </w:tr>
      <w:tr>
        <w:trPr>
          <w:trHeight w:val="174"/>
        </w:trPr>
        <w:tc>
          <w:tcPr>
            <w:tcW w:w="1060" w:type="dxa"/>
            <w:vAlign w:val="bottom"/>
            <w:gridSpan w:val="4"/>
          </w:tcPr>
          <w:p>
            <w:pPr>
              <w:spacing w:after="0" w:line="174" w:lineRule="exact"/>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CCOLADES</w:t>
            </w:r>
            <w:r>
              <w:rPr>
                <w:rFonts w:ascii="Arial" w:cs="Arial" w:eastAsia="Arial" w:hAnsi="Arial"/>
                <w:sz w:val="16"/>
                <w:szCs w:val="16"/>
                <w:color w:val="auto"/>
              </w:rPr>
              <w:t>:</w:t>
            </w: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r>
      <w:tr>
        <w:trPr>
          <w:trHeight w:val="184"/>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5080" w:type="dxa"/>
            <w:vAlign w:val="bottom"/>
            <w:gridSpan w:val="6"/>
          </w:tcPr>
          <w:p>
            <w:pPr>
              <w:ind w:left="40"/>
              <w:spacing w:after="0"/>
              <w:rPr>
                <w:sz w:val="20"/>
                <w:szCs w:val="20"/>
                <w:color w:val="auto"/>
              </w:rPr>
            </w:pPr>
            <w:r>
              <w:rPr>
                <w:rFonts w:ascii="Arial" w:cs="Arial" w:eastAsia="Arial" w:hAnsi="Arial"/>
                <w:sz w:val="14"/>
                <w:szCs w:val="14"/>
                <w:color w:val="auto"/>
              </w:rPr>
              <w:t>Honorary Doctorate, Business Administration, Robert Gordon University (2011)</w:t>
            </w:r>
          </w:p>
        </w:tc>
      </w:tr>
    </w:tbl>
    <w:p>
      <w:pPr>
        <w:spacing w:after="0" w:line="31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Michael J.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25971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3415" cy="2597150"/>
                    </a:xfrm>
                    <a:prstGeom prst="rect">
                      <a:avLst/>
                    </a:prstGeom>
                    <a:noFill/>
                  </pic:spPr>
                </pic:pic>
              </a:graphicData>
            </a:graphic>
          </wp:anchor>
        </w:drawing>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53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2011</w:t>
            </w:r>
          </w:p>
        </w:tc>
        <w:tc>
          <w:tcPr>
            <w:tcW w:w="268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64</w:t>
            </w:r>
          </w:p>
        </w:tc>
      </w:tr>
      <w:tr>
        <w:trPr>
          <w:trHeight w:val="203"/>
        </w:trPr>
        <w:tc>
          <w:tcPr>
            <w:tcW w:w="532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tc>
      </w:tr>
      <w:tr>
        <w:trPr>
          <w:trHeight w:val="175"/>
        </w:trPr>
        <w:tc>
          <w:tcPr>
            <w:tcW w:w="5320" w:type="dxa"/>
            <w:vAlign w:val="bottom"/>
            <w:gridSpan w:val="2"/>
          </w:tcPr>
          <w:p>
            <w:pPr>
              <w:spacing w:after="0" w:line="176" w:lineRule="exact"/>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ECENT</w:t>
            </w:r>
            <w:r>
              <w:rPr>
                <w:rFonts w:ascii="Arial" w:cs="Arial" w:eastAsia="Arial" w:hAnsi="Arial"/>
                <w:sz w:val="18"/>
                <w:szCs w:val="18"/>
                <w:color w:val="auto"/>
              </w:rPr>
              <w:t xml:space="preserve"> P</w:t>
            </w:r>
            <w:r>
              <w:rPr>
                <w:rFonts w:ascii="Arial" w:cs="Arial" w:eastAsia="Arial" w:hAnsi="Arial"/>
                <w:sz w:val="14"/>
                <w:szCs w:val="14"/>
                <w:color w:val="auto"/>
              </w:rPr>
              <w:t>OSITION</w:t>
            </w:r>
            <w:r>
              <w:rPr>
                <w:rFonts w:ascii="Arial" w:cs="Arial" w:eastAsia="Arial" w:hAnsi="Arial"/>
                <w:sz w:val="18"/>
                <w:szCs w:val="18"/>
                <w:color w:val="auto"/>
              </w:rPr>
              <w:t>:</w:t>
            </w:r>
          </w:p>
        </w:tc>
        <w:tc>
          <w:tcPr>
            <w:tcW w:w="2680" w:type="dxa"/>
            <w:vAlign w:val="bottom"/>
          </w:tcPr>
          <w:p>
            <w:pPr>
              <w:spacing w:after="0"/>
              <w:rPr>
                <w:sz w:val="15"/>
                <w:szCs w:val="15"/>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4" w:lineRule="exact"/>
        <w:rPr>
          <w:sz w:val="20"/>
          <w:szCs w:val="20"/>
          <w:color w:val="auto"/>
        </w:rPr>
      </w:pPr>
    </w:p>
    <w:p>
      <w:pPr>
        <w:ind w:left="420" w:right="580" w:hanging="147"/>
        <w:spacing w:after="0" w:line="251" w:lineRule="auto"/>
        <w:tabs>
          <w:tab w:leader="none" w:pos="405"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President and Chief Executive Officer of </w:t>
      </w:r>
      <w:r>
        <w:rPr>
          <w:rFonts w:ascii="Arial" w:cs="Arial" w:eastAsia="Arial" w:hAnsi="Arial"/>
          <w:sz w:val="14"/>
          <w:szCs w:val="14"/>
          <w:i w:val="1"/>
          <w:iCs w:val="1"/>
          <w:color w:val="auto"/>
        </w:rPr>
        <w:t>EAT Club, Inc.</w:t>
      </w:r>
      <w:r>
        <w:rPr>
          <w:rFonts w:ascii="Arial" w:cs="Arial" w:eastAsia="Arial" w:hAnsi="Arial"/>
          <w:sz w:val="14"/>
          <w:szCs w:val="14"/>
          <w:color w:val="auto"/>
        </w:rPr>
        <w:t>, the largest business-focused online lunch delivery company in the United States, from July 2016-March 2018.</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Finance, Food &amp; Beverage, Marketing, E-Commerce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Activision Blizzard, Inc.</w:t>
      </w:r>
      <w:r>
        <w:rPr>
          <w:rFonts w:ascii="Arial" w:cs="Arial" w:eastAsia="Arial" w:hAnsi="Arial"/>
          <w:sz w:val="14"/>
          <w:szCs w:val="14"/>
          <w:color w:val="auto"/>
        </w:rPr>
        <w:t>, a worldwide online, personal computer, console, handheld, and mobile game publisher:</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26"/>
        </w:numPr>
        <w:rPr>
          <w:rFonts w:ascii="Arial" w:cs="Arial" w:eastAsia="Arial" w:hAnsi="Arial"/>
          <w:sz w:val="14"/>
          <w:szCs w:val="14"/>
          <w:color w:val="003B71"/>
        </w:rPr>
      </w:pPr>
      <w:r>
        <w:rPr>
          <w:rFonts w:ascii="Arial" w:cs="Arial" w:eastAsia="Arial" w:hAnsi="Arial"/>
          <w:sz w:val="14"/>
          <w:szCs w:val="14"/>
          <w:color w:val="auto"/>
        </w:rPr>
        <w:t>Vice Chair (March 2010-August 2016)</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Board/Governance</w:t>
      </w:r>
    </w:p>
    <w:p>
      <w:pPr>
        <w:spacing w:after="0" w:line="1" w:lineRule="exact"/>
        <w:rPr>
          <w:sz w:val="20"/>
          <w:szCs w:val="20"/>
          <w:color w:val="auto"/>
        </w:rPr>
      </w:pPr>
    </w:p>
    <w:p>
      <w:pPr>
        <w:ind w:left="400" w:hanging="127"/>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 xml:space="preserve">Activision Publishing, Inc. </w:t>
      </w:r>
      <w:r>
        <w:rPr>
          <w:rFonts w:ascii="Arial" w:cs="Arial" w:eastAsia="Arial" w:hAnsi="Arial"/>
          <w:sz w:val="14"/>
          <w:szCs w:val="14"/>
          <w:color w:val="auto"/>
        </w:rPr>
        <w:t>(prior to merger with Blizzard Entertainment, Inc.), one of the world’s largest third-party video game publishers:</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27"/>
        </w:numPr>
        <w:rPr>
          <w:rFonts w:ascii="Arial" w:cs="Arial" w:eastAsia="Arial" w:hAnsi="Arial"/>
          <w:sz w:val="14"/>
          <w:szCs w:val="14"/>
          <w:color w:val="003B71"/>
        </w:rPr>
      </w:pPr>
      <w:r>
        <w:rPr>
          <w:rFonts w:ascii="Arial" w:cs="Arial" w:eastAsia="Arial" w:hAnsi="Arial"/>
          <w:sz w:val="14"/>
          <w:szCs w:val="14"/>
          <w:color w:val="auto"/>
        </w:rPr>
        <w:t>President and Chief Executive Officer (June 2005-March 2010)</w:t>
      </w:r>
    </w:p>
    <w:p>
      <w:pPr>
        <w:spacing w:after="0" w:line="149" w:lineRule="exact"/>
        <w:rPr>
          <w:sz w:val="20"/>
          <w:szCs w:val="20"/>
          <w:color w:val="auto"/>
        </w:rPr>
      </w:pPr>
    </w:p>
    <w:p>
      <w:pPr>
        <w:ind w:left="400" w:hanging="127"/>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The Procter &amp; Gamble Company</w:t>
      </w:r>
      <w:r>
        <w:rPr>
          <w:rFonts w:ascii="Arial" w:cs="Arial" w:eastAsia="Arial" w:hAnsi="Arial"/>
          <w:sz w:val="14"/>
          <w:szCs w:val="14"/>
          <w:color w:val="auto"/>
        </w:rPr>
        <w:t>, a multinational consumer goods corporation:</w:t>
      </w:r>
    </w:p>
    <w:p>
      <w:pPr>
        <w:spacing w:after="0" w:line="15" w:lineRule="exact"/>
        <w:rPr>
          <w:rFonts w:ascii="Arial" w:cs="Arial" w:eastAsia="Arial" w:hAnsi="Arial"/>
          <w:sz w:val="14"/>
          <w:szCs w:val="14"/>
          <w:color w:val="auto"/>
        </w:rPr>
      </w:pPr>
    </w:p>
    <w:p>
      <w:pPr>
        <w:ind w:left="640" w:right="500" w:hanging="223"/>
        <w:spacing w:after="0" w:line="241" w:lineRule="auto"/>
        <w:tabs>
          <w:tab w:leader="none" w:pos="604" w:val="left"/>
        </w:tabs>
        <w:numPr>
          <w:ilvl w:val="1"/>
          <w:numId w:val="28"/>
        </w:numPr>
        <w:rPr>
          <w:rFonts w:ascii="Arial" w:cs="Arial" w:eastAsia="Arial" w:hAnsi="Arial"/>
          <w:sz w:val="14"/>
          <w:szCs w:val="14"/>
          <w:color w:val="003B71"/>
        </w:rPr>
      </w:pPr>
      <w:r>
        <w:rPr>
          <w:rFonts w:ascii="Arial" w:cs="Arial" w:eastAsia="Arial" w:hAnsi="Arial"/>
          <w:sz w:val="14"/>
          <w:szCs w:val="14"/>
          <w:color w:val="auto"/>
        </w:rPr>
        <w:t>Various executive positions, including President of the Global Beverage Division, Vice President and General Manager of Coffee Products, and Vice President and General Manager of Fabric &amp; Home Care—Japan and Korea and Fabric &amp; Home Care Strategic Planning—Asia (1981-2005)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Global, Consumer Goods, Consumer Insights/Marketing</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5320" w:type="dxa"/>
            <w:vAlign w:val="bottom"/>
            <w:gridSpan w:val="5"/>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Current:</w:t>
            </w:r>
          </w:p>
        </w:tc>
        <w:tc>
          <w:tcPr>
            <w:tcW w:w="432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color w:val="auto"/>
              </w:rPr>
              <w:t>Dave &amp; Buster’s Entertainment, Inc.</w:t>
            </w:r>
          </w:p>
        </w:tc>
        <w:tc>
          <w:tcPr>
            <w:tcW w:w="5560" w:type="dxa"/>
            <w:vAlign w:val="bottom"/>
            <w:gridSpan w:val="3"/>
          </w:tcPr>
          <w:p>
            <w:pPr>
              <w:ind w:left="100"/>
              <w:spacing w:after="0"/>
              <w:rPr>
                <w:sz w:val="20"/>
                <w:szCs w:val="20"/>
                <w:color w:val="auto"/>
              </w:rPr>
            </w:pPr>
            <w:r>
              <w:rPr>
                <w:rFonts w:ascii="Arial" w:cs="Arial" w:eastAsia="Arial" w:hAnsi="Arial"/>
                <w:sz w:val="14"/>
                <w:szCs w:val="14"/>
                <w:color w:val="auto"/>
              </w:rPr>
              <w:t>Central Garden &amp; Pet Company</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000" w:type="dxa"/>
            <w:vAlign w:val="bottom"/>
            <w:gridSpan w:val="3"/>
          </w:tcPr>
          <w:p>
            <w:pPr>
              <w:spacing w:after="0"/>
              <w:rPr>
                <w:sz w:val="20"/>
                <w:szCs w:val="20"/>
                <w:color w:val="auto"/>
              </w:rPr>
            </w:pPr>
            <w:r>
              <w:rPr>
                <w:rFonts w:ascii="Arial" w:cs="Arial" w:eastAsia="Arial" w:hAnsi="Arial"/>
                <w:sz w:val="16"/>
                <w:szCs w:val="16"/>
                <w:color w:val="auto"/>
              </w:rPr>
              <w:t>E</w:t>
            </w:r>
            <w:r>
              <w:rPr>
                <w:rFonts w:ascii="Arial" w:cs="Arial" w:eastAsia="Arial" w:hAnsi="Arial"/>
                <w:sz w:val="13"/>
                <w:szCs w:val="13"/>
                <w:color w:val="auto"/>
              </w:rPr>
              <w:t>DUCATION</w:t>
            </w:r>
            <w:r>
              <w:rPr>
                <w:rFonts w:ascii="Arial" w:cs="Arial" w:eastAsia="Arial" w:hAnsi="Arial"/>
                <w:sz w:val="16"/>
                <w:szCs w:val="16"/>
                <w:color w:val="auto"/>
              </w:rPr>
              <w:t>:</w:t>
            </w:r>
          </w:p>
        </w:tc>
        <w:tc>
          <w:tcPr>
            <w:tcW w:w="1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240" w:type="dxa"/>
            <w:vAlign w:val="bottom"/>
            <w:tcBorders>
              <w:right w:val="single" w:sz="8" w:color="auto"/>
            </w:tcBorders>
            <w:gridSpan w:val="4"/>
          </w:tcPr>
          <w:p>
            <w:pPr>
              <w:ind w:left="40"/>
              <w:spacing w:after="0"/>
              <w:rPr>
                <w:sz w:val="20"/>
                <w:szCs w:val="20"/>
                <w:color w:val="auto"/>
              </w:rPr>
            </w:pPr>
            <w:r>
              <w:rPr>
                <w:rFonts w:ascii="Arial" w:cs="Arial" w:eastAsia="Arial" w:hAnsi="Arial"/>
                <w:sz w:val="14"/>
                <w:szCs w:val="14"/>
                <w:color w:val="auto"/>
              </w:rPr>
              <w:t>B.A. Mathematics, Computational Math, and Economics, Albion College, MI</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5380" w:type="dxa"/>
            <w:vAlign w:val="bottom"/>
            <w:gridSpan w:val="2"/>
          </w:tcPr>
          <w:p>
            <w:pPr>
              <w:ind w:left="40"/>
              <w:spacing w:after="0"/>
              <w:rPr>
                <w:sz w:val="20"/>
                <w:szCs w:val="20"/>
                <w:color w:val="auto"/>
              </w:rPr>
            </w:pPr>
            <w:r>
              <w:rPr>
                <w:rFonts w:ascii="Arial" w:cs="Arial" w:eastAsia="Arial" w:hAnsi="Arial"/>
                <w:sz w:val="14"/>
                <w:szCs w:val="14"/>
                <w:color w:val="auto"/>
              </w:rPr>
              <w:t>M.B.A. Finance and Strategic Planning, University of Michigan</w:t>
            </w:r>
          </w:p>
        </w:tc>
        <w:tc>
          <w:tcPr>
            <w:tcW w:w="0" w:type="dxa"/>
            <w:vAlign w:val="bottom"/>
          </w:tcPr>
          <w:p>
            <w:pPr>
              <w:spacing w:after="0"/>
              <w:rPr>
                <w:sz w:val="1"/>
                <w:szCs w:val="1"/>
                <w:color w:val="auto"/>
              </w:rPr>
            </w:pPr>
          </w:p>
        </w:tc>
      </w:tr>
      <w:tr>
        <w:trPr>
          <w:trHeight w:val="79"/>
        </w:trPr>
        <w:tc>
          <w:tcPr>
            <w:tcW w:w="160" w:type="dxa"/>
            <w:vAlign w:val="bottom"/>
            <w:tcBorders>
              <w:bottom w:val="single" w:sz="8" w:color="003B71"/>
            </w:tcBorders>
          </w:tcPr>
          <w:p>
            <w:pPr>
              <w:spacing w:after="0"/>
              <w:rPr>
                <w:sz w:val="6"/>
                <w:szCs w:val="6"/>
                <w:color w:val="auto"/>
              </w:rPr>
            </w:pPr>
          </w:p>
        </w:tc>
        <w:tc>
          <w:tcPr>
            <w:tcW w:w="840" w:type="dxa"/>
            <w:vAlign w:val="bottom"/>
            <w:tcBorders>
              <w:bottom w:val="single" w:sz="8" w:color="003B71"/>
            </w:tcBorders>
            <w:gridSpan w:val="2"/>
          </w:tcPr>
          <w:p>
            <w:pPr>
              <w:spacing w:after="0"/>
              <w:rPr>
                <w:sz w:val="6"/>
                <w:szCs w:val="6"/>
                <w:color w:val="auto"/>
              </w:rPr>
            </w:pPr>
          </w:p>
        </w:tc>
        <w:tc>
          <w:tcPr>
            <w:tcW w:w="1280" w:type="dxa"/>
            <w:vAlign w:val="bottom"/>
            <w:tcBorders>
              <w:bottom w:val="single" w:sz="8" w:color="003B71"/>
            </w:tcBorders>
            <w:gridSpan w:val="2"/>
          </w:tcPr>
          <w:p>
            <w:pPr>
              <w:spacing w:after="0"/>
              <w:rPr>
                <w:sz w:val="6"/>
                <w:szCs w:val="6"/>
                <w:color w:val="auto"/>
              </w:rPr>
            </w:pPr>
          </w:p>
        </w:tc>
        <w:tc>
          <w:tcPr>
            <w:tcW w:w="3200" w:type="dxa"/>
            <w:vAlign w:val="bottom"/>
            <w:tcBorders>
              <w:bottom w:val="single" w:sz="8" w:color="003B71"/>
              <w:right w:val="single" w:sz="8" w:color="auto"/>
            </w:tcBorders>
          </w:tcPr>
          <w:p>
            <w:pPr>
              <w:spacing w:after="0"/>
              <w:rPr>
                <w:sz w:val="6"/>
                <w:szCs w:val="6"/>
                <w:color w:val="auto"/>
              </w:rPr>
            </w:pPr>
          </w:p>
        </w:tc>
        <w:tc>
          <w:tcPr>
            <w:tcW w:w="180" w:type="dxa"/>
            <w:vAlign w:val="bottom"/>
            <w:tcBorders>
              <w:bottom w:val="single" w:sz="8" w:color="003B71"/>
            </w:tcBorders>
          </w:tcPr>
          <w:p>
            <w:pPr>
              <w:spacing w:after="0"/>
              <w:rPr>
                <w:sz w:val="6"/>
                <w:szCs w:val="6"/>
                <w:color w:val="auto"/>
              </w:rPr>
            </w:pPr>
          </w:p>
        </w:tc>
        <w:tc>
          <w:tcPr>
            <w:tcW w:w="5360" w:type="dxa"/>
            <w:vAlign w:val="bottom"/>
            <w:tcBorders>
              <w:bottom w:val="single" w:sz="8" w:color="003B71"/>
            </w:tcBorders>
          </w:tcPr>
          <w:p>
            <w:pPr>
              <w:spacing w:after="0"/>
              <w:rPr>
                <w:sz w:val="6"/>
                <w:szCs w:val="6"/>
                <w:color w:val="auto"/>
              </w:rPr>
            </w:pPr>
          </w:p>
        </w:tc>
        <w:tc>
          <w:tcPr>
            <w:tcW w:w="20" w:type="dxa"/>
            <w:vAlign w:val="bottom"/>
            <w:tcBorders>
              <w:bottom w:val="single" w:sz="8" w:color="003B71"/>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60" w:type="dxa"/>
            <w:vAlign w:val="bottom"/>
            <w:tcBorders>
              <w:bottom w:val="single" w:sz="8" w:color="003B71"/>
            </w:tcBorders>
          </w:tcPr>
          <w:p>
            <w:pPr>
              <w:spacing w:after="0"/>
              <w:rPr>
                <w:sz w:val="12"/>
                <w:szCs w:val="12"/>
                <w:color w:val="auto"/>
              </w:rPr>
            </w:pPr>
          </w:p>
        </w:tc>
        <w:tc>
          <w:tcPr>
            <w:tcW w:w="840" w:type="dxa"/>
            <w:vAlign w:val="bottom"/>
            <w:tcBorders>
              <w:bottom w:val="single" w:sz="8" w:color="003B71"/>
            </w:tcBorders>
            <w:gridSpan w:val="2"/>
          </w:tcPr>
          <w:p>
            <w:pPr>
              <w:spacing w:after="0"/>
              <w:rPr>
                <w:sz w:val="12"/>
                <w:szCs w:val="12"/>
                <w:color w:val="auto"/>
              </w:rPr>
            </w:pPr>
          </w:p>
        </w:tc>
        <w:tc>
          <w:tcPr>
            <w:tcW w:w="1280" w:type="dxa"/>
            <w:vAlign w:val="bottom"/>
            <w:tcBorders>
              <w:bottom w:val="single" w:sz="8" w:color="003B71"/>
            </w:tcBorders>
            <w:gridSpan w:val="2"/>
          </w:tcPr>
          <w:p>
            <w:pPr>
              <w:spacing w:after="0"/>
              <w:rPr>
                <w:sz w:val="12"/>
                <w:szCs w:val="12"/>
                <w:color w:val="auto"/>
              </w:rPr>
            </w:pPr>
          </w:p>
        </w:tc>
        <w:tc>
          <w:tcPr>
            <w:tcW w:w="3200" w:type="dxa"/>
            <w:vAlign w:val="bottom"/>
            <w:tcBorders>
              <w:bottom w:val="single" w:sz="8" w:color="003B71"/>
            </w:tcBorders>
          </w:tcPr>
          <w:p>
            <w:pPr>
              <w:spacing w:after="0"/>
              <w:rPr>
                <w:sz w:val="12"/>
                <w:szCs w:val="12"/>
                <w:color w:val="auto"/>
              </w:rPr>
            </w:pPr>
          </w:p>
        </w:tc>
        <w:tc>
          <w:tcPr>
            <w:tcW w:w="180" w:type="dxa"/>
            <w:vAlign w:val="bottom"/>
            <w:tcBorders>
              <w:bottom w:val="single" w:sz="8" w:color="003B71"/>
            </w:tcBorders>
          </w:tcPr>
          <w:p>
            <w:pPr>
              <w:spacing w:after="0"/>
              <w:rPr>
                <w:sz w:val="12"/>
                <w:szCs w:val="12"/>
                <w:color w:val="auto"/>
              </w:rPr>
            </w:pPr>
          </w:p>
        </w:tc>
        <w:tc>
          <w:tcPr>
            <w:tcW w:w="5360" w:type="dxa"/>
            <w:vAlign w:val="bottom"/>
            <w:tcBorders>
              <w:bottom w:val="single" w:sz="8" w:color="003B71"/>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480" w:type="dxa"/>
            <w:vAlign w:val="bottom"/>
            <w:gridSpan w:val="6"/>
          </w:tcPr>
          <w:p>
            <w:pPr>
              <w:spacing w:after="0"/>
              <w:rPr>
                <w:sz w:val="20"/>
                <w:szCs w:val="20"/>
                <w:color w:val="auto"/>
              </w:rPr>
            </w:pPr>
            <w:r>
              <w:rPr>
                <w:rFonts w:ascii="Arial" w:cs="Arial" w:eastAsia="Arial" w:hAnsi="Arial"/>
                <w:sz w:val="18"/>
                <w:szCs w:val="18"/>
                <w:b w:val="1"/>
                <w:bCs w:val="1"/>
                <w:color w:val="003B71"/>
              </w:rPr>
              <w:t>Dave &amp; Buster’s Entertainment, Inc.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4C4C4C"/>
                <w:w w:val="99"/>
              </w:rPr>
              <w:t>8</w:t>
            </w:r>
          </w:p>
        </w:tc>
        <w:tc>
          <w:tcPr>
            <w:tcW w:w="5360" w:type="dxa"/>
            <w:vAlign w:val="bottom"/>
          </w:tcPr>
          <w:p>
            <w:pPr>
              <w:ind w:left="3440"/>
              <w:spacing w:after="0"/>
              <w:rPr>
                <w:sz w:val="20"/>
                <w:szCs w:val="20"/>
                <w:color w:val="auto"/>
              </w:rPr>
            </w:pPr>
            <w:r>
              <w:rPr>
                <w:rFonts w:ascii="Arial" w:cs="Arial" w:eastAsia="Arial" w:hAnsi="Arial"/>
                <w:sz w:val="18"/>
                <w:szCs w:val="18"/>
                <w:b w:val="1"/>
                <w:bCs w:val="1"/>
                <w:color w:val="003B71"/>
                <w:w w:val="99"/>
              </w:rPr>
              <w:t>Eat Drink Play Watch</w:t>
            </w:r>
            <w:r>
              <w:rPr>
                <w:rFonts w:ascii="Arial" w:cs="Arial" w:eastAsia="Arial" w:hAnsi="Arial"/>
                <w:sz w:val="15"/>
                <w:szCs w:val="15"/>
                <w:b w:val="1"/>
                <w:bCs w:val="1"/>
                <w:color w:val="003B71"/>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John C. Hockin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28460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3415" cy="2846070"/>
                    </a:xfrm>
                    <a:prstGeom prst="rect">
                      <a:avLst/>
                    </a:prstGeom>
                    <a:noFill/>
                  </pic:spPr>
                </pic:pic>
              </a:graphicData>
            </a:graphic>
          </wp:anchor>
        </w:drawing>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53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2020</w:t>
            </w:r>
          </w:p>
        </w:tc>
        <w:tc>
          <w:tcPr>
            <w:tcW w:w="268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51</w:t>
            </w:r>
          </w:p>
        </w:tc>
      </w:tr>
      <w:tr>
        <w:trPr>
          <w:trHeight w:val="203"/>
        </w:trPr>
        <w:tc>
          <w:tcPr>
            <w:tcW w:w="534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 &amp; Finance</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tc>
      </w:tr>
      <w:tr>
        <w:trPr>
          <w:trHeight w:val="176"/>
        </w:trPr>
        <w:tc>
          <w:tcPr>
            <w:tcW w:w="5340" w:type="dxa"/>
            <w:vAlign w:val="bottom"/>
            <w:gridSpan w:val="2"/>
          </w:tcPr>
          <w:p>
            <w:pPr>
              <w:spacing w:after="0" w:line="176"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URRENT</w:t>
            </w:r>
            <w:r>
              <w:rPr>
                <w:rFonts w:ascii="Arial" w:cs="Arial" w:eastAsia="Arial" w:hAnsi="Arial"/>
                <w:sz w:val="18"/>
                <w:szCs w:val="18"/>
                <w:color w:val="auto"/>
              </w:rPr>
              <w:t xml:space="preserve"> P</w:t>
            </w:r>
            <w:r>
              <w:rPr>
                <w:rFonts w:ascii="Arial" w:cs="Arial" w:eastAsia="Arial" w:hAnsi="Arial"/>
                <w:sz w:val="14"/>
                <w:szCs w:val="14"/>
                <w:color w:val="auto"/>
              </w:rPr>
              <w:t>OSITION</w:t>
            </w:r>
            <w:r>
              <w:rPr>
                <w:rFonts w:ascii="Arial" w:cs="Arial" w:eastAsia="Arial" w:hAnsi="Arial"/>
                <w:sz w:val="18"/>
                <w:szCs w:val="18"/>
                <w:color w:val="auto"/>
              </w:rPr>
              <w:t>:</w:t>
            </w:r>
          </w:p>
        </w:tc>
        <w:tc>
          <w:tcPr>
            <w:tcW w:w="2680" w:type="dxa"/>
            <w:vAlign w:val="bottom"/>
          </w:tcPr>
          <w:p>
            <w:pPr>
              <w:spacing w:after="0"/>
              <w:rPr>
                <w:sz w:val="15"/>
                <w:szCs w:val="15"/>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4" w:lineRule="exact"/>
        <w:rPr>
          <w:sz w:val="20"/>
          <w:szCs w:val="20"/>
          <w:color w:val="auto"/>
        </w:rPr>
      </w:pPr>
    </w:p>
    <w:p>
      <w:pPr>
        <w:ind w:left="420" w:right="440" w:hanging="147"/>
        <w:spacing w:after="0" w:line="251" w:lineRule="auto"/>
        <w:tabs>
          <w:tab w:leader="none" w:pos="405"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Managing Director, Head of Public Equity Investing, </w:t>
      </w:r>
      <w:r>
        <w:rPr>
          <w:rFonts w:ascii="Arial" w:cs="Arial" w:eastAsia="Arial" w:hAnsi="Arial"/>
          <w:sz w:val="14"/>
          <w:szCs w:val="14"/>
          <w:i w:val="1"/>
          <w:iCs w:val="1"/>
          <w:color w:val="auto"/>
        </w:rPr>
        <w:t>Kohlberg Kravis Roberts &amp; Co.</w:t>
      </w:r>
      <w:r>
        <w:rPr>
          <w:rFonts w:ascii="Arial" w:cs="Arial" w:eastAsia="Arial" w:hAnsi="Arial"/>
          <w:sz w:val="14"/>
          <w:szCs w:val="14"/>
          <w:color w:val="auto"/>
        </w:rPr>
        <w:t>, a global investment firm with over $300bn of assets under management since April 2015.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Investments, Finance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Golden Gate Capital</w:t>
      </w:r>
      <w:r>
        <w:rPr>
          <w:rFonts w:ascii="Arial" w:cs="Arial" w:eastAsia="Arial" w:hAnsi="Arial"/>
          <w:sz w:val="14"/>
          <w:szCs w:val="14"/>
          <w:color w:val="auto"/>
        </w:rPr>
        <w:t>, a San Francisco-based private equity firm with over $12bn in committed capital under management:</w:t>
      </w:r>
    </w:p>
    <w:p>
      <w:pPr>
        <w:spacing w:after="0" w:line="1" w:lineRule="exact"/>
        <w:rPr>
          <w:sz w:val="20"/>
          <w:szCs w:val="20"/>
          <w:color w:val="auto"/>
        </w:rPr>
      </w:pPr>
    </w:p>
    <w:p>
      <w:pPr>
        <w:ind w:left="600" w:hanging="183"/>
        <w:spacing w:after="0"/>
        <w:tabs>
          <w:tab w:leader="none" w:pos="600" w:val="left"/>
        </w:tabs>
        <w:numPr>
          <w:ilvl w:val="0"/>
          <w:numId w:val="30"/>
        </w:numPr>
        <w:rPr>
          <w:rFonts w:ascii="Arial" w:cs="Arial" w:eastAsia="Arial" w:hAnsi="Arial"/>
          <w:sz w:val="14"/>
          <w:szCs w:val="14"/>
          <w:color w:val="003B71"/>
        </w:rPr>
      </w:pPr>
      <w:r>
        <w:rPr>
          <w:rFonts w:ascii="Arial" w:cs="Arial" w:eastAsia="Arial" w:hAnsi="Arial"/>
          <w:sz w:val="14"/>
          <w:szCs w:val="14"/>
          <w:color w:val="auto"/>
        </w:rPr>
        <w:t>Co-head of Public Equity Investing (2010-2015)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Investments, Finance</w:t>
      </w:r>
    </w:p>
    <w:p>
      <w:pPr>
        <w:spacing w:after="0" w:line="1" w:lineRule="exact"/>
        <w:rPr>
          <w:sz w:val="20"/>
          <w:szCs w:val="20"/>
          <w:color w:val="auto"/>
        </w:rPr>
      </w:pPr>
    </w:p>
    <w:p>
      <w:pPr>
        <w:ind w:left="400" w:hanging="127"/>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J.H. Whitney &amp; Co.</w:t>
      </w:r>
      <w:r>
        <w:rPr>
          <w:rFonts w:ascii="Arial" w:cs="Arial" w:eastAsia="Arial" w:hAnsi="Arial"/>
          <w:sz w:val="14"/>
          <w:szCs w:val="14"/>
          <w:color w:val="auto"/>
        </w:rPr>
        <w:t>, a private equity firm founded in 1946:</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31"/>
        </w:numPr>
        <w:rPr>
          <w:rFonts w:ascii="Arial" w:cs="Arial" w:eastAsia="Arial" w:hAnsi="Arial"/>
          <w:sz w:val="14"/>
          <w:szCs w:val="14"/>
          <w:color w:val="003B71"/>
        </w:rPr>
      </w:pPr>
      <w:r>
        <w:rPr>
          <w:rFonts w:ascii="Arial" w:cs="Arial" w:eastAsia="Arial" w:hAnsi="Arial"/>
          <w:sz w:val="14"/>
          <w:szCs w:val="14"/>
          <w:color w:val="auto"/>
        </w:rPr>
        <w:t>Partner (1995-2010)</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Corporate Governance, Investments, Finance</w:t>
      </w:r>
    </w:p>
    <w:p>
      <w:pPr>
        <w:spacing w:after="0" w:line="1" w:lineRule="exact"/>
        <w:rPr>
          <w:sz w:val="20"/>
          <w:szCs w:val="20"/>
          <w:color w:val="auto"/>
        </w:rPr>
      </w:pPr>
    </w:p>
    <w:p>
      <w:pPr>
        <w:ind w:left="420" w:right="520" w:hanging="147"/>
        <w:spacing w:after="0" w:line="241" w:lineRule="auto"/>
        <w:tabs>
          <w:tab w:leader="none" w:pos="405"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 xml:space="preserve">Morgan Stanley, </w:t>
      </w:r>
      <w:r>
        <w:rPr>
          <w:rFonts w:ascii="Arial" w:cs="Arial" w:eastAsia="Arial" w:hAnsi="Arial"/>
          <w:sz w:val="14"/>
          <w:szCs w:val="14"/>
          <w:color w:val="auto"/>
        </w:rPr>
        <w:t>a financial holding company providing various financial products and services to corporations, governments, financial institutions and individuals</w:t>
      </w:r>
      <w:r>
        <w:rPr>
          <w:rFonts w:ascii="Arial" w:cs="Arial" w:eastAsia="Arial" w:hAnsi="Arial"/>
          <w:sz w:val="14"/>
          <w:szCs w:val="14"/>
          <w:i w:val="1"/>
          <w:iCs w:val="1"/>
          <w:color w:val="auto"/>
        </w:rPr>
        <w:t xml:space="preserve"> </w:t>
      </w:r>
      <w:r>
        <w:rPr>
          <w:rFonts w:ascii="Arial" w:cs="Arial" w:eastAsia="Arial" w:hAnsi="Arial"/>
          <w:sz w:val="14"/>
          <w:szCs w:val="14"/>
          <w:color w:val="auto"/>
        </w:rPr>
        <w:t>globally:</w:t>
      </w:r>
    </w:p>
    <w:p>
      <w:pPr>
        <w:ind w:left="420"/>
        <w:spacing w:after="0"/>
        <w:rPr>
          <w:rFonts w:ascii="Arial" w:cs="Arial" w:eastAsia="Arial" w:hAnsi="Arial"/>
          <w:sz w:val="14"/>
          <w:szCs w:val="14"/>
          <w:color w:val="auto"/>
        </w:rPr>
      </w:pPr>
      <w:r>
        <w:rPr>
          <w:rFonts w:ascii="Arial" w:cs="Arial" w:eastAsia="Arial" w:hAnsi="Arial"/>
          <w:sz w:val="14"/>
          <w:szCs w:val="14"/>
          <w:color w:val="003B71"/>
        </w:rPr>
        <w:t xml:space="preserve">•  </w:t>
      </w:r>
      <w:r>
        <w:rPr>
          <w:rFonts w:ascii="Arial" w:cs="Arial" w:eastAsia="Arial" w:hAnsi="Arial"/>
          <w:sz w:val="14"/>
          <w:szCs w:val="14"/>
          <w:color w:val="000000"/>
        </w:rPr>
        <w:t>Analyst (1993-1995)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Investments, Finance</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164"/>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Current:</w:t>
            </w: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Dave &amp; Buster’s Entertainment, Inc.</w:t>
            </w:r>
          </w:p>
        </w:tc>
        <w:tc>
          <w:tcPr>
            <w:tcW w:w="5520" w:type="dxa"/>
            <w:vAlign w:val="bottom"/>
          </w:tcPr>
          <w:p>
            <w:pPr>
              <w:spacing w:after="0"/>
              <w:rPr>
                <w:sz w:val="14"/>
                <w:szCs w:val="14"/>
                <w:color w:val="auto"/>
              </w:rPr>
            </w:pPr>
          </w:p>
        </w:tc>
      </w:tr>
      <w:tr>
        <w:trPr>
          <w:trHeight w:val="188"/>
        </w:trPr>
        <w:tc>
          <w:tcPr>
            <w:tcW w:w="160" w:type="dxa"/>
            <w:vAlign w:val="bottom"/>
          </w:tcPr>
          <w:p>
            <w:pPr>
              <w:spacing w:after="0"/>
              <w:rPr>
                <w:sz w:val="16"/>
                <w:szCs w:val="16"/>
                <w:color w:val="auto"/>
              </w:rPr>
            </w:pPr>
          </w:p>
        </w:tc>
        <w:tc>
          <w:tcPr>
            <w:tcW w:w="5340" w:type="dxa"/>
            <w:vAlign w:val="bottom"/>
            <w:gridSpan w:val="6"/>
          </w:tcPr>
          <w:p>
            <w:pPr>
              <w:spacing w:after="0" w:line="188" w:lineRule="exact"/>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OSITIONS</w:t>
            </w:r>
            <w:r>
              <w:rPr>
                <w:rFonts w:ascii="Arial" w:cs="Arial" w:eastAsia="Arial" w:hAnsi="Arial"/>
                <w:sz w:val="18"/>
                <w:szCs w:val="18"/>
                <w:color w:val="auto"/>
              </w:rPr>
              <w:t>/M</w:t>
            </w:r>
            <w:r>
              <w:rPr>
                <w:rFonts w:ascii="Arial" w:cs="Arial" w:eastAsia="Arial" w:hAnsi="Arial"/>
                <w:sz w:val="14"/>
                <w:szCs w:val="14"/>
                <w:color w:val="auto"/>
              </w:rPr>
              <w:t>EMBERSHIPS</w:t>
            </w:r>
            <w:r>
              <w:rPr>
                <w:rFonts w:ascii="Arial" w:cs="Arial" w:eastAsia="Arial" w:hAnsi="Arial"/>
                <w:sz w:val="18"/>
                <w:szCs w:val="18"/>
                <w:color w:val="auto"/>
              </w:rPr>
              <w:t>:</w:t>
            </w:r>
          </w:p>
        </w:tc>
        <w:tc>
          <w:tcPr>
            <w:tcW w:w="5520" w:type="dxa"/>
            <w:vAlign w:val="bottom"/>
          </w:tcPr>
          <w:p>
            <w:pPr>
              <w:spacing w:after="0"/>
              <w:rPr>
                <w:sz w:val="16"/>
                <w:szCs w:val="16"/>
                <w:color w:val="auto"/>
              </w:rPr>
            </w:pPr>
          </w:p>
        </w:tc>
      </w:tr>
      <w:tr>
        <w:trPr>
          <w:trHeight w:val="20"/>
        </w:trPr>
        <w:tc>
          <w:tcPr>
            <w:tcW w:w="16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184"/>
        </w:trPr>
        <w:tc>
          <w:tcPr>
            <w:tcW w:w="160" w:type="dxa"/>
            <w:vAlign w:val="bottom"/>
          </w:tcPr>
          <w:p>
            <w:pPr>
              <w:spacing w:after="0"/>
              <w:rPr>
                <w:sz w:val="16"/>
                <w:szCs w:val="16"/>
                <w:color w:val="auto"/>
              </w:rPr>
            </w:pPr>
          </w:p>
        </w:tc>
        <w:tc>
          <w:tcPr>
            <w:tcW w:w="5340" w:type="dxa"/>
            <w:vAlign w:val="bottom"/>
            <w:gridSpan w:val="6"/>
          </w:tcPr>
          <w:p>
            <w:pPr>
              <w:spacing w:after="0"/>
              <w:rPr>
                <w:sz w:val="20"/>
                <w:szCs w:val="20"/>
                <w:color w:val="auto"/>
              </w:rPr>
            </w:pPr>
            <w:r>
              <w:rPr>
                <w:rFonts w:ascii="Arial" w:cs="Arial" w:eastAsia="Arial" w:hAnsi="Arial"/>
                <w:sz w:val="14"/>
                <w:szCs w:val="14"/>
                <w:color w:val="auto"/>
              </w:rPr>
              <w:t>- Board Member and Head of Finance Committee, Episcopal Impact Fund</w:t>
            </w:r>
          </w:p>
        </w:tc>
        <w:tc>
          <w:tcPr>
            <w:tcW w:w="5520" w:type="dxa"/>
            <w:vAlign w:val="bottom"/>
          </w:tcPr>
          <w:p>
            <w:pPr>
              <w:spacing w:after="0"/>
              <w:rPr>
                <w:sz w:val="16"/>
                <w:szCs w:val="16"/>
                <w:color w:val="auto"/>
              </w:rPr>
            </w:pPr>
          </w:p>
        </w:tc>
      </w:tr>
      <w:tr>
        <w:trPr>
          <w:trHeight w:val="174"/>
        </w:trPr>
        <w:tc>
          <w:tcPr>
            <w:tcW w:w="16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Arial" w:cs="Arial" w:eastAsia="Arial" w:hAnsi="Arial"/>
                <w:sz w:val="16"/>
                <w:szCs w:val="16"/>
                <w:color w:val="auto"/>
              </w:rPr>
              <w:t>E</w:t>
            </w:r>
            <w:r>
              <w:rPr>
                <w:rFonts w:ascii="Arial" w:cs="Arial" w:eastAsia="Arial" w:hAnsi="Arial"/>
                <w:sz w:val="13"/>
                <w:szCs w:val="13"/>
                <w:color w:val="auto"/>
              </w:rPr>
              <w:t>DUCATION</w:t>
            </w:r>
            <w:r>
              <w:rPr>
                <w:rFonts w:ascii="Arial" w:cs="Arial" w:eastAsia="Arial" w:hAnsi="Arial"/>
                <w:sz w:val="16"/>
                <w:szCs w:val="16"/>
                <w:color w:val="auto"/>
              </w:rPr>
              <w:t>:</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5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r>
      <w:tr>
        <w:trPr>
          <w:trHeight w:val="184"/>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260" w:type="dxa"/>
            <w:vAlign w:val="bottom"/>
            <w:tcBorders>
              <w:right w:val="single" w:sz="8" w:color="auto"/>
            </w:tcBorders>
            <w:gridSpan w:val="5"/>
          </w:tcPr>
          <w:p>
            <w:pPr>
              <w:ind w:left="40"/>
              <w:spacing w:after="0"/>
              <w:rPr>
                <w:sz w:val="20"/>
                <w:szCs w:val="20"/>
                <w:color w:val="auto"/>
              </w:rPr>
            </w:pPr>
            <w:r>
              <w:rPr>
                <w:rFonts w:ascii="Arial" w:cs="Arial" w:eastAsia="Arial" w:hAnsi="Arial"/>
                <w:sz w:val="14"/>
                <w:szCs w:val="14"/>
                <w:color w:val="auto"/>
              </w:rPr>
              <w:t>B.A. Economics, Yale University (cum laude)</w:t>
            </w:r>
          </w:p>
        </w:tc>
        <w:tc>
          <w:tcPr>
            <w:tcW w:w="5520" w:type="dxa"/>
            <w:vAlign w:val="bottom"/>
          </w:tcPr>
          <w:p>
            <w:pPr>
              <w:ind w:left="80"/>
              <w:spacing w:after="0"/>
              <w:rPr>
                <w:sz w:val="20"/>
                <w:szCs w:val="20"/>
                <w:color w:val="auto"/>
              </w:rPr>
            </w:pPr>
            <w:r>
              <w:rPr>
                <w:rFonts w:ascii="Arial" w:cs="Arial" w:eastAsia="Arial" w:hAnsi="Arial"/>
                <w:sz w:val="14"/>
                <w:szCs w:val="14"/>
                <w:color w:val="auto"/>
              </w:rPr>
              <w:t>- M.B.A. Stanford University Graduate School of Business (Arjay Miller Scholar)</w:t>
            </w:r>
          </w:p>
        </w:tc>
      </w:tr>
      <w:tr>
        <w:trPr>
          <w:trHeight w:val="80"/>
        </w:trPr>
        <w:tc>
          <w:tcPr>
            <w:tcW w:w="160" w:type="dxa"/>
            <w:vAlign w:val="bottom"/>
            <w:tcBorders>
              <w:bottom w:val="single" w:sz="8" w:color="003B71"/>
            </w:tcBorders>
          </w:tcPr>
          <w:p>
            <w:pPr>
              <w:spacing w:after="0"/>
              <w:rPr>
                <w:sz w:val="6"/>
                <w:szCs w:val="6"/>
                <w:color w:val="auto"/>
              </w:rPr>
            </w:pPr>
          </w:p>
        </w:tc>
        <w:tc>
          <w:tcPr>
            <w:tcW w:w="80" w:type="dxa"/>
            <w:vAlign w:val="bottom"/>
            <w:tcBorders>
              <w:bottom w:val="single" w:sz="8" w:color="003B71"/>
            </w:tcBorders>
          </w:tcPr>
          <w:p>
            <w:pPr>
              <w:spacing w:after="0"/>
              <w:rPr>
                <w:sz w:val="6"/>
                <w:szCs w:val="6"/>
                <w:color w:val="auto"/>
              </w:rPr>
            </w:pPr>
          </w:p>
        </w:tc>
        <w:tc>
          <w:tcPr>
            <w:tcW w:w="760" w:type="dxa"/>
            <w:vAlign w:val="bottom"/>
            <w:tcBorders>
              <w:bottom w:val="single" w:sz="8" w:color="003B71"/>
            </w:tcBorders>
          </w:tcPr>
          <w:p>
            <w:pPr>
              <w:spacing w:after="0"/>
              <w:rPr>
                <w:sz w:val="6"/>
                <w:szCs w:val="6"/>
                <w:color w:val="auto"/>
              </w:rPr>
            </w:pPr>
          </w:p>
        </w:tc>
        <w:tc>
          <w:tcPr>
            <w:tcW w:w="160" w:type="dxa"/>
            <w:vAlign w:val="bottom"/>
            <w:tcBorders>
              <w:bottom w:val="single" w:sz="8" w:color="003B71"/>
            </w:tcBorders>
          </w:tcPr>
          <w:p>
            <w:pPr>
              <w:spacing w:after="0"/>
              <w:rPr>
                <w:sz w:val="6"/>
                <w:szCs w:val="6"/>
                <w:color w:val="auto"/>
              </w:rPr>
            </w:pPr>
          </w:p>
        </w:tc>
        <w:tc>
          <w:tcPr>
            <w:tcW w:w="1120" w:type="dxa"/>
            <w:vAlign w:val="bottom"/>
            <w:tcBorders>
              <w:bottom w:val="single" w:sz="8" w:color="003B71"/>
            </w:tcBorders>
          </w:tcPr>
          <w:p>
            <w:pPr>
              <w:spacing w:after="0"/>
              <w:rPr>
                <w:sz w:val="6"/>
                <w:szCs w:val="6"/>
                <w:color w:val="auto"/>
              </w:rPr>
            </w:pPr>
          </w:p>
        </w:tc>
        <w:tc>
          <w:tcPr>
            <w:tcW w:w="540" w:type="dxa"/>
            <w:vAlign w:val="bottom"/>
            <w:tcBorders>
              <w:bottom w:val="single" w:sz="8" w:color="003B71"/>
            </w:tcBorders>
          </w:tcPr>
          <w:p>
            <w:pPr>
              <w:spacing w:after="0"/>
              <w:rPr>
                <w:sz w:val="6"/>
                <w:szCs w:val="6"/>
                <w:color w:val="auto"/>
              </w:rPr>
            </w:pPr>
          </w:p>
        </w:tc>
        <w:tc>
          <w:tcPr>
            <w:tcW w:w="2680" w:type="dxa"/>
            <w:vAlign w:val="bottom"/>
            <w:tcBorders>
              <w:bottom w:val="single" w:sz="8" w:color="003B71"/>
              <w:right w:val="single" w:sz="8" w:color="auto"/>
            </w:tcBorders>
          </w:tcPr>
          <w:p>
            <w:pPr>
              <w:spacing w:after="0"/>
              <w:rPr>
                <w:sz w:val="6"/>
                <w:szCs w:val="6"/>
                <w:color w:val="auto"/>
              </w:rPr>
            </w:pPr>
          </w:p>
        </w:tc>
        <w:tc>
          <w:tcPr>
            <w:tcW w:w="5520" w:type="dxa"/>
            <w:vAlign w:val="bottom"/>
            <w:tcBorders>
              <w:bottom w:val="single" w:sz="8" w:color="003B71"/>
            </w:tcBorders>
          </w:tcPr>
          <w:p>
            <w:pPr>
              <w:spacing w:after="0"/>
              <w:rPr>
                <w:sz w:val="6"/>
                <w:szCs w:val="6"/>
                <w:color w:val="auto"/>
              </w:rPr>
            </w:pPr>
          </w:p>
        </w:tc>
      </w:tr>
    </w:tbl>
    <w:p>
      <w:pPr>
        <w:spacing w:after="0" w:line="157"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23914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03415" cy="2391410"/>
                    </a:xfrm>
                    <a:prstGeom prst="rect">
                      <a:avLst/>
                    </a:prstGeom>
                    <a:noFill/>
                  </pic:spPr>
                </pic:pic>
              </a:graphicData>
            </a:graphic>
          </wp:anchor>
        </w:drawing>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53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2018</w:t>
            </w:r>
          </w:p>
        </w:tc>
        <w:tc>
          <w:tcPr>
            <w:tcW w:w="268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59</w:t>
            </w:r>
          </w:p>
        </w:tc>
      </w:tr>
      <w:tr>
        <w:trPr>
          <w:trHeight w:val="203"/>
        </w:trPr>
        <w:tc>
          <w:tcPr>
            <w:tcW w:w="534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None</w:t>
            </w:r>
          </w:p>
        </w:tc>
        <w:tc>
          <w:tcPr>
            <w:tcW w:w="2680" w:type="dxa"/>
            <w:vAlign w:val="bottom"/>
          </w:tcPr>
          <w:p>
            <w:pPr>
              <w:ind w:left="160"/>
              <w:spacing w:after="0" w:line="202"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M</w:t>
            </w:r>
            <w:r>
              <w:rPr>
                <w:rFonts w:ascii="Arial" w:cs="Arial" w:eastAsia="Arial" w:hAnsi="Arial"/>
                <w:sz w:val="13"/>
                <w:szCs w:val="13"/>
                <w:color w:val="auto"/>
              </w:rPr>
              <w:t>ANAGEMENT</w:t>
            </w:r>
          </w:p>
        </w:tc>
      </w:tr>
      <w:tr>
        <w:trPr>
          <w:trHeight w:val="175"/>
        </w:trPr>
        <w:tc>
          <w:tcPr>
            <w:tcW w:w="5340" w:type="dxa"/>
            <w:vAlign w:val="bottom"/>
            <w:gridSpan w:val="2"/>
          </w:tcPr>
          <w:p>
            <w:pPr>
              <w:spacing w:after="0" w:line="176"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URRENT</w:t>
            </w:r>
            <w:r>
              <w:rPr>
                <w:rFonts w:ascii="Arial" w:cs="Arial" w:eastAsia="Arial" w:hAnsi="Arial"/>
                <w:sz w:val="18"/>
                <w:szCs w:val="18"/>
                <w:color w:val="auto"/>
              </w:rPr>
              <w:t xml:space="preserve"> P</w:t>
            </w:r>
            <w:r>
              <w:rPr>
                <w:rFonts w:ascii="Arial" w:cs="Arial" w:eastAsia="Arial" w:hAnsi="Arial"/>
                <w:sz w:val="14"/>
                <w:szCs w:val="14"/>
                <w:color w:val="auto"/>
              </w:rPr>
              <w:t>OSITION</w:t>
            </w:r>
            <w:r>
              <w:rPr>
                <w:rFonts w:ascii="Arial" w:cs="Arial" w:eastAsia="Arial" w:hAnsi="Arial"/>
                <w:sz w:val="18"/>
                <w:szCs w:val="18"/>
                <w:color w:val="auto"/>
              </w:rPr>
              <w:t>:</w:t>
            </w:r>
          </w:p>
        </w:tc>
        <w:tc>
          <w:tcPr>
            <w:tcW w:w="2680" w:type="dxa"/>
            <w:vAlign w:val="bottom"/>
          </w:tcPr>
          <w:p>
            <w:pPr>
              <w:spacing w:after="0"/>
              <w:rPr>
                <w:sz w:val="15"/>
                <w:szCs w:val="15"/>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4"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 Chief Executive Officer for </w:t>
      </w:r>
      <w:r>
        <w:rPr>
          <w:rFonts w:ascii="Arial" w:cs="Arial" w:eastAsia="Arial" w:hAnsi="Arial"/>
          <w:sz w:val="14"/>
          <w:szCs w:val="14"/>
          <w:i w:val="1"/>
          <w:iCs w:val="1"/>
          <w:color w:val="auto"/>
        </w:rPr>
        <w:t>Dave &amp; Buster’s Entertainment, Inc.</w:t>
      </w:r>
      <w:r>
        <w:rPr>
          <w:rFonts w:ascii="Arial" w:cs="Arial" w:eastAsia="Arial" w:hAnsi="Arial"/>
          <w:sz w:val="14"/>
          <w:szCs w:val="14"/>
          <w:color w:val="auto"/>
        </w:rPr>
        <w:t>, since August 2018.</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Leadership, Strategy, Board Governance, Finance, Operations, Food &amp; Beverage, Amusements/Gaming, Marketing, Consumer Insights, Global</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Dave &amp; Buster’s Entertainment, Inc.</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33"/>
        </w:numPr>
        <w:rPr>
          <w:rFonts w:ascii="Arial" w:cs="Arial" w:eastAsia="Arial" w:hAnsi="Arial"/>
          <w:sz w:val="14"/>
          <w:szCs w:val="14"/>
          <w:color w:val="003B71"/>
        </w:rPr>
      </w:pPr>
      <w:r>
        <w:rPr>
          <w:rFonts w:ascii="Arial" w:cs="Arial" w:eastAsia="Arial" w:hAnsi="Arial"/>
          <w:sz w:val="14"/>
          <w:szCs w:val="14"/>
          <w:color w:val="auto"/>
        </w:rPr>
        <w:t>Senior Vice President and Chief Financial Officer (December 2006-August 2018)</w:t>
      </w:r>
    </w:p>
    <w:p>
      <w:pPr>
        <w:spacing w:after="0" w:line="149" w:lineRule="exact"/>
        <w:rPr>
          <w:sz w:val="20"/>
          <w:szCs w:val="20"/>
          <w:color w:val="auto"/>
        </w:rPr>
      </w:pPr>
    </w:p>
    <w:p>
      <w:pPr>
        <w:ind w:left="400" w:hanging="127"/>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i w:val="1"/>
          <w:iCs w:val="1"/>
          <w:color w:val="auto"/>
        </w:rPr>
        <w:t xml:space="preserve">Six Flags, Inc., </w:t>
      </w:r>
      <w:r>
        <w:rPr>
          <w:rFonts w:ascii="Arial" w:cs="Arial" w:eastAsia="Arial" w:hAnsi="Arial"/>
          <w:sz w:val="14"/>
          <w:szCs w:val="14"/>
          <w:color w:val="auto"/>
        </w:rPr>
        <w:t>an amusement park operator:</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34"/>
        </w:numPr>
        <w:rPr>
          <w:rFonts w:ascii="Arial" w:cs="Arial" w:eastAsia="Arial" w:hAnsi="Arial"/>
          <w:sz w:val="14"/>
          <w:szCs w:val="14"/>
          <w:color w:val="003B71"/>
        </w:rPr>
      </w:pPr>
      <w:r>
        <w:rPr>
          <w:rFonts w:ascii="Arial" w:cs="Arial" w:eastAsia="Arial" w:hAnsi="Arial"/>
          <w:sz w:val="14"/>
          <w:szCs w:val="14"/>
          <w:color w:val="auto"/>
        </w:rPr>
        <w:t>Various positions, including Senior Vice President—Finance (1996-2006)</w:t>
      </w:r>
    </w:p>
    <w:p>
      <w:pPr>
        <w:spacing w:after="0" w:line="149" w:lineRule="exact"/>
        <w:rPr>
          <w:sz w:val="20"/>
          <w:szCs w:val="20"/>
          <w:color w:val="auto"/>
        </w:rPr>
      </w:pPr>
    </w:p>
    <w:p>
      <w:pPr>
        <w:ind w:left="400" w:hanging="127"/>
        <w:spacing w:after="0"/>
        <w:tabs>
          <w:tab w:leader="none" w:pos="400" w:val="left"/>
        </w:tabs>
        <w:numPr>
          <w:ilvl w:val="0"/>
          <w:numId w:val="35"/>
        </w:numPr>
        <w:rPr>
          <w:rFonts w:ascii="Arial" w:cs="Arial" w:eastAsia="Arial" w:hAnsi="Arial"/>
          <w:sz w:val="14"/>
          <w:szCs w:val="14"/>
          <w:color w:val="auto"/>
        </w:rPr>
      </w:pPr>
      <w:r>
        <w:rPr>
          <w:rFonts w:ascii="Arial" w:cs="Arial" w:eastAsia="Arial" w:hAnsi="Arial"/>
          <w:sz w:val="14"/>
          <w:szCs w:val="14"/>
          <w:i w:val="1"/>
          <w:iCs w:val="1"/>
          <w:color w:val="auto"/>
        </w:rPr>
        <w:t xml:space="preserve">FoxMeyer Health Corporation, </w:t>
      </w:r>
      <w:r>
        <w:rPr>
          <w:rFonts w:ascii="Arial" w:cs="Arial" w:eastAsia="Arial" w:hAnsi="Arial"/>
          <w:sz w:val="14"/>
          <w:szCs w:val="14"/>
          <w:color w:val="auto"/>
        </w:rPr>
        <w:t>a wholesale pharmaceuticals distributor:</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35"/>
        </w:numPr>
        <w:rPr>
          <w:rFonts w:ascii="Arial" w:cs="Arial" w:eastAsia="Arial" w:hAnsi="Arial"/>
          <w:sz w:val="14"/>
          <w:szCs w:val="14"/>
          <w:color w:val="003B71"/>
        </w:rPr>
      </w:pPr>
      <w:r>
        <w:rPr>
          <w:rFonts w:ascii="Arial" w:cs="Arial" w:eastAsia="Arial" w:hAnsi="Arial"/>
          <w:sz w:val="14"/>
          <w:szCs w:val="14"/>
          <w:color w:val="auto"/>
        </w:rPr>
        <w:t>Various finance positions, including Vice President of Corporate Planning and Business Development (1990-1996)</w:t>
      </w:r>
    </w:p>
    <w:p>
      <w:pPr>
        <w:spacing w:after="0" w:line="1" w:lineRule="exact"/>
        <w:rPr>
          <w:rFonts w:ascii="Arial" w:cs="Arial" w:eastAsia="Arial" w:hAnsi="Arial"/>
          <w:sz w:val="14"/>
          <w:szCs w:val="14"/>
          <w:color w:val="003B71"/>
        </w:rPr>
      </w:pPr>
    </w:p>
    <w:p>
      <w:pPr>
        <w:ind w:left="4540"/>
        <w:spacing w:after="0"/>
        <w:rPr>
          <w:rFonts w:ascii="Arial" w:cs="Arial" w:eastAsia="Arial" w:hAnsi="Arial"/>
          <w:sz w:val="14"/>
          <w:szCs w:val="14"/>
          <w:color w:val="003B71"/>
        </w:rPr>
      </w:pPr>
      <w:r>
        <w:rPr>
          <w:rFonts w:ascii="Arial" w:cs="Arial" w:eastAsia="Arial" w:hAnsi="Arial"/>
          <w:sz w:val="14"/>
          <w:szCs w:val="14"/>
          <w:b w:val="1"/>
          <w:bCs w:val="1"/>
          <w:color w:val="auto"/>
        </w:rPr>
        <w:t>Leadership, Strategy, Finance</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5340" w:type="dxa"/>
            <w:vAlign w:val="bottom"/>
            <w:gridSpan w:val="5"/>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Current:</w:t>
            </w:r>
          </w:p>
        </w:tc>
        <w:tc>
          <w:tcPr>
            <w:tcW w:w="4340" w:type="dxa"/>
            <w:vAlign w:val="bottom"/>
            <w:gridSpan w:val="2"/>
          </w:tcPr>
          <w:p>
            <w:pPr>
              <w:ind w:left="160"/>
              <w:spacing w:after="0"/>
              <w:rPr>
                <w:sz w:val="20"/>
                <w:szCs w:val="20"/>
                <w:color w:val="auto"/>
              </w:rPr>
            </w:pPr>
            <w:r>
              <w:rPr>
                <w:rFonts w:ascii="Arial" w:cs="Arial" w:eastAsia="Arial" w:hAnsi="Arial"/>
                <w:sz w:val="14"/>
                <w:szCs w:val="14"/>
                <w:color w:val="auto"/>
              </w:rPr>
              <w:t>Dave &amp; Buster’s Entertainment, Inc.</w:t>
            </w:r>
          </w:p>
        </w:tc>
        <w:tc>
          <w:tcPr>
            <w:tcW w:w="18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000" w:type="dxa"/>
            <w:vAlign w:val="bottom"/>
            <w:gridSpan w:val="3"/>
          </w:tcPr>
          <w:p>
            <w:pPr>
              <w:spacing w:after="0" w:line="174" w:lineRule="exact"/>
              <w:rPr>
                <w:sz w:val="20"/>
                <w:szCs w:val="20"/>
                <w:color w:val="auto"/>
              </w:rPr>
            </w:pPr>
            <w:r>
              <w:rPr>
                <w:rFonts w:ascii="Arial" w:cs="Arial" w:eastAsia="Arial" w:hAnsi="Arial"/>
                <w:sz w:val="16"/>
                <w:szCs w:val="16"/>
                <w:color w:val="auto"/>
              </w:rPr>
              <w:t>E</w:t>
            </w:r>
            <w:r>
              <w:rPr>
                <w:rFonts w:ascii="Arial" w:cs="Arial" w:eastAsia="Arial" w:hAnsi="Arial"/>
                <w:sz w:val="13"/>
                <w:szCs w:val="13"/>
                <w:color w:val="auto"/>
              </w:rPr>
              <w:t>DUCATION</w:t>
            </w:r>
            <w:r>
              <w:rPr>
                <w:rFonts w:ascii="Arial" w:cs="Arial" w:eastAsia="Arial" w:hAnsi="Arial"/>
                <w:sz w:val="16"/>
                <w:szCs w:val="16"/>
                <w:color w:val="auto"/>
              </w:rPr>
              <w:t>:</w:t>
            </w:r>
          </w:p>
        </w:tc>
        <w:tc>
          <w:tcPr>
            <w:tcW w:w="11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260" w:type="dxa"/>
            <w:vAlign w:val="bottom"/>
            <w:tcBorders>
              <w:right w:val="single" w:sz="8" w:color="auto"/>
            </w:tcBorders>
            <w:gridSpan w:val="4"/>
          </w:tcPr>
          <w:p>
            <w:pPr>
              <w:ind w:left="40"/>
              <w:spacing w:after="0"/>
              <w:rPr>
                <w:sz w:val="20"/>
                <w:szCs w:val="20"/>
                <w:color w:val="auto"/>
              </w:rPr>
            </w:pPr>
            <w:r>
              <w:rPr>
                <w:rFonts w:ascii="Arial" w:cs="Arial" w:eastAsia="Arial" w:hAnsi="Arial"/>
                <w:sz w:val="14"/>
                <w:szCs w:val="14"/>
                <w:color w:val="auto"/>
              </w:rPr>
              <w:t>B.S. Commerce, Finance/MIS, University of Virginia</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360" w:type="dxa"/>
            <w:vAlign w:val="bottom"/>
            <w:gridSpan w:val="2"/>
          </w:tcPr>
          <w:p>
            <w:pPr>
              <w:ind w:left="40"/>
              <w:spacing w:after="0"/>
              <w:rPr>
                <w:sz w:val="20"/>
                <w:szCs w:val="20"/>
                <w:color w:val="auto"/>
              </w:rPr>
            </w:pPr>
            <w:r>
              <w:rPr>
                <w:rFonts w:ascii="Arial" w:cs="Arial" w:eastAsia="Arial" w:hAnsi="Arial"/>
                <w:sz w:val="14"/>
                <w:szCs w:val="14"/>
                <w:color w:val="auto"/>
              </w:rPr>
              <w:t>M.B.A. Southern Methodist University</w:t>
            </w:r>
          </w:p>
        </w:tc>
        <w:tc>
          <w:tcPr>
            <w:tcW w:w="0" w:type="dxa"/>
            <w:vAlign w:val="bottom"/>
          </w:tcPr>
          <w:p>
            <w:pPr>
              <w:spacing w:after="0"/>
              <w:rPr>
                <w:sz w:val="1"/>
                <w:szCs w:val="1"/>
                <w:color w:val="auto"/>
              </w:rPr>
            </w:pPr>
          </w:p>
        </w:tc>
      </w:tr>
      <w:tr>
        <w:trPr>
          <w:trHeight w:val="80"/>
        </w:trPr>
        <w:tc>
          <w:tcPr>
            <w:tcW w:w="160" w:type="dxa"/>
            <w:vAlign w:val="bottom"/>
            <w:tcBorders>
              <w:bottom w:val="single" w:sz="8" w:color="003B71"/>
            </w:tcBorders>
          </w:tcPr>
          <w:p>
            <w:pPr>
              <w:spacing w:after="0"/>
              <w:rPr>
                <w:sz w:val="6"/>
                <w:szCs w:val="6"/>
                <w:color w:val="auto"/>
              </w:rPr>
            </w:pPr>
          </w:p>
        </w:tc>
        <w:tc>
          <w:tcPr>
            <w:tcW w:w="840" w:type="dxa"/>
            <w:vAlign w:val="bottom"/>
            <w:tcBorders>
              <w:bottom w:val="single" w:sz="8" w:color="003B71"/>
            </w:tcBorders>
            <w:gridSpan w:val="2"/>
          </w:tcPr>
          <w:p>
            <w:pPr>
              <w:spacing w:after="0"/>
              <w:rPr>
                <w:sz w:val="6"/>
                <w:szCs w:val="6"/>
                <w:color w:val="auto"/>
              </w:rPr>
            </w:pPr>
          </w:p>
        </w:tc>
        <w:tc>
          <w:tcPr>
            <w:tcW w:w="1280" w:type="dxa"/>
            <w:vAlign w:val="bottom"/>
            <w:tcBorders>
              <w:bottom w:val="single" w:sz="8" w:color="003B71"/>
            </w:tcBorders>
            <w:gridSpan w:val="2"/>
          </w:tcPr>
          <w:p>
            <w:pPr>
              <w:spacing w:after="0"/>
              <w:rPr>
                <w:sz w:val="6"/>
                <w:szCs w:val="6"/>
                <w:color w:val="auto"/>
              </w:rPr>
            </w:pPr>
          </w:p>
        </w:tc>
        <w:tc>
          <w:tcPr>
            <w:tcW w:w="3220" w:type="dxa"/>
            <w:vAlign w:val="bottom"/>
            <w:tcBorders>
              <w:bottom w:val="single" w:sz="8" w:color="003B71"/>
              <w:right w:val="single" w:sz="8" w:color="auto"/>
            </w:tcBorders>
          </w:tcPr>
          <w:p>
            <w:pPr>
              <w:spacing w:after="0"/>
              <w:rPr>
                <w:sz w:val="6"/>
                <w:szCs w:val="6"/>
                <w:color w:val="auto"/>
              </w:rPr>
            </w:pPr>
          </w:p>
        </w:tc>
        <w:tc>
          <w:tcPr>
            <w:tcW w:w="180" w:type="dxa"/>
            <w:vAlign w:val="bottom"/>
            <w:tcBorders>
              <w:bottom w:val="single" w:sz="8" w:color="003B71"/>
            </w:tcBorders>
          </w:tcPr>
          <w:p>
            <w:pPr>
              <w:spacing w:after="0"/>
              <w:rPr>
                <w:sz w:val="6"/>
                <w:szCs w:val="6"/>
                <w:color w:val="auto"/>
              </w:rPr>
            </w:pPr>
          </w:p>
        </w:tc>
        <w:tc>
          <w:tcPr>
            <w:tcW w:w="5340" w:type="dxa"/>
            <w:vAlign w:val="bottom"/>
            <w:tcBorders>
              <w:bottom w:val="single" w:sz="8" w:color="003B71"/>
            </w:tcBorders>
          </w:tcPr>
          <w:p>
            <w:pPr>
              <w:spacing w:after="0"/>
              <w:rPr>
                <w:sz w:val="6"/>
                <w:szCs w:val="6"/>
                <w:color w:val="auto"/>
              </w:rPr>
            </w:pPr>
          </w:p>
        </w:tc>
        <w:tc>
          <w:tcPr>
            <w:tcW w:w="20" w:type="dxa"/>
            <w:vAlign w:val="bottom"/>
            <w:tcBorders>
              <w:bottom w:val="single" w:sz="8" w:color="003B71"/>
            </w:tcBorders>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160" w:type="dxa"/>
            <w:vAlign w:val="bottom"/>
            <w:tcBorders>
              <w:bottom w:val="single" w:sz="8" w:color="003B71"/>
            </w:tcBorders>
          </w:tcPr>
          <w:p>
            <w:pPr>
              <w:spacing w:after="0"/>
              <w:rPr>
                <w:sz w:val="24"/>
                <w:szCs w:val="24"/>
                <w:color w:val="auto"/>
              </w:rPr>
            </w:pPr>
          </w:p>
        </w:tc>
        <w:tc>
          <w:tcPr>
            <w:tcW w:w="840" w:type="dxa"/>
            <w:vAlign w:val="bottom"/>
            <w:tcBorders>
              <w:bottom w:val="single" w:sz="8" w:color="003B71"/>
            </w:tcBorders>
            <w:gridSpan w:val="2"/>
          </w:tcPr>
          <w:p>
            <w:pPr>
              <w:spacing w:after="0"/>
              <w:rPr>
                <w:sz w:val="24"/>
                <w:szCs w:val="24"/>
                <w:color w:val="auto"/>
              </w:rPr>
            </w:pPr>
          </w:p>
        </w:tc>
        <w:tc>
          <w:tcPr>
            <w:tcW w:w="1280" w:type="dxa"/>
            <w:vAlign w:val="bottom"/>
            <w:tcBorders>
              <w:bottom w:val="single" w:sz="8" w:color="003B71"/>
            </w:tcBorders>
            <w:gridSpan w:val="2"/>
          </w:tcPr>
          <w:p>
            <w:pPr>
              <w:spacing w:after="0"/>
              <w:rPr>
                <w:sz w:val="24"/>
                <w:szCs w:val="24"/>
                <w:color w:val="auto"/>
              </w:rPr>
            </w:pPr>
          </w:p>
        </w:tc>
        <w:tc>
          <w:tcPr>
            <w:tcW w:w="3220" w:type="dxa"/>
            <w:vAlign w:val="bottom"/>
            <w:tcBorders>
              <w:bottom w:val="single" w:sz="8" w:color="003B71"/>
            </w:tcBorders>
          </w:tcPr>
          <w:p>
            <w:pPr>
              <w:spacing w:after="0"/>
              <w:rPr>
                <w:sz w:val="24"/>
                <w:szCs w:val="24"/>
                <w:color w:val="auto"/>
              </w:rPr>
            </w:pPr>
          </w:p>
        </w:tc>
        <w:tc>
          <w:tcPr>
            <w:tcW w:w="180" w:type="dxa"/>
            <w:vAlign w:val="bottom"/>
            <w:tcBorders>
              <w:bottom w:val="single" w:sz="8" w:color="003B71"/>
            </w:tcBorders>
          </w:tcPr>
          <w:p>
            <w:pPr>
              <w:spacing w:after="0"/>
              <w:rPr>
                <w:sz w:val="24"/>
                <w:szCs w:val="24"/>
                <w:color w:val="auto"/>
              </w:rPr>
            </w:pPr>
          </w:p>
        </w:tc>
        <w:tc>
          <w:tcPr>
            <w:tcW w:w="5340" w:type="dxa"/>
            <w:vAlign w:val="bottom"/>
            <w:tcBorders>
              <w:bottom w:val="single" w:sz="8" w:color="003B71"/>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500" w:type="dxa"/>
            <w:vAlign w:val="bottom"/>
            <w:gridSpan w:val="6"/>
          </w:tcPr>
          <w:p>
            <w:pPr>
              <w:spacing w:after="0"/>
              <w:rPr>
                <w:sz w:val="20"/>
                <w:szCs w:val="20"/>
                <w:color w:val="auto"/>
              </w:rPr>
            </w:pPr>
            <w:r>
              <w:rPr>
                <w:rFonts w:ascii="Arial" w:cs="Arial" w:eastAsia="Arial" w:hAnsi="Arial"/>
                <w:sz w:val="18"/>
                <w:szCs w:val="18"/>
                <w:b w:val="1"/>
                <w:bCs w:val="1"/>
                <w:color w:val="003B71"/>
              </w:rPr>
              <w:t>Dave &amp; Buster’s Entertainment, Inc.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4C4C4C"/>
                <w:w w:val="79"/>
              </w:rPr>
              <w:t>9</w:t>
            </w:r>
          </w:p>
        </w:tc>
        <w:tc>
          <w:tcPr>
            <w:tcW w:w="5340" w:type="dxa"/>
            <w:vAlign w:val="bottom"/>
          </w:tcPr>
          <w:p>
            <w:pPr>
              <w:ind w:left="3420"/>
              <w:spacing w:after="0"/>
              <w:rPr>
                <w:sz w:val="20"/>
                <w:szCs w:val="20"/>
                <w:color w:val="auto"/>
              </w:rPr>
            </w:pPr>
            <w:r>
              <w:rPr>
                <w:rFonts w:ascii="Arial" w:cs="Arial" w:eastAsia="Arial" w:hAnsi="Arial"/>
                <w:sz w:val="18"/>
                <w:szCs w:val="18"/>
                <w:b w:val="1"/>
                <w:bCs w:val="1"/>
                <w:color w:val="003B71"/>
                <w:w w:val="99"/>
              </w:rPr>
              <w:t>Eat Drink Play Watch</w:t>
            </w:r>
            <w:r>
              <w:rPr>
                <w:rFonts w:ascii="Arial" w:cs="Arial" w:eastAsia="Arial" w:hAnsi="Arial"/>
                <w:sz w:val="15"/>
                <w:szCs w:val="15"/>
                <w:b w:val="1"/>
                <w:bCs w:val="1"/>
                <w:color w:val="003B71"/>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Patricia H.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386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03415" cy="3865880"/>
                    </a:xfrm>
                    <a:prstGeom prst="rect">
                      <a:avLst/>
                    </a:prstGeom>
                    <a:noFill/>
                  </pic:spPr>
                </pic:pic>
              </a:graphicData>
            </a:graphic>
          </wp:anchor>
        </w:drawing>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54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2015</w:t>
            </w:r>
          </w:p>
        </w:tc>
        <w:tc>
          <w:tcPr>
            <w:tcW w:w="3400" w:type="dxa"/>
            <w:vAlign w:val="bottom"/>
          </w:tcPr>
          <w:p>
            <w:pPr>
              <w:ind w:left="8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58</w:t>
            </w:r>
          </w:p>
        </w:tc>
      </w:tr>
      <w:tr>
        <w:trPr>
          <w:trHeight w:val="217"/>
        </w:trPr>
        <w:tc>
          <w:tcPr>
            <w:tcW w:w="454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 and Nominating and</w:t>
            </w:r>
          </w:p>
        </w:tc>
        <w:tc>
          <w:tcPr>
            <w:tcW w:w="3400" w:type="dxa"/>
            <w:vAlign w:val="bottom"/>
          </w:tcPr>
          <w:p>
            <w:pPr>
              <w:ind w:left="8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tc>
      </w:tr>
      <w:tr>
        <w:trPr>
          <w:trHeight w:val="197"/>
        </w:trPr>
        <w:tc>
          <w:tcPr>
            <w:tcW w:w="4540" w:type="dxa"/>
            <w:vAlign w:val="bottom"/>
          </w:tcPr>
          <w:p>
            <w:pPr>
              <w:ind w:left="1140"/>
              <w:spacing w:after="0"/>
              <w:rPr>
                <w:sz w:val="20"/>
                <w:szCs w:val="20"/>
                <w:color w:val="auto"/>
              </w:rPr>
            </w:pPr>
            <w:r>
              <w:rPr>
                <w:rFonts w:ascii="Arial" w:cs="Arial" w:eastAsia="Arial" w:hAnsi="Arial"/>
                <w:sz w:val="16"/>
                <w:szCs w:val="16"/>
                <w:color w:val="auto"/>
              </w:rPr>
              <w:t>Corporate Governance</w:t>
            </w:r>
          </w:p>
        </w:tc>
        <w:tc>
          <w:tcPr>
            <w:tcW w:w="3400" w:type="dxa"/>
            <w:vAlign w:val="bottom"/>
          </w:tcPr>
          <w:p>
            <w:pPr>
              <w:spacing w:after="0"/>
              <w:rPr>
                <w:sz w:val="17"/>
                <w:szCs w:val="17"/>
                <w:color w:val="auto"/>
              </w:rPr>
            </w:pPr>
          </w:p>
        </w:tc>
      </w:tr>
    </w:tbl>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Co-founder of </w:t>
      </w:r>
      <w:r>
        <w:rPr>
          <w:rFonts w:ascii="Arial" w:cs="Arial" w:eastAsia="Arial" w:hAnsi="Arial"/>
          <w:sz w:val="14"/>
          <w:szCs w:val="14"/>
          <w:i w:val="1"/>
          <w:iCs w:val="1"/>
          <w:color w:val="auto"/>
        </w:rPr>
        <w:t>Mueller Retail Consulting, LLC</w:t>
      </w:r>
      <w:r>
        <w:rPr>
          <w:rFonts w:ascii="Arial" w:cs="Arial" w:eastAsia="Arial" w:hAnsi="Arial"/>
          <w:sz w:val="14"/>
          <w:szCs w:val="14"/>
          <w:color w:val="auto"/>
        </w:rPr>
        <w:t>, a company assisting retailers with branding, marketing and interconnected retail strategies, since June 2016.</w:t>
      </w:r>
    </w:p>
    <w:p>
      <w:pPr>
        <w:spacing w:after="0" w:line="1" w:lineRule="exact"/>
        <w:rPr>
          <w:rFonts w:ascii="Arial" w:cs="Arial" w:eastAsia="Arial" w:hAnsi="Arial"/>
          <w:sz w:val="14"/>
          <w:szCs w:val="14"/>
          <w:color w:val="auto"/>
        </w:rPr>
      </w:pPr>
    </w:p>
    <w:p>
      <w:pPr>
        <w:ind w:left="3060"/>
        <w:spacing w:after="0"/>
        <w:rPr>
          <w:rFonts w:ascii="Arial" w:cs="Arial" w:eastAsia="Arial" w:hAnsi="Arial"/>
          <w:sz w:val="14"/>
          <w:szCs w:val="14"/>
          <w:color w:val="auto"/>
        </w:rPr>
      </w:pPr>
      <w:r>
        <w:rPr>
          <w:rFonts w:ascii="Arial" w:cs="Arial" w:eastAsia="Arial" w:hAnsi="Arial"/>
          <w:sz w:val="14"/>
          <w:szCs w:val="14"/>
          <w:b w:val="1"/>
          <w:bCs w:val="1"/>
          <w:color w:val="auto"/>
        </w:rPr>
        <w:t>Leadership, Strategy, Retail, Marketing, Consumer Insights, E-Commerce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 w:lineRule="exact"/>
        <w:rPr>
          <w:sz w:val="20"/>
          <w:szCs w:val="20"/>
          <w:color w:val="auto"/>
        </w:rPr>
      </w:pPr>
    </w:p>
    <w:p>
      <w:pPr>
        <w:ind w:left="400" w:hanging="127"/>
        <w:spacing w:after="0"/>
        <w:tabs>
          <w:tab w:leader="none" w:pos="40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The Home Depot, Inc.</w:t>
      </w:r>
      <w:r>
        <w:rPr>
          <w:rFonts w:ascii="Arial" w:cs="Arial" w:eastAsia="Arial" w:hAnsi="Arial"/>
          <w:sz w:val="14"/>
          <w:szCs w:val="14"/>
          <w:color w:val="auto"/>
        </w:rPr>
        <w:t>, the world’s largest home improvement retailer:</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37"/>
        </w:numPr>
        <w:rPr>
          <w:rFonts w:ascii="Arial" w:cs="Arial" w:eastAsia="Arial" w:hAnsi="Arial"/>
          <w:sz w:val="14"/>
          <w:szCs w:val="14"/>
          <w:color w:val="003B71"/>
        </w:rPr>
      </w:pPr>
      <w:r>
        <w:rPr>
          <w:rFonts w:ascii="Arial" w:cs="Arial" w:eastAsia="Arial" w:hAnsi="Arial"/>
          <w:sz w:val="14"/>
          <w:szCs w:val="14"/>
          <w:color w:val="auto"/>
        </w:rPr>
        <w:t>Senior Vice President and Chief Marketing Officer (February 2011-May 2016)</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37"/>
        </w:numPr>
        <w:rPr>
          <w:rFonts w:ascii="Arial" w:cs="Arial" w:eastAsia="Arial" w:hAnsi="Arial"/>
          <w:sz w:val="14"/>
          <w:szCs w:val="14"/>
          <w:color w:val="003B71"/>
        </w:rPr>
      </w:pPr>
      <w:r>
        <w:rPr>
          <w:rFonts w:ascii="Arial" w:cs="Arial" w:eastAsia="Arial" w:hAnsi="Arial"/>
          <w:sz w:val="14"/>
          <w:szCs w:val="14"/>
          <w:color w:val="auto"/>
        </w:rPr>
        <w:t>Vice President, Advertising (2009-2011)</w:t>
      </w:r>
    </w:p>
    <w:p>
      <w:pPr>
        <w:spacing w:after="0" w:line="149" w:lineRule="exact"/>
        <w:rPr>
          <w:sz w:val="20"/>
          <w:szCs w:val="20"/>
          <w:color w:val="auto"/>
        </w:rPr>
      </w:pPr>
    </w:p>
    <w:p>
      <w:pPr>
        <w:ind w:left="400" w:hanging="127"/>
        <w:spacing w:after="0"/>
        <w:tabs>
          <w:tab w:leader="none" w:pos="400" w:val="left"/>
        </w:tabs>
        <w:numPr>
          <w:ilvl w:val="0"/>
          <w:numId w:val="38"/>
        </w:numPr>
        <w:rPr>
          <w:rFonts w:ascii="Arial" w:cs="Arial" w:eastAsia="Arial" w:hAnsi="Arial"/>
          <w:sz w:val="14"/>
          <w:szCs w:val="14"/>
          <w:color w:val="auto"/>
        </w:rPr>
      </w:pPr>
      <w:r>
        <w:rPr>
          <w:rFonts w:ascii="Arial" w:cs="Arial" w:eastAsia="Arial" w:hAnsi="Arial"/>
          <w:sz w:val="14"/>
          <w:szCs w:val="14"/>
          <w:i w:val="1"/>
          <w:iCs w:val="1"/>
          <w:color w:val="auto"/>
        </w:rPr>
        <w:t xml:space="preserve">The Sports Authority, Inc., </w:t>
      </w:r>
      <w:r>
        <w:rPr>
          <w:rFonts w:ascii="Arial" w:cs="Arial" w:eastAsia="Arial" w:hAnsi="Arial"/>
          <w:sz w:val="14"/>
          <w:szCs w:val="14"/>
          <w:color w:val="auto"/>
        </w:rPr>
        <w:t>an operator of sporting goods retail stores:</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38"/>
        </w:numPr>
        <w:rPr>
          <w:rFonts w:ascii="Arial" w:cs="Arial" w:eastAsia="Arial" w:hAnsi="Arial"/>
          <w:sz w:val="14"/>
          <w:szCs w:val="14"/>
          <w:color w:val="003B71"/>
        </w:rPr>
      </w:pPr>
      <w:r>
        <w:rPr>
          <w:rFonts w:ascii="Arial" w:cs="Arial" w:eastAsia="Arial" w:hAnsi="Arial"/>
          <w:sz w:val="14"/>
          <w:szCs w:val="14"/>
          <w:color w:val="auto"/>
        </w:rPr>
        <w:t>Senior Vice President of Marketing and Advertising (2006-2009)</w:t>
      </w:r>
    </w:p>
    <w:p>
      <w:pPr>
        <w:spacing w:after="0" w:line="149" w:lineRule="exact"/>
        <w:rPr>
          <w:sz w:val="20"/>
          <w:szCs w:val="20"/>
          <w:color w:val="auto"/>
        </w:rPr>
      </w:pPr>
    </w:p>
    <w:p>
      <w:pPr>
        <w:ind w:left="400" w:hanging="127"/>
        <w:spacing w:after="0"/>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 xml:space="preserve">American Signature, Inc., </w:t>
      </w:r>
      <w:r>
        <w:rPr>
          <w:rFonts w:ascii="Arial" w:cs="Arial" w:eastAsia="Arial" w:hAnsi="Arial"/>
          <w:sz w:val="14"/>
          <w:szCs w:val="14"/>
          <w:color w:val="auto"/>
        </w:rPr>
        <w:t>a manufacturer and retailer of furniture and home furnishings:</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39"/>
        </w:numPr>
        <w:rPr>
          <w:rFonts w:ascii="Arial" w:cs="Arial" w:eastAsia="Arial" w:hAnsi="Arial"/>
          <w:sz w:val="14"/>
          <w:szCs w:val="14"/>
          <w:color w:val="003B71"/>
        </w:rPr>
      </w:pPr>
      <w:r>
        <w:rPr>
          <w:rFonts w:ascii="Arial" w:cs="Arial" w:eastAsia="Arial" w:hAnsi="Arial"/>
          <w:sz w:val="14"/>
          <w:szCs w:val="14"/>
          <w:color w:val="auto"/>
        </w:rPr>
        <w:t>Vice President of Advertising (2004-2006)</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Retail, Marketing, Consumer Insights</w:t>
      </w:r>
    </w:p>
    <w:p>
      <w:pPr>
        <w:spacing w:after="0" w:line="1" w:lineRule="exact"/>
        <w:rPr>
          <w:sz w:val="20"/>
          <w:szCs w:val="20"/>
          <w:color w:val="auto"/>
        </w:rPr>
      </w:pPr>
    </w:p>
    <w:p>
      <w:pPr>
        <w:ind w:left="400" w:hanging="127"/>
        <w:spacing w:after="0"/>
        <w:tabs>
          <w:tab w:leader="none" w:pos="40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 xml:space="preserve">Value Vision, Inc./ShopNBC, </w:t>
      </w:r>
      <w:r>
        <w:rPr>
          <w:rFonts w:ascii="Arial" w:cs="Arial" w:eastAsia="Arial" w:hAnsi="Arial"/>
          <w:sz w:val="14"/>
          <w:szCs w:val="14"/>
          <w:color w:val="auto"/>
        </w:rPr>
        <w:t>an integrated direct marketing company selling products to consumers:</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40"/>
        </w:numPr>
        <w:rPr>
          <w:rFonts w:ascii="Arial" w:cs="Arial" w:eastAsia="Arial" w:hAnsi="Arial"/>
          <w:sz w:val="14"/>
          <w:szCs w:val="14"/>
          <w:color w:val="003B71"/>
        </w:rPr>
      </w:pPr>
      <w:r>
        <w:rPr>
          <w:rFonts w:ascii="Arial" w:cs="Arial" w:eastAsia="Arial" w:hAnsi="Arial"/>
          <w:sz w:val="14"/>
          <w:szCs w:val="14"/>
          <w:color w:val="auto"/>
        </w:rPr>
        <w:t>Various executive positions, including Senior Vice President of TV Sales &amp; Promotions, Senior Vice President Strategic Development, and Senior Vice President</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Marketing &amp; Programming (1999-2004)</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Marketing, Consumer Insights, E-Commerce</w:t>
      </w:r>
    </w:p>
    <w:p>
      <w:pPr>
        <w:ind w:left="280"/>
        <w:spacing w:after="0" w:line="214" w:lineRule="auto"/>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p>
      <w:pPr>
        <w:spacing w:after="0" w:line="21" w:lineRule="exact"/>
        <w:rPr>
          <w:sz w:val="20"/>
          <w:szCs w:val="20"/>
          <w:color w:val="auto"/>
        </w:rPr>
      </w:pPr>
    </w:p>
    <w:tbl>
      <w:tblPr>
        <w:tblLayout w:type="fixed"/>
        <w:tblInd w:w="280" w:type="dxa"/>
        <w:tblCellMar>
          <w:top w:w="0" w:type="dxa"/>
          <w:left w:w="0" w:type="dxa"/>
          <w:bottom w:w="0" w:type="dxa"/>
          <w:right w:w="0" w:type="dxa"/>
        </w:tblCellMar>
      </w:tblPr>
      <w:tr>
        <w:trPr>
          <w:trHeight w:val="20"/>
        </w:trPr>
        <w:tc>
          <w:tcPr>
            <w:tcW w:w="9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4"/>
                <w:szCs w:val="14"/>
                <w:color w:val="auto"/>
              </w:rPr>
              <w:t>- Current:</w:t>
            </w:r>
          </w:p>
        </w:tc>
        <w:tc>
          <w:tcPr>
            <w:tcW w:w="4360" w:type="dxa"/>
            <w:vAlign w:val="bottom"/>
            <w:tcBorders>
              <w:right w:val="single" w:sz="8" w:color="auto"/>
            </w:tcBorders>
            <w:gridSpan w:val="2"/>
          </w:tcPr>
          <w:p>
            <w:pPr>
              <w:ind w:left="260"/>
              <w:spacing w:after="0" w:line="149" w:lineRule="exact"/>
              <w:rPr>
                <w:sz w:val="20"/>
                <w:szCs w:val="20"/>
                <w:color w:val="auto"/>
              </w:rPr>
            </w:pPr>
            <w:r>
              <w:rPr>
                <w:rFonts w:ascii="Arial" w:cs="Arial" w:eastAsia="Arial" w:hAnsi="Arial"/>
                <w:sz w:val="14"/>
                <w:szCs w:val="14"/>
                <w:color w:val="auto"/>
              </w:rPr>
              <w:t>Dave &amp; Buster’s Entertainment, Inc.</w:t>
            </w:r>
          </w:p>
        </w:tc>
        <w:tc>
          <w:tcPr>
            <w:tcW w:w="1200" w:type="dxa"/>
            <w:vAlign w:val="bottom"/>
          </w:tcPr>
          <w:p>
            <w:pPr>
              <w:ind w:left="100"/>
              <w:spacing w:after="0" w:line="149" w:lineRule="exact"/>
              <w:rPr>
                <w:sz w:val="20"/>
                <w:szCs w:val="20"/>
                <w:color w:val="auto"/>
              </w:rPr>
            </w:pPr>
            <w:r>
              <w:rPr>
                <w:rFonts w:ascii="Arial" w:cs="Arial" w:eastAsia="Arial" w:hAnsi="Arial"/>
                <w:sz w:val="14"/>
                <w:szCs w:val="14"/>
                <w:color w:val="auto"/>
              </w:rPr>
              <w:t>Ross Stores, Inc.</w:t>
            </w:r>
          </w:p>
        </w:tc>
      </w:tr>
    </w:tbl>
    <w:p>
      <w:pPr>
        <w:spacing w:after="0" w:line="2"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8" w:lineRule="exact"/>
        <w:rPr>
          <w:sz w:val="20"/>
          <w:szCs w:val="20"/>
          <w:color w:val="auto"/>
        </w:rPr>
      </w:pPr>
    </w:p>
    <w:p>
      <w:pPr>
        <w:ind w:left="400" w:hanging="127"/>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2016-2020 National Association of Corporate Directors Fellow</w:t>
      </w:r>
    </w:p>
    <w:p>
      <w:pPr>
        <w:spacing w:after="0" w:line="11" w:lineRule="exact"/>
        <w:rPr>
          <w:rFonts w:ascii="Arial" w:cs="Arial" w:eastAsia="Arial" w:hAnsi="Arial"/>
          <w:sz w:val="14"/>
          <w:szCs w:val="14"/>
          <w:color w:val="auto"/>
        </w:rPr>
      </w:pPr>
    </w:p>
    <w:p>
      <w:pPr>
        <w:ind w:left="280"/>
        <w:spacing w:after="0" w:line="233" w:lineRule="auto"/>
        <w:rPr>
          <w:rFonts w:ascii="Arial" w:cs="Arial" w:eastAsia="Arial" w:hAnsi="Arial"/>
          <w:sz w:val="14"/>
          <w:szCs w:val="14"/>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ind w:left="400" w:hanging="127"/>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B.S. Business, Management, Marketing and Related Support Services, State University of New York at Plattsburgh – Magna Cum Laude</w:t>
      </w:r>
    </w:p>
    <w:p>
      <w:pPr>
        <w:spacing w:after="0" w:line="11" w:lineRule="exact"/>
        <w:rPr>
          <w:rFonts w:ascii="Arial" w:cs="Arial" w:eastAsia="Arial" w:hAnsi="Arial"/>
          <w:sz w:val="14"/>
          <w:szCs w:val="14"/>
          <w:color w:val="auto"/>
        </w:rPr>
      </w:pPr>
    </w:p>
    <w:p>
      <w:pPr>
        <w:ind w:left="280"/>
        <w:spacing w:after="0" w:line="233" w:lineRule="auto"/>
        <w:rPr>
          <w:rFonts w:ascii="Arial" w:cs="Arial" w:eastAsia="Arial" w:hAnsi="Arial"/>
          <w:sz w:val="14"/>
          <w:szCs w:val="14"/>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ind w:left="400" w:hanging="127"/>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2010 National Diversity Council Most Influential Woman of the Year</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2011 “Ad Age” Women to Watch</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2014-15 Top 50 Women in Brand Marketing</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2014 Marketing Hall of Femme Honoree, Digital Marketing News</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2015 CMO Club Marketing Innovation Award</w:t>
      </w: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Atish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3214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3415" cy="3214370"/>
                    </a:xfrm>
                    <a:prstGeom prst="rect">
                      <a:avLst/>
                    </a:prstGeom>
                    <a:noFill/>
                  </pic:spPr>
                </pic:pic>
              </a:graphicData>
            </a:graphic>
          </wp:anchor>
        </w:drawing>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60" w:type="dxa"/>
            <w:vAlign w:val="bottom"/>
            <w:tcBorders>
              <w:top w:val="single" w:sz="8" w:color="003B71"/>
            </w:tcBorders>
          </w:tcPr>
          <w:p>
            <w:pPr>
              <w:spacing w:after="0"/>
              <w:rPr>
                <w:sz w:val="16"/>
                <w:szCs w:val="16"/>
                <w:color w:val="auto"/>
              </w:rPr>
            </w:pPr>
          </w:p>
        </w:tc>
        <w:tc>
          <w:tcPr>
            <w:tcW w:w="6260" w:type="dxa"/>
            <w:vAlign w:val="bottom"/>
            <w:tcBorders>
              <w:top w:val="single" w:sz="8" w:color="003B71"/>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2021</w:t>
            </w:r>
          </w:p>
        </w:tc>
        <w:tc>
          <w:tcPr>
            <w:tcW w:w="4600" w:type="dxa"/>
            <w:vAlign w:val="bottom"/>
            <w:tcBorders>
              <w:top w:val="single" w:sz="8" w:color="003B71"/>
            </w:tcBorders>
          </w:tcPr>
          <w:p>
            <w:pPr>
              <w:ind w:left="180"/>
              <w:spacing w:after="0" w:line="195" w:lineRule="exact"/>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48</w:t>
            </w:r>
          </w:p>
        </w:tc>
      </w:tr>
      <w:tr>
        <w:trPr>
          <w:trHeight w:val="203"/>
        </w:trPr>
        <w:tc>
          <w:tcPr>
            <w:tcW w:w="160" w:type="dxa"/>
            <w:vAlign w:val="bottom"/>
          </w:tcPr>
          <w:p>
            <w:pPr>
              <w:spacing w:after="0"/>
              <w:rPr>
                <w:sz w:val="17"/>
                <w:szCs w:val="17"/>
                <w:color w:val="auto"/>
              </w:rPr>
            </w:pPr>
          </w:p>
        </w:tc>
        <w:tc>
          <w:tcPr>
            <w:tcW w:w="6260" w:type="dxa"/>
            <w:vAlign w:val="bottom"/>
            <w:tcBorders>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Audit</w:t>
            </w:r>
          </w:p>
        </w:tc>
        <w:tc>
          <w:tcPr>
            <w:tcW w:w="4600" w:type="dxa"/>
            <w:vAlign w:val="bottom"/>
          </w:tcPr>
          <w:p>
            <w:pPr>
              <w:ind w:left="180"/>
              <w:spacing w:after="0" w:line="202"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tc>
      </w:tr>
      <w:tr>
        <w:trPr>
          <w:trHeight w:val="176"/>
        </w:trPr>
        <w:tc>
          <w:tcPr>
            <w:tcW w:w="160" w:type="dxa"/>
            <w:vAlign w:val="bottom"/>
          </w:tcPr>
          <w:p>
            <w:pPr>
              <w:spacing w:after="0"/>
              <w:rPr>
                <w:sz w:val="15"/>
                <w:szCs w:val="15"/>
                <w:color w:val="auto"/>
              </w:rPr>
            </w:pPr>
          </w:p>
        </w:tc>
        <w:tc>
          <w:tcPr>
            <w:tcW w:w="6260" w:type="dxa"/>
            <w:vAlign w:val="bottom"/>
            <w:gridSpan w:val="2"/>
          </w:tcPr>
          <w:p>
            <w:pPr>
              <w:spacing w:after="0" w:line="176"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URRENT</w:t>
            </w:r>
            <w:r>
              <w:rPr>
                <w:rFonts w:ascii="Arial" w:cs="Arial" w:eastAsia="Arial" w:hAnsi="Arial"/>
                <w:sz w:val="18"/>
                <w:szCs w:val="18"/>
                <w:color w:val="auto"/>
              </w:rPr>
              <w:t xml:space="preserve"> P</w:t>
            </w:r>
            <w:r>
              <w:rPr>
                <w:rFonts w:ascii="Arial" w:cs="Arial" w:eastAsia="Arial" w:hAnsi="Arial"/>
                <w:sz w:val="14"/>
                <w:szCs w:val="14"/>
                <w:color w:val="auto"/>
              </w:rPr>
              <w:t>OSITION</w:t>
            </w:r>
            <w:r>
              <w:rPr>
                <w:rFonts w:ascii="Arial" w:cs="Arial" w:eastAsia="Arial" w:hAnsi="Arial"/>
                <w:sz w:val="18"/>
                <w:szCs w:val="18"/>
                <w:color w:val="auto"/>
              </w:rPr>
              <w:t>:</w:t>
            </w:r>
          </w:p>
        </w:tc>
        <w:tc>
          <w:tcPr>
            <w:tcW w:w="460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bl>
    <w:p>
      <w:pPr>
        <w:spacing w:after="0" w:line="31" w:lineRule="exact"/>
        <w:rPr>
          <w:sz w:val="20"/>
          <w:szCs w:val="20"/>
          <w:color w:val="auto"/>
        </w:rPr>
      </w:pPr>
    </w:p>
    <w:p>
      <w:pPr>
        <w:ind w:left="420" w:right="260" w:hanging="147"/>
        <w:spacing w:after="0" w:line="251" w:lineRule="auto"/>
        <w:tabs>
          <w:tab w:leader="none" w:pos="405"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Executive Vice President, Chief Financial Officer and Treasurer of </w:t>
      </w:r>
      <w:r>
        <w:rPr>
          <w:rFonts w:ascii="Arial" w:cs="Arial" w:eastAsia="Arial" w:hAnsi="Arial"/>
          <w:sz w:val="14"/>
          <w:szCs w:val="14"/>
          <w:i w:val="1"/>
          <w:iCs w:val="1"/>
          <w:color w:val="auto"/>
        </w:rPr>
        <w:t>Xenia Hotels &amp; Resorts, Inc.</w:t>
      </w:r>
      <w:r>
        <w:rPr>
          <w:rFonts w:ascii="Arial" w:cs="Arial" w:eastAsia="Arial" w:hAnsi="Arial"/>
          <w:sz w:val="14"/>
          <w:szCs w:val="14"/>
          <w:color w:val="auto"/>
        </w:rPr>
        <w:t>, a NYSE-listed REIT investing in luxury and upper upscale hotels and resorts since April 2016.</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Leadership, Strategy, Investments, Leisure &amp; Hospitality, Finance and Governance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4" w:lineRule="exact"/>
        <w:rPr>
          <w:sz w:val="20"/>
          <w:szCs w:val="20"/>
          <w:color w:val="auto"/>
        </w:rPr>
      </w:pPr>
    </w:p>
    <w:p>
      <w:pPr>
        <w:ind w:left="400" w:hanging="127"/>
        <w:spacing w:after="0"/>
        <w:tabs>
          <w:tab w:leader="none" w:pos="400"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 xml:space="preserve">Hyatt Hotels Corporation. </w:t>
      </w:r>
      <w:r>
        <w:rPr>
          <w:rFonts w:ascii="Arial" w:cs="Arial" w:eastAsia="Arial" w:hAnsi="Arial"/>
          <w:sz w:val="14"/>
          <w:szCs w:val="14"/>
          <w:color w:val="auto"/>
        </w:rPr>
        <w:t>a global hospitality company managing and franchising luxury and business hotels, resorts and vacation properties:</w:t>
      </w:r>
    </w:p>
    <w:p>
      <w:pPr>
        <w:spacing w:after="0" w:line="15" w:lineRule="exact"/>
        <w:rPr>
          <w:rFonts w:ascii="Arial" w:cs="Arial" w:eastAsia="Arial" w:hAnsi="Arial"/>
          <w:sz w:val="14"/>
          <w:szCs w:val="14"/>
          <w:color w:val="auto"/>
        </w:rPr>
      </w:pPr>
    </w:p>
    <w:p>
      <w:pPr>
        <w:ind w:left="640" w:right="60" w:hanging="223"/>
        <w:spacing w:after="0" w:line="241" w:lineRule="auto"/>
        <w:tabs>
          <w:tab w:leader="none" w:pos="604" w:val="left"/>
        </w:tabs>
        <w:numPr>
          <w:ilvl w:val="1"/>
          <w:numId w:val="43"/>
        </w:numPr>
        <w:rPr>
          <w:rFonts w:ascii="Arial" w:cs="Arial" w:eastAsia="Arial" w:hAnsi="Arial"/>
          <w:sz w:val="14"/>
          <w:szCs w:val="14"/>
          <w:color w:val="003B71"/>
        </w:rPr>
      </w:pPr>
      <w:r>
        <w:rPr>
          <w:rFonts w:ascii="Arial" w:cs="Arial" w:eastAsia="Arial" w:hAnsi="Arial"/>
          <w:sz w:val="14"/>
          <w:szCs w:val="14"/>
          <w:color w:val="auto"/>
        </w:rPr>
        <w:t>Multiple leadership positions (2009-2016), including Senior Vice President &amp; Interim CFO (2015-2016) and Senior Vice President, Strategy, FP&amp;A, Investor Relations (2012-2016)</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Leadership, Strategy, Leisure &amp; Hospitality, Franchising, Finance and Governance</w:t>
      </w:r>
    </w:p>
    <w:p>
      <w:pPr>
        <w:spacing w:after="0" w:line="1" w:lineRule="exact"/>
        <w:rPr>
          <w:sz w:val="20"/>
          <w:szCs w:val="20"/>
          <w:color w:val="auto"/>
        </w:rPr>
      </w:pPr>
    </w:p>
    <w:p>
      <w:pPr>
        <w:ind w:left="400" w:hanging="127"/>
        <w:spacing w:after="0"/>
        <w:tabs>
          <w:tab w:leader="none" w:pos="40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 xml:space="preserve">Lowe Enterprises, </w:t>
      </w:r>
      <w:r>
        <w:rPr>
          <w:rFonts w:ascii="Arial" w:cs="Arial" w:eastAsia="Arial" w:hAnsi="Arial"/>
          <w:sz w:val="14"/>
          <w:szCs w:val="14"/>
          <w:color w:val="auto"/>
        </w:rPr>
        <w:t>a private real estate company managing more than $6 billion in assets.</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44"/>
        </w:numPr>
        <w:rPr>
          <w:rFonts w:ascii="Arial" w:cs="Arial" w:eastAsia="Arial" w:hAnsi="Arial"/>
          <w:sz w:val="14"/>
          <w:szCs w:val="14"/>
          <w:color w:val="003B71"/>
        </w:rPr>
      </w:pPr>
      <w:r>
        <w:rPr>
          <w:rFonts w:ascii="Arial" w:cs="Arial" w:eastAsia="Arial" w:hAnsi="Arial"/>
          <w:sz w:val="14"/>
          <w:szCs w:val="14"/>
          <w:color w:val="auto"/>
        </w:rPr>
        <w:t>Senior Vice President, Portfolio Management (2008-2009)</w:t>
      </w:r>
    </w:p>
    <w:p>
      <w:pPr>
        <w:spacing w:after="0" w:line="149" w:lineRule="exact"/>
        <w:rPr>
          <w:sz w:val="20"/>
          <w:szCs w:val="20"/>
          <w:color w:val="auto"/>
        </w:rPr>
      </w:pPr>
    </w:p>
    <w:p>
      <w:pPr>
        <w:ind w:left="400" w:hanging="127"/>
        <w:spacing w:after="0"/>
        <w:tabs>
          <w:tab w:leader="none" w:pos="40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Hilton Hotels Corporation, </w:t>
      </w:r>
      <w:r>
        <w:rPr>
          <w:rFonts w:ascii="Arial" w:cs="Arial" w:eastAsia="Arial" w:hAnsi="Arial"/>
          <w:sz w:val="14"/>
          <w:szCs w:val="14"/>
          <w:color w:val="auto"/>
        </w:rPr>
        <w:t>a global hospitality company managing and franchising a broad portfolio of hotels and resorts.</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45"/>
        </w:numPr>
        <w:rPr>
          <w:rFonts w:ascii="Arial" w:cs="Arial" w:eastAsia="Arial" w:hAnsi="Arial"/>
          <w:sz w:val="14"/>
          <w:szCs w:val="14"/>
          <w:color w:val="003B71"/>
        </w:rPr>
      </w:pPr>
      <w:r>
        <w:rPr>
          <w:rFonts w:ascii="Arial" w:cs="Arial" w:eastAsia="Arial" w:hAnsi="Arial"/>
          <w:sz w:val="14"/>
          <w:szCs w:val="14"/>
          <w:color w:val="auto"/>
        </w:rPr>
        <w:t>Multiple investor relations, finance and e-business positions (1998-2007)</w:t>
      </w:r>
    </w:p>
    <w:p>
      <w:pPr>
        <w:spacing w:after="0" w:line="149" w:lineRule="exact"/>
        <w:rPr>
          <w:sz w:val="20"/>
          <w:szCs w:val="20"/>
          <w:color w:val="auto"/>
        </w:rPr>
      </w:pPr>
    </w:p>
    <w:p>
      <w:pPr>
        <w:ind w:left="400" w:hanging="127"/>
        <w:spacing w:after="0"/>
        <w:tabs>
          <w:tab w:leader="none" w:pos="40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Coopers &amp; Lybrand, LLP (n/k/a PwC), </w:t>
      </w:r>
      <w:r>
        <w:rPr>
          <w:rFonts w:ascii="Arial" w:cs="Arial" w:eastAsia="Arial" w:hAnsi="Arial"/>
          <w:sz w:val="14"/>
          <w:szCs w:val="14"/>
          <w:color w:val="auto"/>
        </w:rPr>
        <w:t>a Big Eight public accounting firm.</w:t>
      </w:r>
    </w:p>
    <w:p>
      <w:pPr>
        <w:spacing w:after="0" w:line="15" w:lineRule="exact"/>
        <w:rPr>
          <w:rFonts w:ascii="Arial" w:cs="Arial" w:eastAsia="Arial" w:hAnsi="Arial"/>
          <w:sz w:val="14"/>
          <w:szCs w:val="14"/>
          <w:color w:val="auto"/>
        </w:rPr>
      </w:pPr>
    </w:p>
    <w:p>
      <w:pPr>
        <w:ind w:left="580" w:hanging="163"/>
        <w:spacing w:after="0"/>
        <w:tabs>
          <w:tab w:leader="none" w:pos="580" w:val="left"/>
        </w:tabs>
        <w:numPr>
          <w:ilvl w:val="1"/>
          <w:numId w:val="46"/>
        </w:numPr>
        <w:rPr>
          <w:rFonts w:ascii="Arial" w:cs="Arial" w:eastAsia="Arial" w:hAnsi="Arial"/>
          <w:sz w:val="14"/>
          <w:szCs w:val="14"/>
          <w:color w:val="003B71"/>
        </w:rPr>
      </w:pPr>
      <w:r>
        <w:rPr>
          <w:rFonts w:ascii="Arial" w:cs="Arial" w:eastAsia="Arial" w:hAnsi="Arial"/>
          <w:sz w:val="14"/>
          <w:szCs w:val="14"/>
          <w:color w:val="auto"/>
        </w:rPr>
        <w:t>Associate, Hospitality Consulting Practice (2008-2009)</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Investment, Finance</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28" w:lineRule="exact"/>
        <w:rPr>
          <w:sz w:val="20"/>
          <w:szCs w:val="20"/>
          <w:color w:val="auto"/>
        </w:rPr>
      </w:pPr>
    </w:p>
    <w:p>
      <w:pPr>
        <w:ind w:left="400" w:hanging="127"/>
        <w:spacing w:after="0"/>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Current: Dave &amp; Buster’s Entertainment, Inc.</w:t>
      </w:r>
    </w:p>
    <w:p>
      <w:pPr>
        <w:spacing w:after="0" w:line="25"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34" w:lineRule="exact"/>
        <w:rPr>
          <w:rFonts w:ascii="Arial" w:cs="Arial" w:eastAsia="Arial" w:hAnsi="Arial"/>
          <w:sz w:val="14"/>
          <w:szCs w:val="14"/>
          <w:color w:val="auto"/>
        </w:rPr>
      </w:pPr>
    </w:p>
    <w:p>
      <w:pPr>
        <w:ind w:left="400" w:hanging="127"/>
        <w:spacing w:after="0"/>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Director, Visit Orlando</w:t>
      </w:r>
    </w:p>
    <w:p>
      <w:pPr>
        <w:ind w:left="280"/>
        <w:spacing w:after="0" w:line="230" w:lineRule="auto"/>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w:t>
      </w:r>
    </w:p>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60" w:type="dxa"/>
            <w:vAlign w:val="bottom"/>
          </w:tcPr>
          <w:p>
            <w:pPr>
              <w:spacing w:after="0"/>
              <w:rPr>
                <w:sz w:val="16"/>
                <w:szCs w:val="16"/>
                <w:color w:val="auto"/>
              </w:rPr>
            </w:pPr>
          </w:p>
        </w:tc>
        <w:tc>
          <w:tcPr>
            <w:tcW w:w="328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 B.S. with honors, Cornell University</w:t>
            </w:r>
          </w:p>
        </w:tc>
        <w:tc>
          <w:tcPr>
            <w:tcW w:w="2980" w:type="dxa"/>
            <w:vAlign w:val="bottom"/>
            <w:tcBorders>
              <w:right w:val="single" w:sz="8" w:color="auto"/>
            </w:tcBorders>
          </w:tcPr>
          <w:p>
            <w:pPr>
              <w:jc w:val="right"/>
              <w:ind w:right="459"/>
              <w:spacing w:after="0"/>
              <w:rPr>
                <w:sz w:val="20"/>
                <w:szCs w:val="20"/>
                <w:color w:val="auto"/>
              </w:rPr>
            </w:pPr>
            <w:r>
              <w:rPr>
                <w:rFonts w:ascii="Arial" w:cs="Arial" w:eastAsia="Arial" w:hAnsi="Arial"/>
                <w:sz w:val="14"/>
                <w:szCs w:val="14"/>
                <w:color w:val="auto"/>
              </w:rPr>
              <w:t>- M.M. Hospitality, Cornell University</w:t>
            </w:r>
          </w:p>
        </w:tc>
        <w:tc>
          <w:tcPr>
            <w:tcW w:w="4620" w:type="dxa"/>
            <w:vAlign w:val="bottom"/>
            <w:gridSpan w:val="2"/>
          </w:tcPr>
          <w:p>
            <w:pPr>
              <w:ind w:left="100"/>
              <w:spacing w:after="0"/>
              <w:rPr>
                <w:sz w:val="20"/>
                <w:szCs w:val="20"/>
                <w:color w:val="auto"/>
              </w:rPr>
            </w:pPr>
            <w:r>
              <w:rPr>
                <w:rFonts w:ascii="Arial" w:cs="Arial" w:eastAsia="Arial" w:hAnsi="Arial"/>
                <w:sz w:val="14"/>
                <w:szCs w:val="14"/>
                <w:color w:val="auto"/>
              </w:rPr>
              <w:t>- M.B.A. – The Wharton School, University of Pennsylvania</w:t>
            </w:r>
          </w:p>
        </w:tc>
        <w:tc>
          <w:tcPr>
            <w:tcW w:w="0" w:type="dxa"/>
            <w:vAlign w:val="bottom"/>
          </w:tcPr>
          <w:p>
            <w:pPr>
              <w:spacing w:after="0"/>
              <w:rPr>
                <w:sz w:val="1"/>
                <w:szCs w:val="1"/>
                <w:color w:val="auto"/>
              </w:rPr>
            </w:pPr>
          </w:p>
        </w:tc>
      </w:tr>
      <w:tr>
        <w:trPr>
          <w:trHeight w:val="39"/>
        </w:trPr>
        <w:tc>
          <w:tcPr>
            <w:tcW w:w="160" w:type="dxa"/>
            <w:vAlign w:val="bottom"/>
            <w:tcBorders>
              <w:bottom w:val="single" w:sz="8" w:color="003B71"/>
            </w:tcBorders>
          </w:tcPr>
          <w:p>
            <w:pPr>
              <w:spacing w:after="0"/>
              <w:rPr>
                <w:sz w:val="3"/>
                <w:szCs w:val="3"/>
                <w:color w:val="auto"/>
              </w:rPr>
            </w:pPr>
          </w:p>
        </w:tc>
        <w:tc>
          <w:tcPr>
            <w:tcW w:w="940" w:type="dxa"/>
            <w:vAlign w:val="bottom"/>
            <w:tcBorders>
              <w:bottom w:val="single" w:sz="8" w:color="003B71"/>
            </w:tcBorders>
          </w:tcPr>
          <w:p>
            <w:pPr>
              <w:spacing w:after="0"/>
              <w:rPr>
                <w:sz w:val="3"/>
                <w:szCs w:val="3"/>
                <w:color w:val="auto"/>
              </w:rPr>
            </w:pPr>
          </w:p>
        </w:tc>
        <w:tc>
          <w:tcPr>
            <w:tcW w:w="2340" w:type="dxa"/>
            <w:vAlign w:val="bottom"/>
            <w:tcBorders>
              <w:bottom w:val="single" w:sz="8" w:color="003B71"/>
              <w:right w:val="single" w:sz="8" w:color="auto"/>
            </w:tcBorders>
          </w:tcPr>
          <w:p>
            <w:pPr>
              <w:spacing w:after="0"/>
              <w:rPr>
                <w:sz w:val="3"/>
                <w:szCs w:val="3"/>
                <w:color w:val="auto"/>
              </w:rPr>
            </w:pPr>
          </w:p>
        </w:tc>
        <w:tc>
          <w:tcPr>
            <w:tcW w:w="2980" w:type="dxa"/>
            <w:vAlign w:val="bottom"/>
            <w:tcBorders>
              <w:bottom w:val="single" w:sz="8" w:color="003B71"/>
              <w:right w:val="single" w:sz="8" w:color="auto"/>
            </w:tcBorders>
          </w:tcPr>
          <w:p>
            <w:pPr>
              <w:spacing w:after="0"/>
              <w:rPr>
                <w:sz w:val="3"/>
                <w:szCs w:val="3"/>
                <w:color w:val="auto"/>
              </w:rPr>
            </w:pPr>
          </w:p>
        </w:tc>
        <w:tc>
          <w:tcPr>
            <w:tcW w:w="4600" w:type="dxa"/>
            <w:vAlign w:val="bottom"/>
            <w:tcBorders>
              <w:bottom w:val="single" w:sz="8" w:color="003B71"/>
            </w:tcBorders>
          </w:tcPr>
          <w:p>
            <w:pPr>
              <w:spacing w:after="0"/>
              <w:rPr>
                <w:sz w:val="3"/>
                <w:szCs w:val="3"/>
                <w:color w:val="auto"/>
              </w:rPr>
            </w:pPr>
          </w:p>
        </w:tc>
        <w:tc>
          <w:tcPr>
            <w:tcW w:w="20" w:type="dxa"/>
            <w:vAlign w:val="bottom"/>
            <w:tcBorders>
              <w:bottom w:val="single" w:sz="8" w:color="003B71"/>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60" w:type="dxa"/>
            <w:vAlign w:val="bottom"/>
            <w:tcBorders>
              <w:bottom w:val="single" w:sz="8" w:color="003B71"/>
            </w:tcBorders>
          </w:tcPr>
          <w:p>
            <w:pPr>
              <w:spacing w:after="0"/>
              <w:rPr>
                <w:sz w:val="12"/>
                <w:szCs w:val="12"/>
                <w:color w:val="auto"/>
              </w:rPr>
            </w:pPr>
          </w:p>
        </w:tc>
        <w:tc>
          <w:tcPr>
            <w:tcW w:w="940" w:type="dxa"/>
            <w:vAlign w:val="bottom"/>
            <w:tcBorders>
              <w:bottom w:val="single" w:sz="8" w:color="003B71"/>
            </w:tcBorders>
          </w:tcPr>
          <w:p>
            <w:pPr>
              <w:spacing w:after="0"/>
              <w:rPr>
                <w:sz w:val="12"/>
                <w:szCs w:val="12"/>
                <w:color w:val="auto"/>
              </w:rPr>
            </w:pPr>
          </w:p>
        </w:tc>
        <w:tc>
          <w:tcPr>
            <w:tcW w:w="2340" w:type="dxa"/>
            <w:vAlign w:val="bottom"/>
            <w:tcBorders>
              <w:bottom w:val="single" w:sz="8" w:color="003B71"/>
            </w:tcBorders>
          </w:tcPr>
          <w:p>
            <w:pPr>
              <w:spacing w:after="0"/>
              <w:rPr>
                <w:sz w:val="12"/>
                <w:szCs w:val="12"/>
                <w:color w:val="auto"/>
              </w:rPr>
            </w:pPr>
          </w:p>
        </w:tc>
        <w:tc>
          <w:tcPr>
            <w:tcW w:w="2980" w:type="dxa"/>
            <w:vAlign w:val="bottom"/>
            <w:tcBorders>
              <w:bottom w:val="single" w:sz="8" w:color="003B71"/>
            </w:tcBorders>
          </w:tcPr>
          <w:p>
            <w:pPr>
              <w:spacing w:after="0"/>
              <w:rPr>
                <w:sz w:val="12"/>
                <w:szCs w:val="12"/>
                <w:color w:val="auto"/>
              </w:rPr>
            </w:pPr>
          </w:p>
        </w:tc>
        <w:tc>
          <w:tcPr>
            <w:tcW w:w="4600" w:type="dxa"/>
            <w:vAlign w:val="bottom"/>
            <w:tcBorders>
              <w:bottom w:val="single" w:sz="8" w:color="003B71"/>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3440" w:type="dxa"/>
            <w:vAlign w:val="bottom"/>
            <w:gridSpan w:val="3"/>
          </w:tcPr>
          <w:p>
            <w:pPr>
              <w:spacing w:after="0"/>
              <w:rPr>
                <w:sz w:val="20"/>
                <w:szCs w:val="20"/>
                <w:color w:val="auto"/>
              </w:rPr>
            </w:pPr>
            <w:r>
              <w:rPr>
                <w:rFonts w:ascii="Arial" w:cs="Arial" w:eastAsia="Arial" w:hAnsi="Arial"/>
                <w:sz w:val="18"/>
                <w:szCs w:val="18"/>
                <w:b w:val="1"/>
                <w:bCs w:val="1"/>
                <w:color w:val="003B71"/>
              </w:rPr>
              <w:t>Dave &amp; Buster’s Entertainment, Inc.</w:t>
            </w:r>
          </w:p>
        </w:tc>
        <w:tc>
          <w:tcPr>
            <w:tcW w:w="2980" w:type="dxa"/>
            <w:vAlign w:val="bottom"/>
          </w:tcPr>
          <w:p>
            <w:pPr>
              <w:jc w:val="right"/>
              <w:ind w:right="619"/>
              <w:spacing w:after="0"/>
              <w:rPr>
                <w:sz w:val="20"/>
                <w:szCs w:val="20"/>
                <w:color w:val="auto"/>
              </w:rPr>
            </w:pPr>
            <w:r>
              <w:rPr>
                <w:rFonts w:ascii="Arial" w:cs="Arial" w:eastAsia="Arial" w:hAnsi="Arial"/>
                <w:sz w:val="18"/>
                <w:szCs w:val="18"/>
                <w:b w:val="1"/>
                <w:bCs w:val="1"/>
                <w:color w:val="4C4C4C"/>
              </w:rPr>
              <w:t>10</w:t>
            </w:r>
          </w:p>
        </w:tc>
        <w:tc>
          <w:tcPr>
            <w:tcW w:w="4600" w:type="dxa"/>
            <w:vAlign w:val="bottom"/>
          </w:tcPr>
          <w:p>
            <w:pPr>
              <w:ind w:left="2680"/>
              <w:spacing w:after="0"/>
              <w:rPr>
                <w:sz w:val="20"/>
                <w:szCs w:val="20"/>
                <w:color w:val="auto"/>
              </w:rPr>
            </w:pPr>
            <w:r>
              <w:rPr>
                <w:rFonts w:ascii="Arial" w:cs="Arial" w:eastAsia="Arial" w:hAnsi="Arial"/>
                <w:sz w:val="18"/>
                <w:szCs w:val="18"/>
                <w:b w:val="1"/>
                <w:bCs w:val="1"/>
                <w:color w:val="003B71"/>
                <w:w w:val="99"/>
              </w:rPr>
              <w:t>Eat Drink Play Watch</w:t>
            </w:r>
            <w:r>
              <w:rPr>
                <w:rFonts w:ascii="Arial" w:cs="Arial" w:eastAsia="Arial" w:hAnsi="Arial"/>
                <w:sz w:val="15"/>
                <w:szCs w:val="15"/>
                <w:b w:val="1"/>
                <w:bCs w:val="1"/>
                <w:color w:val="003B71"/>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Kevin M.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4638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3415" cy="4638040"/>
                    </a:xfrm>
                    <a:prstGeom prst="rect">
                      <a:avLst/>
                    </a:prstGeom>
                    <a:noFill/>
                  </pic:spPr>
                </pic:pic>
              </a:graphicData>
            </a:graphic>
          </wp:anchor>
        </w:drawing>
      </w: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60" w:type="dxa"/>
            <w:vAlign w:val="bottom"/>
            <w:tcBorders>
              <w:top w:val="single" w:sz="8" w:color="003B71"/>
            </w:tcBorders>
          </w:tcPr>
          <w:p>
            <w:pPr>
              <w:spacing w:after="0"/>
              <w:rPr>
                <w:sz w:val="16"/>
                <w:szCs w:val="16"/>
                <w:color w:val="auto"/>
              </w:rPr>
            </w:pPr>
          </w:p>
        </w:tc>
        <w:tc>
          <w:tcPr>
            <w:tcW w:w="5600" w:type="dxa"/>
            <w:vAlign w:val="bottom"/>
            <w:tcBorders>
              <w:top w:val="single" w:sz="8" w:color="003B71"/>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2011</w:t>
            </w:r>
          </w:p>
        </w:tc>
        <w:tc>
          <w:tcPr>
            <w:tcW w:w="5260" w:type="dxa"/>
            <w:vAlign w:val="bottom"/>
            <w:tcBorders>
              <w:top w:val="single" w:sz="8" w:color="003B71"/>
            </w:tcBorders>
          </w:tcPr>
          <w:p>
            <w:pPr>
              <w:ind w:left="180"/>
              <w:spacing w:after="0" w:line="195" w:lineRule="exact"/>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67</w:t>
            </w:r>
          </w:p>
        </w:tc>
      </w:tr>
      <w:tr>
        <w:trPr>
          <w:trHeight w:val="217"/>
        </w:trPr>
        <w:tc>
          <w:tcPr>
            <w:tcW w:w="160" w:type="dxa"/>
            <w:vAlign w:val="bottom"/>
          </w:tcPr>
          <w:p>
            <w:pPr>
              <w:spacing w:after="0"/>
              <w:rPr>
                <w:sz w:val="18"/>
                <w:szCs w:val="18"/>
                <w:color w:val="auto"/>
              </w:rPr>
            </w:pPr>
          </w:p>
        </w:tc>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Audit, Finance, and Nominating and</w:t>
            </w:r>
          </w:p>
        </w:tc>
        <w:tc>
          <w:tcPr>
            <w:tcW w:w="5260" w:type="dxa"/>
            <w:vAlign w:val="bottom"/>
          </w:tcPr>
          <w:p>
            <w:pPr>
              <w:ind w:left="1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tc>
      </w:tr>
      <w:tr>
        <w:trPr>
          <w:trHeight w:val="203"/>
        </w:trPr>
        <w:tc>
          <w:tcPr>
            <w:tcW w:w="160" w:type="dxa"/>
            <w:vAlign w:val="bottom"/>
          </w:tcPr>
          <w:p>
            <w:pPr>
              <w:spacing w:after="0"/>
              <w:rPr>
                <w:sz w:val="17"/>
                <w:szCs w:val="17"/>
                <w:color w:val="auto"/>
              </w:rPr>
            </w:pPr>
          </w:p>
        </w:tc>
        <w:tc>
          <w:tcPr>
            <w:tcW w:w="5600" w:type="dxa"/>
            <w:vAlign w:val="bottom"/>
            <w:tcBorders>
              <w:right w:val="single" w:sz="8" w:color="auto"/>
            </w:tcBorders>
            <w:gridSpan w:val="2"/>
          </w:tcPr>
          <w:p>
            <w:pPr>
              <w:ind w:left="920"/>
              <w:spacing w:after="0"/>
              <w:rPr>
                <w:sz w:val="20"/>
                <w:szCs w:val="20"/>
                <w:color w:val="auto"/>
              </w:rPr>
            </w:pPr>
            <w:r>
              <w:rPr>
                <w:rFonts w:ascii="Arial" w:cs="Arial" w:eastAsia="Arial" w:hAnsi="Arial"/>
                <w:sz w:val="16"/>
                <w:szCs w:val="16"/>
                <w:color w:val="auto"/>
              </w:rPr>
              <w:t>Corporate Governance</w:t>
            </w:r>
          </w:p>
        </w:tc>
        <w:tc>
          <w:tcPr>
            <w:tcW w:w="5260" w:type="dxa"/>
            <w:vAlign w:val="bottom"/>
          </w:tcPr>
          <w:p>
            <w:pPr>
              <w:spacing w:after="0"/>
              <w:rPr>
                <w:sz w:val="17"/>
                <w:szCs w:val="17"/>
                <w:color w:val="auto"/>
              </w:rPr>
            </w:pPr>
          </w:p>
        </w:tc>
      </w:tr>
      <w:tr>
        <w:trPr>
          <w:trHeight w:val="176"/>
        </w:trPr>
        <w:tc>
          <w:tcPr>
            <w:tcW w:w="160" w:type="dxa"/>
            <w:vAlign w:val="bottom"/>
          </w:tcPr>
          <w:p>
            <w:pPr>
              <w:spacing w:after="0"/>
              <w:rPr>
                <w:sz w:val="15"/>
                <w:szCs w:val="15"/>
                <w:color w:val="auto"/>
              </w:rPr>
            </w:pPr>
          </w:p>
        </w:tc>
        <w:tc>
          <w:tcPr>
            <w:tcW w:w="5600" w:type="dxa"/>
            <w:vAlign w:val="bottom"/>
            <w:gridSpan w:val="2"/>
          </w:tcPr>
          <w:p>
            <w:pPr>
              <w:spacing w:after="0" w:line="176"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URRENT</w:t>
            </w:r>
            <w:r>
              <w:rPr>
                <w:rFonts w:ascii="Arial" w:cs="Arial" w:eastAsia="Arial" w:hAnsi="Arial"/>
                <w:sz w:val="18"/>
                <w:szCs w:val="18"/>
                <w:color w:val="auto"/>
              </w:rPr>
              <w:t xml:space="preserve"> P</w:t>
            </w:r>
            <w:r>
              <w:rPr>
                <w:rFonts w:ascii="Arial" w:cs="Arial" w:eastAsia="Arial" w:hAnsi="Arial"/>
                <w:sz w:val="14"/>
                <w:szCs w:val="14"/>
                <w:color w:val="auto"/>
              </w:rPr>
              <w:t>OSITION</w:t>
            </w:r>
            <w:r>
              <w:rPr>
                <w:rFonts w:ascii="Arial" w:cs="Arial" w:eastAsia="Arial" w:hAnsi="Arial"/>
                <w:sz w:val="18"/>
                <w:szCs w:val="18"/>
                <w:color w:val="auto"/>
              </w:rPr>
              <w:t>:</w:t>
            </w:r>
          </w:p>
        </w:tc>
        <w:tc>
          <w:tcPr>
            <w:tcW w:w="526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bl>
    <w:p>
      <w:pPr>
        <w:spacing w:after="0" w:line="3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xml:space="preserve">- Chair of the Board of </w:t>
      </w:r>
      <w:r>
        <w:rPr>
          <w:rFonts w:ascii="Arial" w:cs="Arial" w:eastAsia="Arial" w:hAnsi="Arial"/>
          <w:sz w:val="14"/>
          <w:szCs w:val="14"/>
          <w:i w:val="1"/>
          <w:iCs w:val="1"/>
          <w:color w:val="auto"/>
        </w:rPr>
        <w:t>Dave &amp; Buster’s Entertainment, Inc.</w:t>
      </w:r>
      <w:r>
        <w:rPr>
          <w:rFonts w:ascii="Arial" w:cs="Arial" w:eastAsia="Arial" w:hAnsi="Arial"/>
          <w:sz w:val="14"/>
          <w:szCs w:val="14"/>
          <w:color w:val="auto"/>
        </w:rPr>
        <w:t xml:space="preserve"> since April 2021</w:t>
      </w:r>
    </w:p>
    <w:p>
      <w:pPr>
        <w:spacing w:after="0" w:line="15"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Leadership, Strategy, Board Governance, Gaming, Finance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14" w:lineRule="exact"/>
        <w:rPr>
          <w:sz w:val="20"/>
          <w:szCs w:val="20"/>
          <w:color w:val="auto"/>
        </w:rPr>
      </w:pPr>
    </w:p>
    <w:p>
      <w:pPr>
        <w:ind w:left="400" w:hanging="127"/>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Scientific Games Corporation, </w:t>
      </w:r>
      <w:r>
        <w:rPr>
          <w:rFonts w:ascii="Arial" w:cs="Arial" w:eastAsia="Arial" w:hAnsi="Arial"/>
          <w:sz w:val="14"/>
          <w:szCs w:val="14"/>
          <w:color w:val="auto"/>
        </w:rPr>
        <w:t>a global leader in the gaming and lottery industries</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48"/>
        </w:numPr>
        <w:rPr>
          <w:rFonts w:ascii="Arial" w:cs="Arial" w:eastAsia="Arial" w:hAnsi="Arial"/>
          <w:sz w:val="14"/>
          <w:szCs w:val="14"/>
          <w:color w:val="003B71"/>
        </w:rPr>
      </w:pPr>
      <w:r>
        <w:rPr>
          <w:rFonts w:ascii="Arial" w:cs="Arial" w:eastAsia="Arial" w:hAnsi="Arial"/>
          <w:sz w:val="14"/>
          <w:szCs w:val="14"/>
          <w:color w:val="auto"/>
        </w:rPr>
        <w:t>Senior Advisor from June 2018 to September 2018 and Director until October 2018</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48"/>
        </w:numPr>
        <w:rPr>
          <w:rFonts w:ascii="Arial" w:cs="Arial" w:eastAsia="Arial" w:hAnsi="Arial"/>
          <w:sz w:val="14"/>
          <w:szCs w:val="14"/>
          <w:color w:val="003B71"/>
        </w:rPr>
      </w:pPr>
      <w:r>
        <w:rPr>
          <w:rFonts w:ascii="Arial" w:cs="Arial" w:eastAsia="Arial" w:hAnsi="Arial"/>
          <w:sz w:val="14"/>
          <w:szCs w:val="14"/>
          <w:color w:val="auto"/>
        </w:rPr>
        <w:t>President and Chief Executive Officer from August 2016 to June 2018</w:t>
      </w:r>
    </w:p>
    <w:p>
      <w:pPr>
        <w:spacing w:after="0" w:line="149" w:lineRule="exact"/>
        <w:rPr>
          <w:sz w:val="20"/>
          <w:szCs w:val="20"/>
          <w:color w:val="auto"/>
        </w:rPr>
      </w:pPr>
    </w:p>
    <w:p>
      <w:pPr>
        <w:ind w:left="400" w:hanging="127"/>
        <w:spacing w:after="0"/>
        <w:tabs>
          <w:tab w:leader="none" w:pos="400" w:val="left"/>
        </w:tabs>
        <w:numPr>
          <w:ilvl w:val="0"/>
          <w:numId w:val="49"/>
        </w:numPr>
        <w:rPr>
          <w:rFonts w:ascii="Arial" w:cs="Arial" w:eastAsia="Arial" w:hAnsi="Arial"/>
          <w:sz w:val="14"/>
          <w:szCs w:val="14"/>
          <w:color w:val="auto"/>
        </w:rPr>
      </w:pPr>
      <w:r>
        <w:rPr>
          <w:rFonts w:ascii="Arial" w:cs="Arial" w:eastAsia="Arial" w:hAnsi="Arial"/>
          <w:sz w:val="14"/>
          <w:szCs w:val="14"/>
          <w:i w:val="1"/>
          <w:iCs w:val="1"/>
          <w:color w:val="auto"/>
        </w:rPr>
        <w:t xml:space="preserve">Robert B. Willumstad School of Business, Adelphi University, </w:t>
      </w:r>
      <w:r>
        <w:rPr>
          <w:rFonts w:ascii="Arial" w:cs="Arial" w:eastAsia="Arial" w:hAnsi="Arial"/>
          <w:sz w:val="14"/>
          <w:szCs w:val="14"/>
          <w:color w:val="auto"/>
        </w:rPr>
        <w:t>a New York metropolitan area business school</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49"/>
        </w:numPr>
        <w:rPr>
          <w:rFonts w:ascii="Arial" w:cs="Arial" w:eastAsia="Arial" w:hAnsi="Arial"/>
          <w:sz w:val="14"/>
          <w:szCs w:val="14"/>
          <w:color w:val="003B71"/>
        </w:rPr>
      </w:pPr>
      <w:r>
        <w:rPr>
          <w:rFonts w:ascii="Arial" w:cs="Arial" w:eastAsia="Arial" w:hAnsi="Arial"/>
          <w:sz w:val="14"/>
          <w:szCs w:val="14"/>
          <w:color w:val="auto"/>
        </w:rPr>
        <w:t>John J. Phelan, Jr. Distinguished Visiting Professor of Business (February 2015-June 2016)</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49"/>
        </w:numPr>
        <w:rPr>
          <w:rFonts w:ascii="Arial" w:cs="Arial" w:eastAsia="Arial" w:hAnsi="Arial"/>
          <w:sz w:val="14"/>
          <w:szCs w:val="14"/>
          <w:color w:val="003B71"/>
        </w:rPr>
      </w:pPr>
      <w:r>
        <w:rPr>
          <w:rFonts w:ascii="Arial" w:cs="Arial" w:eastAsia="Arial" w:hAnsi="Arial"/>
          <w:sz w:val="14"/>
          <w:szCs w:val="14"/>
          <w:color w:val="auto"/>
        </w:rPr>
        <w:t>Distinguished Visiting Professor-Accounting, Finance and Economics (2005-2008)</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Strategy, Finance, Accounting</w:t>
      </w:r>
    </w:p>
    <w:p>
      <w:pPr>
        <w:spacing w:after="0" w:line="1" w:lineRule="exact"/>
        <w:rPr>
          <w:sz w:val="20"/>
          <w:szCs w:val="20"/>
          <w:color w:val="auto"/>
        </w:rPr>
      </w:pPr>
    </w:p>
    <w:p>
      <w:pPr>
        <w:ind w:left="400" w:hanging="127"/>
        <w:spacing w:after="0"/>
        <w:tabs>
          <w:tab w:leader="none" w:pos="400" w:val="left"/>
        </w:tabs>
        <w:numPr>
          <w:ilvl w:val="0"/>
          <w:numId w:val="50"/>
        </w:numPr>
        <w:rPr>
          <w:rFonts w:ascii="Arial" w:cs="Arial" w:eastAsia="Arial" w:hAnsi="Arial"/>
          <w:sz w:val="14"/>
          <w:szCs w:val="14"/>
          <w:color w:val="auto"/>
        </w:rPr>
      </w:pPr>
      <w:r>
        <w:rPr>
          <w:rFonts w:ascii="Arial" w:cs="Arial" w:eastAsia="Arial" w:hAnsi="Arial"/>
          <w:sz w:val="14"/>
          <w:szCs w:val="14"/>
          <w:i w:val="1"/>
          <w:iCs w:val="1"/>
          <w:color w:val="auto"/>
        </w:rPr>
        <w:t xml:space="preserve">NCL Corporation, Ltd, </w:t>
      </w:r>
      <w:r>
        <w:rPr>
          <w:rFonts w:ascii="Arial" w:cs="Arial" w:eastAsia="Arial" w:hAnsi="Arial"/>
          <w:sz w:val="14"/>
          <w:szCs w:val="14"/>
          <w:color w:val="auto"/>
        </w:rPr>
        <w:t>a leading global cruise line operator:</w:t>
      </w:r>
    </w:p>
    <w:p>
      <w:pPr>
        <w:spacing w:after="0" w:line="1" w:lineRule="exact"/>
        <w:rPr>
          <w:rFonts w:ascii="Arial" w:cs="Arial" w:eastAsia="Arial" w:hAnsi="Arial"/>
          <w:sz w:val="14"/>
          <w:szCs w:val="14"/>
          <w:color w:val="auto"/>
        </w:rPr>
      </w:pPr>
    </w:p>
    <w:p>
      <w:pPr>
        <w:ind w:left="600" w:hanging="183"/>
        <w:spacing w:after="0"/>
        <w:tabs>
          <w:tab w:leader="none" w:pos="600" w:val="left"/>
        </w:tabs>
        <w:numPr>
          <w:ilvl w:val="1"/>
          <w:numId w:val="50"/>
        </w:numPr>
        <w:rPr>
          <w:rFonts w:ascii="Arial" w:cs="Arial" w:eastAsia="Arial" w:hAnsi="Arial"/>
          <w:sz w:val="14"/>
          <w:szCs w:val="14"/>
          <w:color w:val="003B71"/>
        </w:rPr>
      </w:pPr>
      <w:r>
        <w:rPr>
          <w:rFonts w:ascii="Arial" w:cs="Arial" w:eastAsia="Arial" w:hAnsi="Arial"/>
          <w:sz w:val="14"/>
          <w:szCs w:val="14"/>
          <w:color w:val="auto"/>
        </w:rPr>
        <w:t>Chief Executive Officer (November 2008-January 2015)</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50"/>
        </w:numPr>
        <w:rPr>
          <w:rFonts w:ascii="Arial" w:cs="Arial" w:eastAsia="Arial" w:hAnsi="Arial"/>
          <w:sz w:val="14"/>
          <w:szCs w:val="14"/>
          <w:color w:val="003B71"/>
        </w:rPr>
      </w:pPr>
      <w:r>
        <w:rPr>
          <w:rFonts w:ascii="Arial" w:cs="Arial" w:eastAsia="Arial" w:hAnsi="Arial"/>
          <w:sz w:val="14"/>
          <w:szCs w:val="14"/>
          <w:color w:val="auto"/>
        </w:rPr>
        <w:t>President (August 2010-January 2015; August 2008-March 2009)</w:t>
      </w:r>
    </w:p>
    <w:p>
      <w:pPr>
        <w:spacing w:after="0" w:line="1" w:lineRule="exact"/>
        <w:rPr>
          <w:rFonts w:ascii="Arial" w:cs="Arial" w:eastAsia="Arial" w:hAnsi="Arial"/>
          <w:sz w:val="14"/>
          <w:szCs w:val="14"/>
          <w:color w:val="003B71"/>
        </w:rPr>
      </w:pPr>
    </w:p>
    <w:p>
      <w:pPr>
        <w:ind w:left="600" w:hanging="183"/>
        <w:spacing w:after="0"/>
        <w:tabs>
          <w:tab w:leader="none" w:pos="600" w:val="left"/>
        </w:tabs>
        <w:numPr>
          <w:ilvl w:val="1"/>
          <w:numId w:val="50"/>
        </w:numPr>
        <w:rPr>
          <w:rFonts w:ascii="Arial" w:cs="Arial" w:eastAsia="Arial" w:hAnsi="Arial"/>
          <w:sz w:val="14"/>
          <w:szCs w:val="14"/>
          <w:color w:val="003B71"/>
        </w:rPr>
      </w:pPr>
      <w:r>
        <w:rPr>
          <w:rFonts w:ascii="Arial" w:cs="Arial" w:eastAsia="Arial" w:hAnsi="Arial"/>
          <w:sz w:val="14"/>
          <w:szCs w:val="14"/>
          <w:color w:val="auto"/>
        </w:rPr>
        <w:t>Chief Financial Officer (2007-2010)</w:t>
      </w:r>
    </w:p>
    <w:p>
      <w:pPr>
        <w:spacing w:after="0" w:line="149" w:lineRule="exact"/>
        <w:rPr>
          <w:sz w:val="20"/>
          <w:szCs w:val="20"/>
          <w:color w:val="auto"/>
        </w:rPr>
      </w:pPr>
    </w:p>
    <w:p>
      <w:pPr>
        <w:ind w:left="420" w:right="7600" w:hanging="147"/>
        <w:spacing w:after="0" w:line="251" w:lineRule="auto"/>
        <w:tabs>
          <w:tab w:leader="none" w:pos="405" w:val="left"/>
        </w:tabs>
        <w:numPr>
          <w:ilvl w:val="0"/>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Cerberus Capital Management LP </w:t>
      </w:r>
      <w:r>
        <w:rPr>
          <w:rFonts w:ascii="Arial" w:cs="Arial" w:eastAsia="Arial" w:hAnsi="Arial"/>
          <w:sz w:val="14"/>
          <w:szCs w:val="14"/>
          <w:color w:val="auto"/>
        </w:rPr>
        <w:t>(2006-2007) &amp;</w:t>
      </w:r>
      <w:r>
        <w:rPr>
          <w:rFonts w:ascii="Arial" w:cs="Arial" w:eastAsia="Arial" w:hAnsi="Arial"/>
          <w:sz w:val="14"/>
          <w:szCs w:val="14"/>
          <w:i w:val="1"/>
          <w:iCs w:val="1"/>
          <w:color w:val="auto"/>
        </w:rPr>
        <w:t xml:space="preserve"> Clayton Dubilier &amp; Rice </w:t>
      </w:r>
      <w:r>
        <w:rPr>
          <w:rFonts w:ascii="Arial" w:cs="Arial" w:eastAsia="Arial" w:hAnsi="Arial"/>
          <w:sz w:val="14"/>
          <w:szCs w:val="14"/>
          <w:color w:val="auto"/>
        </w:rPr>
        <w:t>(2005-2006):</w:t>
      </w:r>
    </w:p>
    <w:p>
      <w:pPr>
        <w:spacing w:after="0" w:line="1"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003B71"/>
        </w:rPr>
        <w:t xml:space="preserve">•  </w:t>
      </w:r>
      <w:r>
        <w:rPr>
          <w:rFonts w:ascii="Arial" w:cs="Arial" w:eastAsia="Arial" w:hAnsi="Arial"/>
          <w:sz w:val="14"/>
          <w:szCs w:val="14"/>
          <w:color w:val="000000"/>
        </w:rPr>
        <w:t>Consultant</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Finance, Private Equity, Strategic</w:t>
      </w:r>
    </w:p>
    <w:p>
      <w:pPr>
        <w:spacing w:after="0" w:line="1" w:lineRule="exact"/>
        <w:rPr>
          <w:sz w:val="20"/>
          <w:szCs w:val="20"/>
          <w:color w:val="auto"/>
        </w:rPr>
      </w:pPr>
    </w:p>
    <w:p>
      <w:pPr>
        <w:ind w:left="400" w:hanging="127"/>
        <w:spacing w:after="0"/>
        <w:tabs>
          <w:tab w:leader="none" w:pos="40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Cendant Corporation, </w:t>
      </w:r>
      <w:r>
        <w:rPr>
          <w:rFonts w:ascii="Arial" w:cs="Arial" w:eastAsia="Arial" w:hAnsi="Arial"/>
          <w:sz w:val="14"/>
          <w:szCs w:val="14"/>
          <w:color w:val="auto"/>
        </w:rPr>
        <w:t>a global business and consumer services provider:</w:t>
      </w:r>
    </w:p>
    <w:p>
      <w:pPr>
        <w:spacing w:after="0" w:line="1" w:lineRule="exact"/>
        <w:rPr>
          <w:sz w:val="20"/>
          <w:szCs w:val="20"/>
          <w:color w:val="auto"/>
        </w:rPr>
      </w:pPr>
    </w:p>
    <w:p>
      <w:pPr>
        <w:ind w:left="640" w:right="80" w:hanging="223"/>
        <w:spacing w:after="0" w:line="241" w:lineRule="auto"/>
        <w:tabs>
          <w:tab w:leader="none" w:pos="604" w:val="left"/>
        </w:tabs>
        <w:numPr>
          <w:ilvl w:val="0"/>
          <w:numId w:val="53"/>
        </w:numPr>
        <w:rPr>
          <w:rFonts w:ascii="Arial" w:cs="Arial" w:eastAsia="Arial" w:hAnsi="Arial"/>
          <w:sz w:val="14"/>
          <w:szCs w:val="14"/>
          <w:color w:val="003B71"/>
        </w:rPr>
      </w:pPr>
      <w:r>
        <w:rPr>
          <w:rFonts w:ascii="Arial" w:cs="Arial" w:eastAsia="Arial" w:hAnsi="Arial"/>
          <w:sz w:val="14"/>
          <w:szCs w:val="14"/>
          <w:color w:val="auto"/>
        </w:rPr>
        <w:t>Various executive roles, including, Chair and Chief Executive Officer of the Vehicle Services Division (including global responsibility for Avis Rent A Car, Budget Rent A Car, Budget Truck PHH Fleet Management and Wright Express) (1996-2005)</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Leadership, Strategy, Finance, Global, Consumer Insights, Marketing</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p>
      <w:pPr>
        <w:spacing w:after="0" w:line="20" w:lineRule="exact"/>
        <w:rPr>
          <w:sz w:val="20"/>
          <w:szCs w:val="20"/>
          <w:color w:val="auto"/>
        </w:rPr>
      </w:pPr>
    </w:p>
    <w:tbl>
      <w:tblPr>
        <w:tblLayout w:type="fixed"/>
        <w:tblInd w:w="280" w:type="dxa"/>
        <w:tblCellMar>
          <w:top w:w="0" w:type="dxa"/>
          <w:left w:w="0" w:type="dxa"/>
          <w:bottom w:w="0" w:type="dxa"/>
          <w:right w:w="0" w:type="dxa"/>
        </w:tblCellMar>
      </w:tblPr>
      <w:tr>
        <w:trPr>
          <w:trHeight w:val="20"/>
        </w:trPr>
        <w:tc>
          <w:tcPr>
            <w:tcW w:w="2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32"/>
        </w:trPr>
        <w:tc>
          <w:tcPr>
            <w:tcW w:w="372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 Current: Dave &amp; Buster’s Entertainment, Inc.</w:t>
            </w:r>
          </w:p>
        </w:tc>
        <w:tc>
          <w:tcPr>
            <w:tcW w:w="188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Hertz Global Holdings</w:t>
            </w:r>
          </w:p>
        </w:tc>
        <w:tc>
          <w:tcPr>
            <w:tcW w:w="1860" w:type="dxa"/>
            <w:vAlign w:val="bottom"/>
            <w:tcBorders>
              <w:right w:val="single" w:sz="8" w:color="auto"/>
            </w:tcBorders>
          </w:tcPr>
          <w:p>
            <w:pPr>
              <w:ind w:left="460"/>
              <w:spacing w:after="0"/>
              <w:rPr>
                <w:sz w:val="20"/>
                <w:szCs w:val="20"/>
                <w:color w:val="auto"/>
              </w:rPr>
            </w:pPr>
            <w:r>
              <w:rPr>
                <w:rFonts w:ascii="Arial" w:cs="Arial" w:eastAsia="Arial" w:hAnsi="Arial"/>
                <w:sz w:val="14"/>
                <w:szCs w:val="14"/>
                <w:color w:val="auto"/>
              </w:rPr>
              <w:t>Gannett Co., Inc.</w:t>
            </w:r>
          </w:p>
        </w:tc>
        <w:tc>
          <w:tcPr>
            <w:tcW w:w="2320" w:type="dxa"/>
            <w:vAlign w:val="bottom"/>
          </w:tcPr>
          <w:p>
            <w:pPr>
              <w:ind w:left="180"/>
              <w:spacing w:after="0"/>
              <w:rPr>
                <w:sz w:val="20"/>
                <w:szCs w:val="20"/>
                <w:color w:val="auto"/>
              </w:rPr>
            </w:pPr>
            <w:r>
              <w:rPr>
                <w:rFonts w:ascii="Arial" w:cs="Arial" w:eastAsia="Arial" w:hAnsi="Arial"/>
                <w:sz w:val="14"/>
                <w:szCs w:val="14"/>
                <w:color w:val="auto"/>
              </w:rPr>
              <w:t>Navistar International Corporation</w:t>
            </w:r>
          </w:p>
        </w:tc>
      </w:tr>
      <w:tr>
        <w:trPr>
          <w:trHeight w:val="39"/>
        </w:trPr>
        <w:tc>
          <w:tcPr>
            <w:tcW w:w="2120" w:type="dxa"/>
            <w:vAlign w:val="bottom"/>
          </w:tcPr>
          <w:p>
            <w:pPr>
              <w:spacing w:after="0"/>
              <w:rPr>
                <w:sz w:val="3"/>
                <w:szCs w:val="3"/>
                <w:color w:val="auto"/>
              </w:rPr>
            </w:pPr>
          </w:p>
        </w:tc>
        <w:tc>
          <w:tcPr>
            <w:tcW w:w="16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860" w:type="dxa"/>
            <w:vAlign w:val="bottom"/>
            <w:tcBorders>
              <w:right w:val="single" w:sz="8" w:color="auto"/>
            </w:tcBorders>
          </w:tcPr>
          <w:p>
            <w:pPr>
              <w:spacing w:after="0"/>
              <w:rPr>
                <w:sz w:val="3"/>
                <w:szCs w:val="3"/>
                <w:color w:val="auto"/>
              </w:rPr>
            </w:pPr>
          </w:p>
        </w:tc>
        <w:tc>
          <w:tcPr>
            <w:tcW w:w="2320" w:type="dxa"/>
            <w:vAlign w:val="bottom"/>
          </w:tcPr>
          <w:p>
            <w:pPr>
              <w:spacing w:after="0"/>
              <w:rPr>
                <w:sz w:val="3"/>
                <w:szCs w:val="3"/>
                <w:color w:val="auto"/>
              </w:rPr>
            </w:pPr>
          </w:p>
        </w:tc>
      </w:tr>
    </w:tbl>
    <w:p>
      <w:pPr>
        <w:spacing w:after="0" w:line="5" w:lineRule="exact"/>
        <w:rPr>
          <w:sz w:val="20"/>
          <w:szCs w:val="20"/>
          <w:color w:val="auto"/>
        </w:rPr>
      </w:pPr>
    </w:p>
    <w:p>
      <w:pPr>
        <w:ind w:left="400" w:hanging="127"/>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Past 5 years: Bob Evans Farms, Inc. (2013-2017); Scientific Games Corporation (2016-2018)</w:t>
      </w:r>
    </w:p>
    <w:p>
      <w:pPr>
        <w:spacing w:after="0" w:line="25" w:lineRule="exact"/>
        <w:rPr>
          <w:rFonts w:ascii="Arial" w:cs="Arial" w:eastAsia="Arial" w:hAnsi="Arial"/>
          <w:sz w:val="14"/>
          <w:szCs w:val="14"/>
          <w:color w:val="auto"/>
        </w:rPr>
      </w:pPr>
    </w:p>
    <w:p>
      <w:pPr>
        <w:ind w:left="280"/>
        <w:spacing w:after="0"/>
        <w:rPr>
          <w:rFonts w:ascii="Arial" w:cs="Arial" w:eastAsia="Arial" w:hAnsi="Arial"/>
          <w:sz w:val="14"/>
          <w:szCs w:val="14"/>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34" w:lineRule="exact"/>
        <w:rPr>
          <w:rFonts w:ascii="Arial" w:cs="Arial" w:eastAsia="Arial" w:hAnsi="Arial"/>
          <w:sz w:val="14"/>
          <w:szCs w:val="14"/>
          <w:color w:val="auto"/>
        </w:rPr>
      </w:pPr>
    </w:p>
    <w:p>
      <w:pPr>
        <w:ind w:left="400" w:hanging="127"/>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Certified Public Accountant</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w:t>
      </w:r>
      <w:r>
        <w:rPr>
          <w:rFonts w:ascii="Arial" w:cs="Arial" w:eastAsia="Arial" w:hAnsi="Arial"/>
          <w:sz w:val="13"/>
          <w:szCs w:val="13"/>
          <w:color w:val="auto"/>
        </w:rPr>
        <w:t>DUCATION</w:t>
      </w:r>
      <w:r>
        <w:rPr>
          <w:rFonts w:ascii="Arial" w:cs="Arial" w:eastAsia="Arial" w:hAnsi="Arial"/>
          <w:sz w:val="16"/>
          <w:szCs w:val="16"/>
          <w:color w:val="auto"/>
        </w:rPr>
        <w:t>:</w:t>
      </w:r>
    </w:p>
    <w:p>
      <w:pPr>
        <w:spacing w:after="0" w:line="20" w:lineRule="exact"/>
        <w:rPr>
          <w:sz w:val="20"/>
          <w:szCs w:val="20"/>
          <w:color w:val="auto"/>
        </w:rPr>
      </w:pPr>
    </w:p>
    <w:tbl>
      <w:tblPr>
        <w:tblLayout w:type="fixed"/>
        <w:tblInd w:w="280" w:type="dxa"/>
        <w:tblCellMar>
          <w:top w:w="0" w:type="dxa"/>
          <w:left w:w="0" w:type="dxa"/>
          <w:bottom w:w="0" w:type="dxa"/>
          <w:right w:w="0" w:type="dxa"/>
        </w:tblCellMar>
      </w:tblPr>
      <w:tr>
        <w:trPr>
          <w:trHeight w:val="20"/>
        </w:trPr>
        <w:tc>
          <w:tcPr>
            <w:tcW w:w="84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16"/>
        </w:trPr>
        <w:tc>
          <w:tcPr>
            <w:tcW w:w="56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 B.S. Hunter College</w:t>
            </w:r>
          </w:p>
        </w:tc>
        <w:tc>
          <w:tcPr>
            <w:tcW w:w="4000" w:type="dxa"/>
            <w:vAlign w:val="bottom"/>
          </w:tcPr>
          <w:p>
            <w:pPr>
              <w:ind w:left="220"/>
              <w:spacing w:after="0"/>
              <w:rPr>
                <w:sz w:val="20"/>
                <w:szCs w:val="20"/>
                <w:color w:val="auto"/>
              </w:rPr>
            </w:pPr>
            <w:r>
              <w:rPr>
                <w:rFonts w:ascii="Arial" w:cs="Arial" w:eastAsia="Arial" w:hAnsi="Arial"/>
                <w:sz w:val="14"/>
                <w:szCs w:val="14"/>
                <w:color w:val="auto"/>
              </w:rPr>
              <w:t>- M.B.A. New York University Graduate School of Business</w:t>
            </w:r>
          </w:p>
        </w:tc>
      </w:tr>
    </w:tbl>
    <w:p>
      <w:pPr>
        <w:spacing w:after="0" w:line="29"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spacing w:after="0" w:line="35" w:lineRule="exact"/>
        <w:rPr>
          <w:sz w:val="20"/>
          <w:szCs w:val="20"/>
          <w:color w:val="auto"/>
        </w:rPr>
      </w:pPr>
    </w:p>
    <w:p>
      <w:pPr>
        <w:ind w:left="400" w:hanging="127"/>
        <w:spacing w:after="0"/>
        <w:tabs>
          <w:tab w:leader="none" w:pos="4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Named “Miami Ultimate CEO” by South Florida Business Journal (2011)</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Ernst &amp; Young Entrepreneur of the Year (2014 – Florida Region)</w:t>
      </w:r>
    </w:p>
    <w:p>
      <w:pPr>
        <w:spacing w:after="0" w:line="243"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FFFFFF"/>
        </w:rPr>
        <w:t>Jennifer Storms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03415" cy="3488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03415" cy="3488690"/>
                    </a:xfrm>
                    <a:prstGeom prst="rect">
                      <a:avLst/>
                    </a:prstGeom>
                    <a:noFill/>
                  </pic:spPr>
                </pic:pic>
              </a:graphicData>
            </a:graphic>
          </wp:anchor>
        </w:drawing>
      </w:r>
    </w:p>
    <w:p>
      <w:pPr>
        <w:spacing w:after="0" w:line="1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88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2016</w:t>
            </w:r>
          </w:p>
        </w:tc>
        <w:tc>
          <w:tcPr>
            <w:tcW w:w="3060" w:type="dxa"/>
            <w:vAlign w:val="bottom"/>
          </w:tcPr>
          <w:p>
            <w:pPr>
              <w:ind w:left="5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w:t>
            </w:r>
            <w:r>
              <w:rPr>
                <w:rFonts w:ascii="Arial" w:cs="Arial" w:eastAsia="Arial" w:hAnsi="Arial"/>
                <w:sz w:val="16"/>
                <w:szCs w:val="16"/>
                <w:color w:val="auto"/>
              </w:rPr>
              <w:t>49</w:t>
            </w:r>
          </w:p>
        </w:tc>
      </w:tr>
      <w:tr>
        <w:trPr>
          <w:trHeight w:val="217"/>
        </w:trPr>
        <w:tc>
          <w:tcPr>
            <w:tcW w:w="4880" w:type="dxa"/>
            <w:vAlign w:val="bottom"/>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 Finance and Nominating and</w:t>
            </w:r>
          </w:p>
        </w:tc>
        <w:tc>
          <w:tcPr>
            <w:tcW w:w="3060" w:type="dxa"/>
            <w:vAlign w:val="bottom"/>
          </w:tcPr>
          <w:p>
            <w:pPr>
              <w:ind w:left="5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xml:space="preserve">: </w:t>
            </w:r>
            <w:r>
              <w:rPr>
                <w:rFonts w:ascii="Arial" w:cs="Arial" w:eastAsia="Arial" w:hAnsi="Arial"/>
                <w:sz w:val="16"/>
                <w:szCs w:val="16"/>
                <w:color w:val="auto"/>
              </w:rPr>
              <w:t>I</w:t>
            </w:r>
            <w:r>
              <w:rPr>
                <w:rFonts w:ascii="Arial" w:cs="Arial" w:eastAsia="Arial" w:hAnsi="Arial"/>
                <w:sz w:val="13"/>
                <w:szCs w:val="13"/>
                <w:color w:val="auto"/>
              </w:rPr>
              <w:t>NDEPENDENT</w:t>
            </w:r>
          </w:p>
        </w:tc>
      </w:tr>
      <w:tr>
        <w:trPr>
          <w:trHeight w:val="197"/>
        </w:trPr>
        <w:tc>
          <w:tcPr>
            <w:tcW w:w="4880" w:type="dxa"/>
            <w:vAlign w:val="bottom"/>
          </w:tcPr>
          <w:p>
            <w:pPr>
              <w:ind w:left="1140"/>
              <w:spacing w:after="0"/>
              <w:rPr>
                <w:sz w:val="20"/>
                <w:szCs w:val="20"/>
                <w:color w:val="auto"/>
              </w:rPr>
            </w:pPr>
            <w:r>
              <w:rPr>
                <w:rFonts w:ascii="Arial" w:cs="Arial" w:eastAsia="Arial" w:hAnsi="Arial"/>
                <w:sz w:val="16"/>
                <w:szCs w:val="16"/>
                <w:color w:val="auto"/>
              </w:rPr>
              <w:t>Corporate Governance</w:t>
            </w:r>
          </w:p>
        </w:tc>
        <w:tc>
          <w:tcPr>
            <w:tcW w:w="3060" w:type="dxa"/>
            <w:vAlign w:val="bottom"/>
          </w:tcPr>
          <w:p>
            <w:pPr>
              <w:spacing w:after="0"/>
              <w:rPr>
                <w:sz w:val="17"/>
                <w:szCs w:val="17"/>
                <w:color w:val="auto"/>
              </w:rPr>
            </w:pPr>
          </w:p>
        </w:tc>
      </w:tr>
    </w:tbl>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1" w:lineRule="exact"/>
        <w:rPr>
          <w:sz w:val="20"/>
          <w:szCs w:val="20"/>
          <w:color w:val="auto"/>
        </w:rPr>
      </w:pPr>
    </w:p>
    <w:p>
      <w:pPr>
        <w:ind w:left="420" w:right="480" w:hanging="143"/>
        <w:spacing w:after="0" w:line="241" w:lineRule="auto"/>
        <w:rPr>
          <w:sz w:val="20"/>
          <w:szCs w:val="20"/>
          <w:color w:val="auto"/>
        </w:rPr>
      </w:pPr>
      <w:r>
        <w:rPr>
          <w:rFonts w:ascii="Arial" w:cs="Arial" w:eastAsia="Arial" w:hAnsi="Arial"/>
          <w:sz w:val="14"/>
          <w:szCs w:val="14"/>
          <w:color w:val="auto"/>
        </w:rPr>
        <w:t xml:space="preserve">- Chief Marketing Officer, Entertainment and Sports for </w:t>
      </w:r>
      <w:r>
        <w:rPr>
          <w:rFonts w:ascii="Arial" w:cs="Arial" w:eastAsia="Arial" w:hAnsi="Arial"/>
          <w:sz w:val="14"/>
          <w:szCs w:val="14"/>
          <w:i w:val="1"/>
          <w:iCs w:val="1"/>
          <w:color w:val="auto"/>
        </w:rPr>
        <w:t>NBCUniversal</w:t>
      </w:r>
      <w:r>
        <w:rPr>
          <w:rFonts w:ascii="Arial" w:cs="Arial" w:eastAsia="Arial" w:hAnsi="Arial"/>
          <w:sz w:val="14"/>
          <w:szCs w:val="14"/>
          <w:color w:val="auto"/>
        </w:rPr>
        <w:t>, a leading global media and entertainment company developing, producing, and marketing of entertainment, news and information, since September 2020 (previously served as Chief Marketing Officer and Executive Vice President Content Strategy from March 2019-September 2020 and Chief Marketing Officer, NBC Sports Group a division of NBCUniversal from October 2015-March 2019).</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Marketing, Consumer Insights, Global, Entertainment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95" w:lineRule="exact"/>
        <w:rPr>
          <w:sz w:val="20"/>
          <w:szCs w:val="20"/>
          <w:color w:val="auto"/>
        </w:rPr>
      </w:pPr>
    </w:p>
    <w:p>
      <w:pPr>
        <w:ind w:left="400" w:hanging="127"/>
        <w:spacing w:after="0"/>
        <w:tabs>
          <w:tab w:leader="none" w:pos="400" w:val="left"/>
        </w:tabs>
        <w:numPr>
          <w:ilvl w:val="0"/>
          <w:numId w:val="56"/>
        </w:numPr>
        <w:rPr>
          <w:rFonts w:ascii="Arial" w:cs="Arial" w:eastAsia="Arial" w:hAnsi="Arial"/>
          <w:sz w:val="14"/>
          <w:szCs w:val="14"/>
          <w:color w:val="auto"/>
        </w:rPr>
      </w:pPr>
      <w:r>
        <w:rPr>
          <w:rFonts w:ascii="Arial" w:cs="Arial" w:eastAsia="Arial" w:hAnsi="Arial"/>
          <w:sz w:val="14"/>
          <w:szCs w:val="14"/>
          <w:i w:val="1"/>
          <w:iCs w:val="1"/>
          <w:color w:val="auto"/>
        </w:rPr>
        <w:t>PepsiCo, Inc.</w:t>
      </w:r>
      <w:r>
        <w:rPr>
          <w:rFonts w:ascii="Arial" w:cs="Arial" w:eastAsia="Arial" w:hAnsi="Arial"/>
          <w:sz w:val="14"/>
          <w:szCs w:val="14"/>
          <w:color w:val="auto"/>
        </w:rPr>
        <w:t>:</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56"/>
        </w:numPr>
        <w:rPr>
          <w:rFonts w:ascii="Arial" w:cs="Arial" w:eastAsia="Arial" w:hAnsi="Arial"/>
          <w:sz w:val="14"/>
          <w:szCs w:val="14"/>
          <w:color w:val="003B71"/>
        </w:rPr>
      </w:pPr>
      <w:r>
        <w:rPr>
          <w:rFonts w:ascii="Arial" w:cs="Arial" w:eastAsia="Arial" w:hAnsi="Arial"/>
          <w:sz w:val="14"/>
          <w:szCs w:val="14"/>
          <w:color w:val="auto"/>
        </w:rPr>
        <w:t>Senior Vice President of Global Sports Marketing (2011-2015)</w:t>
      </w:r>
    </w:p>
    <w:p>
      <w:pPr>
        <w:spacing w:after="0" w:line="149" w:lineRule="exact"/>
        <w:rPr>
          <w:sz w:val="20"/>
          <w:szCs w:val="20"/>
          <w:color w:val="auto"/>
        </w:rPr>
      </w:pPr>
    </w:p>
    <w:p>
      <w:pPr>
        <w:ind w:left="400" w:hanging="127"/>
        <w:spacing w:after="0"/>
        <w:tabs>
          <w:tab w:leader="none" w:pos="400" w:val="left"/>
        </w:tabs>
        <w:numPr>
          <w:ilvl w:val="0"/>
          <w:numId w:val="57"/>
        </w:numPr>
        <w:rPr>
          <w:rFonts w:ascii="Arial" w:cs="Arial" w:eastAsia="Arial" w:hAnsi="Arial"/>
          <w:sz w:val="14"/>
          <w:szCs w:val="14"/>
          <w:color w:val="auto"/>
        </w:rPr>
      </w:pPr>
      <w:r>
        <w:rPr>
          <w:rFonts w:ascii="Arial" w:cs="Arial" w:eastAsia="Arial" w:hAnsi="Arial"/>
          <w:sz w:val="14"/>
          <w:szCs w:val="14"/>
          <w:i w:val="1"/>
          <w:iCs w:val="1"/>
          <w:color w:val="auto"/>
        </w:rPr>
        <w:t xml:space="preserve">The Gatorade Company, Inc. </w:t>
      </w:r>
      <w:r>
        <w:rPr>
          <w:rFonts w:ascii="Arial" w:cs="Arial" w:eastAsia="Arial" w:hAnsi="Arial"/>
          <w:sz w:val="14"/>
          <w:szCs w:val="14"/>
          <w:color w:val="auto"/>
        </w:rPr>
        <w:t>(a subsidiary of PepsiCo, Inc.), a manufacturer of sports-themed beverages and food products:</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57"/>
        </w:numPr>
        <w:rPr>
          <w:rFonts w:ascii="Arial" w:cs="Arial" w:eastAsia="Arial" w:hAnsi="Arial"/>
          <w:sz w:val="14"/>
          <w:szCs w:val="14"/>
          <w:color w:val="003B71"/>
        </w:rPr>
      </w:pPr>
      <w:r>
        <w:rPr>
          <w:rFonts w:ascii="Arial" w:cs="Arial" w:eastAsia="Arial" w:hAnsi="Arial"/>
          <w:sz w:val="14"/>
          <w:szCs w:val="14"/>
          <w:color w:val="auto"/>
        </w:rPr>
        <w:t>Senior Vice President of Sports Marketing (2009-2011)</w:t>
      </w:r>
    </w:p>
    <w:p>
      <w:pPr>
        <w:spacing w:after="0" w:line="149" w:lineRule="exact"/>
        <w:rPr>
          <w:sz w:val="20"/>
          <w:szCs w:val="20"/>
          <w:color w:val="auto"/>
        </w:rPr>
      </w:pPr>
    </w:p>
    <w:p>
      <w:pPr>
        <w:ind w:left="400" w:hanging="127"/>
        <w:spacing w:after="0"/>
        <w:tabs>
          <w:tab w:leader="none" w:pos="400" w:val="left"/>
        </w:tabs>
        <w:numPr>
          <w:ilvl w:val="0"/>
          <w:numId w:val="58"/>
        </w:numPr>
        <w:rPr>
          <w:rFonts w:ascii="Arial" w:cs="Arial" w:eastAsia="Arial" w:hAnsi="Arial"/>
          <w:sz w:val="14"/>
          <w:szCs w:val="14"/>
          <w:color w:val="auto"/>
        </w:rPr>
      </w:pPr>
      <w:r>
        <w:rPr>
          <w:rFonts w:ascii="Arial" w:cs="Arial" w:eastAsia="Arial" w:hAnsi="Arial"/>
          <w:sz w:val="14"/>
          <w:szCs w:val="14"/>
          <w:i w:val="1"/>
          <w:iCs w:val="1"/>
          <w:color w:val="auto"/>
        </w:rPr>
        <w:t>Turner Broadcasting System/Turner Sports</w:t>
      </w:r>
      <w:r>
        <w:rPr>
          <w:rFonts w:ascii="Arial" w:cs="Arial" w:eastAsia="Arial" w:hAnsi="Arial"/>
          <w:sz w:val="14"/>
          <w:szCs w:val="14"/>
          <w:color w:val="auto"/>
        </w:rPr>
        <w:t>, a division of the American media conglomerate providing sports programing on television and digital media:</w:t>
      </w:r>
    </w:p>
    <w:p>
      <w:pPr>
        <w:spacing w:after="0" w:line="15" w:lineRule="exact"/>
        <w:rPr>
          <w:rFonts w:ascii="Arial" w:cs="Arial" w:eastAsia="Arial" w:hAnsi="Arial"/>
          <w:sz w:val="14"/>
          <w:szCs w:val="14"/>
          <w:color w:val="auto"/>
        </w:rPr>
      </w:pPr>
    </w:p>
    <w:p>
      <w:pPr>
        <w:ind w:left="600" w:hanging="183"/>
        <w:spacing w:after="0"/>
        <w:tabs>
          <w:tab w:leader="none" w:pos="600" w:val="left"/>
        </w:tabs>
        <w:numPr>
          <w:ilvl w:val="1"/>
          <w:numId w:val="58"/>
        </w:numPr>
        <w:rPr>
          <w:rFonts w:ascii="Arial" w:cs="Arial" w:eastAsia="Arial" w:hAnsi="Arial"/>
          <w:sz w:val="14"/>
          <w:szCs w:val="14"/>
          <w:color w:val="003B71"/>
        </w:rPr>
      </w:pPr>
      <w:r>
        <w:rPr>
          <w:rFonts w:ascii="Arial" w:cs="Arial" w:eastAsia="Arial" w:hAnsi="Arial"/>
          <w:sz w:val="14"/>
          <w:szCs w:val="14"/>
          <w:color w:val="auto"/>
        </w:rPr>
        <w:t>Multiple marketing and leadership positions, including, Senior Vice President, Sports Programming and Marketing (1995-2009)</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Leadership, Strategy, Marketing, Consumer Insights</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1" w:lineRule="exact"/>
        <w:rPr>
          <w:sz w:val="20"/>
          <w:szCs w:val="20"/>
          <w:color w:val="auto"/>
        </w:rPr>
      </w:pPr>
    </w:p>
    <w:p>
      <w:pPr>
        <w:ind w:left="280"/>
        <w:spacing w:after="0"/>
        <w:tabs>
          <w:tab w:leader="none" w:pos="1420" w:val="left"/>
        </w:tabs>
        <w:rPr>
          <w:sz w:val="20"/>
          <w:szCs w:val="20"/>
          <w:color w:val="auto"/>
        </w:rPr>
      </w:pPr>
      <w:r>
        <w:rPr>
          <w:rFonts w:ascii="Arial" w:cs="Arial" w:eastAsia="Arial" w:hAnsi="Arial"/>
          <w:sz w:val="14"/>
          <w:szCs w:val="14"/>
          <w:color w:val="auto"/>
        </w:rPr>
        <w:t>- Current:</w:t>
      </w:r>
      <w:r>
        <w:rPr>
          <w:sz w:val="20"/>
          <w:szCs w:val="20"/>
          <w:color w:val="auto"/>
        </w:rPr>
        <w:tab/>
      </w:r>
      <w:r>
        <w:rPr>
          <w:rFonts w:ascii="Arial" w:cs="Arial" w:eastAsia="Arial" w:hAnsi="Arial"/>
          <w:sz w:val="14"/>
          <w:szCs w:val="14"/>
          <w:color w:val="auto"/>
        </w:rPr>
        <w:t>Dave &amp; Buster’s Entertainment, Inc.</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O</w:t>
      </w:r>
      <w:r>
        <w:rPr>
          <w:rFonts w:ascii="Arial" w:cs="Arial" w:eastAsia="Arial" w:hAnsi="Arial"/>
          <w:sz w:val="13"/>
          <w:szCs w:val="13"/>
          <w:u w:val="single" w:color="auto"/>
          <w:color w:val="auto"/>
        </w:rPr>
        <w:t>THER</w:t>
      </w:r>
      <w:r>
        <w:rPr>
          <w:rFonts w:ascii="Arial" w:cs="Arial" w:eastAsia="Arial" w:hAnsi="Arial"/>
          <w:sz w:val="16"/>
          <w:szCs w:val="16"/>
          <w:u w:val="single" w:color="auto"/>
          <w:color w:val="auto"/>
        </w:rPr>
        <w:t xml:space="preserve"> P</w:t>
      </w:r>
      <w:r>
        <w:rPr>
          <w:rFonts w:ascii="Arial" w:cs="Arial" w:eastAsia="Arial" w:hAnsi="Arial"/>
          <w:sz w:val="13"/>
          <w:szCs w:val="13"/>
          <w:u w:val="single" w:color="auto"/>
          <w:color w:val="auto"/>
        </w:rPr>
        <w:t>OSITIONS</w:t>
      </w:r>
      <w:r>
        <w:rPr>
          <w:rFonts w:ascii="Arial" w:cs="Arial" w:eastAsia="Arial" w:hAnsi="Arial"/>
          <w:sz w:val="16"/>
          <w:szCs w:val="16"/>
          <w:u w:val="single" w:color="auto"/>
          <w:color w:val="auto"/>
        </w:rPr>
        <w:t>/M</w:t>
      </w:r>
      <w:r>
        <w:rPr>
          <w:rFonts w:ascii="Arial" w:cs="Arial" w:eastAsia="Arial" w:hAnsi="Arial"/>
          <w:sz w:val="13"/>
          <w:szCs w:val="13"/>
          <w:u w:val="single" w:color="auto"/>
          <w:color w:val="auto"/>
        </w:rPr>
        <w:t>EMBERSHIPS</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Member, KPMG Women’s Leadership Summit Advisory Council</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3"/>
          <w:szCs w:val="13"/>
          <w:u w:val="single" w:color="auto"/>
          <w:color w:val="auto"/>
        </w:rPr>
        <w:t>DUCATION</w:t>
      </w:r>
      <w:r>
        <w:rPr>
          <w:rFonts w:ascii="Arial" w:cs="Arial" w:eastAsia="Arial" w:hAnsi="Arial"/>
          <w:sz w:val="16"/>
          <w:szCs w:val="16"/>
          <w:u w:val="single" w:color="auto"/>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 B.A. Northwestern University</w:t>
      </w:r>
    </w:p>
    <w:p>
      <w:pPr>
        <w:spacing w:after="0" w:line="25"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A</w:t>
      </w:r>
      <w:r>
        <w:rPr>
          <w:rFonts w:ascii="Arial" w:cs="Arial" w:eastAsia="Arial" w:hAnsi="Arial"/>
          <w:sz w:val="13"/>
          <w:szCs w:val="13"/>
          <w:u w:val="single" w:color="auto"/>
          <w:color w:val="auto"/>
        </w:rPr>
        <w:t>CCOLADES</w:t>
      </w:r>
      <w:r>
        <w:rPr>
          <w:rFonts w:ascii="Arial" w:cs="Arial" w:eastAsia="Arial" w:hAnsi="Arial"/>
          <w:sz w:val="16"/>
          <w:szCs w:val="16"/>
          <w:u w:val="single" w:color="auto"/>
          <w:color w:val="auto"/>
        </w:rPr>
        <w:t>:</w:t>
      </w:r>
    </w:p>
    <w:p>
      <w:pPr>
        <w:spacing w:after="0" w:line="8" w:lineRule="exact"/>
        <w:rPr>
          <w:sz w:val="20"/>
          <w:szCs w:val="20"/>
          <w:color w:val="auto"/>
        </w:rPr>
      </w:pPr>
    </w:p>
    <w:p>
      <w:pPr>
        <w:ind w:left="400" w:hanging="127"/>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Named Cynopsis Sports Media’s Marketing Executive (2018)</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Named to iSportsConnect’s Influential Women in the business of Sport list (2018)</w:t>
      </w:r>
    </w:p>
    <w:p>
      <w:pPr>
        <w:spacing w:after="0" w:line="1" w:lineRule="exact"/>
        <w:rPr>
          <w:rFonts w:ascii="Arial" w:cs="Arial" w:eastAsia="Arial" w:hAnsi="Arial"/>
          <w:sz w:val="14"/>
          <w:szCs w:val="14"/>
          <w:color w:val="auto"/>
        </w:rPr>
      </w:pPr>
    </w:p>
    <w:p>
      <w:pPr>
        <w:ind w:left="400" w:hanging="127"/>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Forty Under 40 Hall of Fame, SportsBusiness Daily/Global/Journal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2101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210185"/>
                    </a:xfrm>
                    <a:prstGeom prst="rect">
                      <a:avLst/>
                    </a:prstGeom>
                    <a:noFill/>
                  </pic:spPr>
                </pic:pic>
              </a:graphicData>
            </a:graphic>
          </wp:anchor>
        </w:drawing>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PROPOSAL NO. 2</w:t>
      </w:r>
    </w:p>
    <w:p>
      <w:pPr>
        <w:jc w:val="center"/>
        <w:ind w:right="-99"/>
        <w:spacing w:after="0"/>
        <w:rPr>
          <w:sz w:val="20"/>
          <w:szCs w:val="20"/>
          <w:color w:val="auto"/>
        </w:rPr>
      </w:pPr>
      <w:r>
        <w:rPr>
          <w:rFonts w:ascii="Arial" w:cs="Arial" w:eastAsia="Arial" w:hAnsi="Arial"/>
          <w:sz w:val="40"/>
          <w:szCs w:val="40"/>
          <w:color w:val="003B71"/>
        </w:rPr>
        <w:t>RATIFICATION OF APPOINTMENT OF INDEPENDENT</w:t>
      </w:r>
    </w:p>
    <w:p>
      <w:pPr>
        <w:jc w:val="center"/>
        <w:ind w:right="-99"/>
        <w:spacing w:after="0"/>
        <w:rPr>
          <w:sz w:val="20"/>
          <w:szCs w:val="20"/>
          <w:color w:val="auto"/>
        </w:rPr>
      </w:pPr>
      <w:r>
        <w:rPr>
          <w:rFonts w:ascii="Arial" w:cs="Arial" w:eastAsia="Arial" w:hAnsi="Arial"/>
          <w:sz w:val="40"/>
          <w:szCs w:val="40"/>
          <w:color w:val="003B71"/>
        </w:rPr>
        <w:t>REGISTERED PUBLIC ACCOUNTING FIRM</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Audit Committee of the Board of Directors has selected KPMG LLP (“KPMG”) to be the Company’s independent registered public accounting firm for the fiscal year ending January 30, 2022 and recommends that the shareholders vote for ratification for this appointment. KPMG has been engaged as our independent registered public accounting firm since 2010. As a matter of good corporate governance, the Audit Committee has requested the Board of Directors to submit the selection of KPMG as the Company’s independent registered public accounting firm for fiscal 2021 to shareholders for ratification. In the event of a negative vote on such ratification, the Audit Committee will reconsider its selection. We expect representatives of KPMG to be present at the Annual Meeting. They will have the opportunity to make a statement at the Annual Meeting if they desire to do so and will be available to respond to appropriate questions.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Audit and 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table sets forth the fees (dollars shown are in thousands) for professional audit services and fees for other services provided to the Company by KPMG, for fiscal 2020 which ended on January 31, 2021 and fiscal 2019 which ended on February 2,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80" w:type="dxa"/>
            <w:vAlign w:val="bottom"/>
            <w:tcBorders>
              <w:bottom w:val="single" w:sz="8" w:color="003B71"/>
            </w:tcBorders>
          </w:tcPr>
          <w:p>
            <w:pPr>
              <w:spacing w:after="0"/>
              <w:rPr>
                <w:sz w:val="15"/>
                <w:szCs w:val="15"/>
                <w:color w:val="auto"/>
              </w:rPr>
            </w:pPr>
          </w:p>
        </w:tc>
        <w:tc>
          <w:tcPr>
            <w:tcW w:w="4500" w:type="dxa"/>
            <w:vAlign w:val="bottom"/>
            <w:tcBorders>
              <w:bottom w:val="single" w:sz="8" w:color="003B71"/>
            </w:tcBorders>
            <w:gridSpan w:val="2"/>
          </w:tcPr>
          <w:p>
            <w:pPr>
              <w:jc w:val="right"/>
              <w:ind w:right="559"/>
              <w:spacing w:after="0"/>
              <w:rPr>
                <w:sz w:val="20"/>
                <w:szCs w:val="20"/>
                <w:color w:val="auto"/>
              </w:rPr>
            </w:pPr>
            <w:r>
              <w:rPr>
                <w:rFonts w:ascii="Arial" w:cs="Arial" w:eastAsia="Arial" w:hAnsi="Arial"/>
                <w:sz w:val="14"/>
                <w:szCs w:val="14"/>
                <w:b w:val="1"/>
                <w:bCs w:val="1"/>
                <w:color w:val="003B71"/>
              </w:rPr>
              <w:t>Fiscal 2020</w:t>
            </w:r>
          </w:p>
        </w:tc>
        <w:tc>
          <w:tcPr>
            <w:tcW w:w="1740" w:type="dxa"/>
            <w:vAlign w:val="bottom"/>
            <w:tcBorders>
              <w:bottom w:val="single" w:sz="8" w:color="003B71"/>
            </w:tcBorders>
          </w:tcPr>
          <w:p>
            <w:pPr>
              <w:jc w:val="right"/>
              <w:ind w:right="261"/>
              <w:spacing w:after="0"/>
              <w:rPr>
                <w:sz w:val="20"/>
                <w:szCs w:val="20"/>
                <w:color w:val="auto"/>
              </w:rPr>
            </w:pPr>
            <w:r>
              <w:rPr>
                <w:rFonts w:ascii="Arial" w:cs="Arial" w:eastAsia="Arial" w:hAnsi="Arial"/>
                <w:sz w:val="14"/>
                <w:szCs w:val="14"/>
                <w:b w:val="1"/>
                <w:bCs w:val="1"/>
                <w:color w:val="003B71"/>
              </w:rPr>
              <w:t>Fiscal 2019</w:t>
            </w:r>
          </w:p>
        </w:tc>
      </w:tr>
      <w:tr>
        <w:trPr>
          <w:trHeight w:val="183"/>
        </w:trPr>
        <w:tc>
          <w:tcPr>
            <w:tcW w:w="478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Audit Fee(1)</w:t>
            </w:r>
          </w:p>
        </w:tc>
        <w:tc>
          <w:tcPr>
            <w:tcW w:w="332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E5E5E5"/>
          </w:tcPr>
          <w:p>
            <w:pPr>
              <w:jc w:val="right"/>
              <w:ind w:right="679"/>
              <w:spacing w:after="0" w:line="183" w:lineRule="exact"/>
              <w:rPr>
                <w:sz w:val="20"/>
                <w:szCs w:val="20"/>
                <w:color w:val="auto"/>
              </w:rPr>
            </w:pPr>
            <w:r>
              <w:rPr>
                <w:rFonts w:ascii="Arial" w:cs="Arial" w:eastAsia="Arial" w:hAnsi="Arial"/>
                <w:sz w:val="16"/>
                <w:szCs w:val="16"/>
                <w:color w:val="auto"/>
                <w:w w:val="99"/>
              </w:rPr>
              <w:t>1,216</w:t>
            </w:r>
          </w:p>
        </w:tc>
        <w:tc>
          <w:tcPr>
            <w:tcW w:w="1740" w:type="dxa"/>
            <w:vAlign w:val="bottom"/>
            <w:shd w:val="clear" w:color="auto" w:fill="E5E5E5"/>
          </w:tcPr>
          <w:p>
            <w:pPr>
              <w:jc w:val="right"/>
              <w:ind w:right="381"/>
              <w:spacing w:after="0" w:line="183" w:lineRule="exact"/>
              <w:rPr>
                <w:sz w:val="20"/>
                <w:szCs w:val="20"/>
                <w:color w:val="auto"/>
              </w:rPr>
            </w:pPr>
            <w:r>
              <w:rPr>
                <w:rFonts w:ascii="Arial" w:cs="Arial" w:eastAsia="Arial" w:hAnsi="Arial"/>
                <w:sz w:val="16"/>
                <w:szCs w:val="16"/>
                <w:color w:val="auto"/>
              </w:rPr>
              <w:t>$1,114</w:t>
            </w:r>
          </w:p>
        </w:tc>
      </w:tr>
      <w:tr>
        <w:trPr>
          <w:trHeight w:val="189"/>
        </w:trPr>
        <w:tc>
          <w:tcPr>
            <w:tcW w:w="4780" w:type="dxa"/>
            <w:vAlign w:val="bottom"/>
          </w:tcPr>
          <w:p>
            <w:pPr>
              <w:ind w:left="80"/>
              <w:spacing w:after="0"/>
              <w:rPr>
                <w:sz w:val="20"/>
                <w:szCs w:val="20"/>
                <w:color w:val="auto"/>
              </w:rPr>
            </w:pPr>
            <w:r>
              <w:rPr>
                <w:rFonts w:ascii="Arial" w:cs="Arial" w:eastAsia="Arial" w:hAnsi="Arial"/>
                <w:sz w:val="16"/>
                <w:szCs w:val="16"/>
                <w:color w:val="auto"/>
              </w:rPr>
              <w:t>Audit-Related Fees(2)</w:t>
            </w:r>
          </w:p>
        </w:tc>
        <w:tc>
          <w:tcPr>
            <w:tcW w:w="3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79"/>
              <w:spacing w:after="0"/>
              <w:rPr>
                <w:sz w:val="20"/>
                <w:szCs w:val="20"/>
                <w:color w:val="auto"/>
              </w:rPr>
            </w:pPr>
            <w:r>
              <w:rPr>
                <w:rFonts w:ascii="Arial" w:cs="Arial" w:eastAsia="Arial" w:hAnsi="Arial"/>
                <w:sz w:val="16"/>
                <w:szCs w:val="16"/>
                <w:color w:val="auto"/>
              </w:rPr>
              <w:t>260</w:t>
            </w:r>
          </w:p>
        </w:tc>
        <w:tc>
          <w:tcPr>
            <w:tcW w:w="1740" w:type="dxa"/>
            <w:vAlign w:val="bottom"/>
          </w:tcPr>
          <w:p>
            <w:pPr>
              <w:jc w:val="right"/>
              <w:ind w:right="381"/>
              <w:spacing w:after="0"/>
              <w:rPr>
                <w:sz w:val="20"/>
                <w:szCs w:val="20"/>
                <w:color w:val="auto"/>
              </w:rPr>
            </w:pPr>
            <w:r>
              <w:rPr>
                <w:rFonts w:ascii="Arial" w:cs="Arial" w:eastAsia="Arial" w:hAnsi="Arial"/>
                <w:sz w:val="16"/>
                <w:szCs w:val="16"/>
                <w:color w:val="auto"/>
              </w:rPr>
              <w:t>—</w:t>
            </w:r>
          </w:p>
        </w:tc>
      </w:tr>
      <w:tr>
        <w:trPr>
          <w:trHeight w:val="189"/>
        </w:trPr>
        <w:tc>
          <w:tcPr>
            <w:tcW w:w="4780" w:type="dxa"/>
            <w:vAlign w:val="bottom"/>
            <w:shd w:val="clear" w:color="auto" w:fill="E5E5E5"/>
          </w:tcPr>
          <w:p>
            <w:pPr>
              <w:ind w:left="80"/>
              <w:spacing w:after="0"/>
              <w:rPr>
                <w:sz w:val="20"/>
                <w:szCs w:val="20"/>
                <w:color w:val="auto"/>
              </w:rPr>
            </w:pPr>
            <w:r>
              <w:rPr>
                <w:rFonts w:ascii="Arial" w:cs="Arial" w:eastAsia="Arial" w:hAnsi="Arial"/>
                <w:sz w:val="16"/>
                <w:szCs w:val="16"/>
                <w:color w:val="auto"/>
              </w:rPr>
              <w:t>Tax Fees</w:t>
            </w:r>
          </w:p>
        </w:tc>
        <w:tc>
          <w:tcPr>
            <w:tcW w:w="3320" w:type="dxa"/>
            <w:vAlign w:val="bottom"/>
            <w:shd w:val="clear" w:color="auto" w:fill="E5E5E5"/>
          </w:tcPr>
          <w:p>
            <w:pPr>
              <w:spacing w:after="0"/>
              <w:rPr>
                <w:sz w:val="16"/>
                <w:szCs w:val="16"/>
                <w:color w:val="auto"/>
              </w:rPr>
            </w:pPr>
          </w:p>
        </w:tc>
        <w:tc>
          <w:tcPr>
            <w:tcW w:w="1180" w:type="dxa"/>
            <w:vAlign w:val="bottom"/>
            <w:shd w:val="clear" w:color="auto" w:fill="E5E5E5"/>
          </w:tcPr>
          <w:p>
            <w:pPr>
              <w:jc w:val="right"/>
              <w:ind w:right="679"/>
              <w:spacing w:after="0"/>
              <w:rPr>
                <w:sz w:val="20"/>
                <w:szCs w:val="20"/>
                <w:color w:val="auto"/>
              </w:rPr>
            </w:pPr>
            <w:r>
              <w:rPr>
                <w:rFonts w:ascii="Arial" w:cs="Arial" w:eastAsia="Arial" w:hAnsi="Arial"/>
                <w:sz w:val="16"/>
                <w:szCs w:val="16"/>
                <w:color w:val="auto"/>
              </w:rPr>
              <w:t>—</w:t>
            </w:r>
          </w:p>
        </w:tc>
        <w:tc>
          <w:tcPr>
            <w:tcW w:w="174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r>
      <w:tr>
        <w:trPr>
          <w:trHeight w:val="189"/>
        </w:trPr>
        <w:tc>
          <w:tcPr>
            <w:tcW w:w="478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Total</w:t>
            </w:r>
          </w:p>
        </w:tc>
        <w:tc>
          <w:tcPr>
            <w:tcW w:w="3320" w:type="dxa"/>
            <w:vAlign w:val="bottom"/>
            <w:tcBorders>
              <w:bottom w:val="single" w:sz="8" w:color="003B71"/>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3B71"/>
            </w:tcBorders>
          </w:tcPr>
          <w:p>
            <w:pPr>
              <w:jc w:val="right"/>
              <w:ind w:right="679"/>
              <w:spacing w:after="0"/>
              <w:rPr>
                <w:sz w:val="20"/>
                <w:szCs w:val="20"/>
                <w:color w:val="auto"/>
              </w:rPr>
            </w:pPr>
            <w:r>
              <w:rPr>
                <w:rFonts w:ascii="Arial" w:cs="Arial" w:eastAsia="Arial" w:hAnsi="Arial"/>
                <w:sz w:val="16"/>
                <w:szCs w:val="16"/>
                <w:color w:val="auto"/>
                <w:w w:val="99"/>
              </w:rPr>
              <w:t>1,476</w:t>
            </w:r>
          </w:p>
        </w:tc>
        <w:tc>
          <w:tcPr>
            <w:tcW w:w="1740" w:type="dxa"/>
            <w:vAlign w:val="bottom"/>
            <w:tcBorders>
              <w:bottom w:val="single" w:sz="8" w:color="003B71"/>
            </w:tcBorders>
          </w:tcPr>
          <w:p>
            <w:pPr>
              <w:jc w:val="right"/>
              <w:ind w:right="381"/>
              <w:spacing w:after="0"/>
              <w:rPr>
                <w:sz w:val="20"/>
                <w:szCs w:val="20"/>
                <w:color w:val="auto"/>
              </w:rPr>
            </w:pPr>
            <w:r>
              <w:rPr>
                <w:rFonts w:ascii="Arial" w:cs="Arial" w:eastAsia="Arial" w:hAnsi="Arial"/>
                <w:sz w:val="16"/>
                <w:szCs w:val="16"/>
                <w:color w:val="auto"/>
              </w:rPr>
              <w:t>$1,114</w:t>
            </w:r>
          </w:p>
        </w:tc>
      </w:tr>
    </w:tbl>
    <w:p>
      <w:pPr>
        <w:spacing w:after="0" w:line="83" w:lineRule="exact"/>
        <w:rPr>
          <w:sz w:val="20"/>
          <w:szCs w:val="20"/>
          <w:color w:val="auto"/>
        </w:rPr>
      </w:pPr>
    </w:p>
    <w:p>
      <w:pPr>
        <w:jc w:val="both"/>
        <w:ind w:left="540" w:hanging="424"/>
        <w:spacing w:after="0" w:line="253"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fees for services for the audit of the Company’s annual financial statements, the reviews of the interim financial statements, audit of the Company’s internal control over financial reporting, implementation of accounting pronouncements, assistance with Securities and Exchange Commission filings, and statutory audits of Company subsidiaries.</w:t>
      </w:r>
    </w:p>
    <w:p>
      <w:pPr>
        <w:spacing w:after="0" w:line="66" w:lineRule="exact"/>
        <w:rPr>
          <w:rFonts w:ascii="Arial" w:cs="Arial" w:eastAsia="Arial" w:hAnsi="Arial"/>
          <w:sz w:val="16"/>
          <w:szCs w:val="16"/>
          <w:color w:val="auto"/>
        </w:rPr>
      </w:pPr>
    </w:p>
    <w:p>
      <w:pPr>
        <w:ind w:left="540" w:hanging="424"/>
        <w:spacing w:after="0"/>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fees charged for providing consent letters and comfort letters related to the Company’s equity issuance and debt amendments.</w:t>
      </w:r>
    </w:p>
    <w:p>
      <w:pPr>
        <w:spacing w:after="0" w:line="21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Audit Committee has established a policy whereby the outside auditors are required to annually provide service- specific fee estimates and seek pre-approval of all audit, audit-related, tax and other services prior to the performance of any such services. Individual engagements anticipated to exceed the pre-approved thresholds must be separately approved by the Audit Committee. For both fiscal 2020 and 2019, the Audit Committee pre-approved 100% of all services provided by KPMG and concluded that the provision of such services by KPMG was compatible with such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144145</wp:posOffset>
            </wp:positionV>
            <wp:extent cx="6998970" cy="209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209550"/>
                    </a:xfrm>
                    <a:prstGeom prst="rect">
                      <a:avLst/>
                    </a:prstGeom>
                    <a:noFill/>
                  </pic:spPr>
                </pic:pic>
              </a:graphicData>
            </a:graphic>
          </wp:anchor>
        </w:drawing>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KPMG LLP.</w:t>
      </w:r>
    </w:p>
    <w:p>
      <w:pPr>
        <w:spacing w:after="0" w:line="2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PROPOSAL NO. 3</w:t>
      </w:r>
    </w:p>
    <w:p>
      <w:pPr>
        <w:jc w:val="center"/>
        <w:ind w:right="-119"/>
        <w:spacing w:after="0"/>
        <w:rPr>
          <w:sz w:val="20"/>
          <w:szCs w:val="20"/>
          <w:color w:val="auto"/>
        </w:rPr>
      </w:pPr>
      <w:r>
        <w:rPr>
          <w:rFonts w:ascii="Arial" w:cs="Arial" w:eastAsia="Arial" w:hAnsi="Arial"/>
          <w:sz w:val="40"/>
          <w:szCs w:val="40"/>
          <w:color w:val="003B71"/>
        </w:rPr>
        <w:t>ADVISORY VOTE ON EXECUTIVE COMPENSATION</w:t>
      </w:r>
    </w:p>
    <w:p>
      <w:pPr>
        <w:spacing w:after="0" w:line="20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As required by Securities and Exchange Commission (“SEC”) rules, we are asking you to provide an advisory, non- binding vote to approve the compensation awarded to our named executive officers, as we have described in the “Executive Compensation” section of this Proxy Statement.</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described in detail in the Compensation Discussion and Analysis section, the Compensation Committee oversees the compensation program and compensation awarded, adopting changes to the program and awarding compensation as appropriate to reflect the Company’s circumstances and to promote the main objectives of the program. These objectives include: to align pay to performance; to provide market-competitive pay; and to create sustained shareholder value.</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are asking you to indicate your support for our named executive officer compensation. We believe that the information we have provided in this Proxy Statement demonstrates that our compensation program is designed appropriately and works to ensure that the interests of our executive officers, including our named executive officers, are aligned with your interest in long-term value creation.</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we ask you to approve the following resolution at the Annual Meeting:</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RESOLVED, that the shareholders of Dave &amp; Buster’s Entertainment, Inc. approve the compensation awarded to the Company’s named executive officers, as disclosed in this Proxy Statement pursuant to SEC rules, including the Compensation Discussion and Analysis, compensation tables, and narrative discussion.</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resolution is non-binding on the Board of Directors. Although non-binding, the Board of Directors and Compensation Committee will review the voting results and consider your concerns in their continued evaluation of the Company’s compensation program. Because this vote is advisory in nature, it will not affect any compensation already paid or awarded to any named executive officer, it will not be binding or overrule any decision by the Board of Directors, and it will not restrict or limit the ability of the shareholders to make proposals for inclusion in proxy materials related to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144145</wp:posOffset>
            </wp:positionV>
            <wp:extent cx="6998970" cy="209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209550"/>
                    </a:xfrm>
                    <a:prstGeom prst="rect">
                      <a:avLst/>
                    </a:prstGeom>
                    <a:noFill/>
                  </pic:spPr>
                </pic:pic>
              </a:graphicData>
            </a:graphic>
          </wp:anchor>
        </w:drawing>
      </w: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recommends an advisory vote FOR the approval of our executive compensation.</w:t>
      </w:r>
    </w:p>
    <w:p>
      <w:pPr>
        <w:spacing w:after="0" w:line="225"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left="1240"/>
        <w:spacing w:after="0"/>
        <w:rPr>
          <w:sz w:val="20"/>
          <w:szCs w:val="20"/>
          <w:color w:val="auto"/>
        </w:rPr>
      </w:pPr>
      <w:r>
        <w:rPr>
          <w:rFonts w:ascii="Arial" w:cs="Arial" w:eastAsia="Arial" w:hAnsi="Arial"/>
          <w:sz w:val="40"/>
          <w:szCs w:val="40"/>
          <w:color w:val="003B71"/>
        </w:rPr>
        <w:t>DIRECTORS AND CORPORATE GOVERNANCE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Composition and 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Board of Directors currently consists of eleven (11) members. Two current members are not standing for reelection; following the Annual Meeting of Shareholders, the size of the Board immediately will be reduced to nine (9) members. Our Board of Directors has affirmatively determined that all of our directors standing for election other than our Chief Executive Officer are independent directors under our standards as well as the applicable rules of NASDAQ. In addition, our Board of Directors affirmatively determined that each member of the Audit Committee, Messrs. Chambers, Dodds, Halkyard, Shah and Sheehan, satisfies the independence requirements for members of an audit committee as set forth in Rule 10A-3(b)(1) of the Exchange Act, and that each member of the Compensation Committee, Mr. Chambers, Mr. Griffith, Mr. Hockin, Ms. Mueller and Ms. Storms, satisfies the independence requirements for members of a compensation committee under the applicable rules of NASDAQ. Messrs. Halkyard and King have determined they will complete their current terms as directors and not stand for re-election; they have no disagreement with the Company.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Directors met twenty times in fiscal 2020, including regular and special meetings. During this period, no individual director attended fewer than 75% of the aggregate of (1) the total number of meetings of the Board of Directors and (2) the total number of meetings held by all committees on which he or she served.</w:t>
      </w:r>
    </w:p>
    <w:p>
      <w:pPr>
        <w:spacing w:after="0" w:line="20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Company invites members of the Board of Directors to attend its annual shareholder meeting and requires that they make every effort to attend the Annual Meeting absent an unavoidable and irreconcilable conflict. At the June 23, 2020 Annual Meeting of Shareholders, all of the directors attended other than Mr. Crawford, who completed his term on June 22, 2020; Mr. Chambers, who was appointed to the Board on December 22, 2020; and Mr. Shah, who was appointed to the Board on April 16, 2021 .</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Directors has an Audit Committee, a Compensation Committee, a Nominating and Corporate Governance Committee and a Finance Committee. The charters for each of these committees are posted on our website at http://ir.daveandbusters.com/corporate-governance.</w:t>
      </w:r>
    </w:p>
    <w:p>
      <w:pPr>
        <w:spacing w:after="0" w:line="203"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The Audit Committee, currently comprised of Messrs. Chambers, Dodds, Halkyard, Shah and Sheehan, and chaired by Mr. Sheehan, recommends to the Board of Directors the appointment of the Company’s independent auditors, reviews and approves the scope of the annual audits of the Company’s financial statements, provides oversight of our internal control over financial reporting, reviews and approves any non-audit services performed by the independent auditors, reviews the findings and recommendations of the independent auditors and periodically reviews major accounting policies. The Audit Committee held nine meetings during fiscal 2020. The Board of Directors has determined that each of the members of the Audit Committee is qualified as a “financial expert” under the provisions of the Sarbanes-Oxley Act of 2002 and the rules and regulations of the SEC. Mr. Chambers joined the Committee on December 22, 2020, and Mr. Shah joined the Committee on April 16, 2021. Mr. Halkyard will complete his current term on the Committee and not stand for re-election.</w:t>
      </w:r>
    </w:p>
    <w:p>
      <w:pPr>
        <w:spacing w:after="0" w:line="20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Compensation Committee comprised of Mr. Chambers, Mr. Griffith, Mr. Hockin, Ms. Mueller and Ms. Storms, and chaired by Mr. Griffith, reviews the Company’s compensation philosophy and strategy, administers incentive compensation and stock option plans, reviews the Chief Executive Officer’s performance and compensation, reviews recommendations on compensation of other executive officers and board members, and reviews other special compensation matters, such as executive employment agreements. The Compensation Committee held three meetings during fiscal 2020. The Compensation Committee has engaged FW Cook as its independent compensation consultant. Mr. Chambers joined the Committee on December 22, 2020.</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Nominating and Corporate Governance Committee, comprised of Mr. Halkyard, Ms. Mueller, Mr. Sheehan and Ms. Storms, and chaired by Ms. Mueller, identifies and recommends the individuals qualified to be nominated for election to the Board of Directors, recommends the member of the Board of Directors qualified to be nominated for</w:t>
      </w:r>
    </w:p>
    <w:p>
      <w:pPr>
        <w:spacing w:after="0" w:line="12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election as its Chairperson, recommends the members and chair for each committee of the Board of Directors, reviews and recommends to the Board matters regarding CEO succession plans, provides oversight concerning the Company’s corporate responsibility and sustainability efforts, periodically reviews and assesses our Corporate Governance Guidelines and Principles and Code of Business Conduct and Ethics and oversees the annual self-evaluation of the performance of the Board of Directors. The Nominating and Corporate Governance Committee held eight meetings during fiscal 2020. Mr. Halkyard will complete his current term on the Committee and not stand for re-election.</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Finance Committee, comprised of Messrs. Chambers, Dodds, Halkyard, Hockin, and Sheehan and Ms. Storms, and chaired by Mr. Halkyard, assists the Board of Directors in fulfilling its financial management oversight responsibilities by assessing, overseeing and evaluating from time to time, policies and transactions affecting our financial objectives, reviewing our indebtedness, strategic planning, capital structure objectives, investment programs and policies, periodically auditing major capital expenditures, including real estate acquisitions and new store development, and working with our management and the Compensation Committee on annual operating goals. The Finance Committee met nine times during fiscal 2020. Mr. Halkyard will complete his current term on the Committee and not stand for re-election.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entire Board of Directors is engaged in risk management oversight. At the present time, the Board of Directors has not established a separate committee to facilitate its risk oversight responsibilities. The Board of Directors will continue to monitor and assess whether such a committee would be appropriate. The Audit Committee assists the Board of Directors in its oversight of risk management and our process established to identify, measure, monitor, and manage risks, in particular, major financial risks. Company management annually updates the Audit Committee on enterprise risk matters. The Board of Directors receives regular reports from management, as well as from the Audit Committee, regarding relevant risks and the actions taken by management to adequately address those risks. The Audit Committee also has oversight of the Company’s information security matters and is provided regular comprehensive updates by Company management at least annually on the status of the Company’s information security status, including benchmarking to NIST Cybersecurity Framework standards and annual training of Company team members on cybersecurity awareness. During fiscal 2020, the Company did not report any security breaches.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Corporate Governance Guidelines and Principles require the Board to plan for CEO succession and oversee management development. During fiscal 2020 the Board reviewed management development and succession plans with respect to senior management positions with the CEO. The Board also reviewed succession plans with respect to the CEO.</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Board of Directors does not have a policy requiring the roles of the Chair of the Board and Chief Executive Officer to be filled by separate persons or a policy requiring the Chair of the Board to be a non-employee director. The Board believes that it is in the best interest of the Company and its shareholders for the Board to make a determination on whether to separate or combine the roles of Chair and CEO based upon the Company’s circumstances at any particular point in time, whether the Chair role shall be held by an independent director, and if not, supported by a Lead Independent Director. Mr. Sheehan currently serves as Chair of the Board and is an independent director.</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Board believes that, at this time, this leadership structure serves the ability of the Board of Directors to exercise its oversight role over management by having an independent director who is not an officer or member of management serve in the role of Chair. This structure also allows Mr. Jenkins, as CEO, to focus his time and energy on leading and managing the Company’s business and operations. The Board believes that the use of regular executive sessions of the independent directors, the Board’s strong committee system, and all directors being independent except for Mr. Jenkins allow it to maintain effective oversight of management.</w:t>
      </w:r>
    </w:p>
    <w:p>
      <w:pPr>
        <w:spacing w:after="0" w:line="12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Committee intends to set director compensation levels at or near the market median relative to directors at companies of comparable size, industry and scope of operations to ensure directors are competitively compensated for their time commitment and responsibilities. A market competitive compensation package is important because it enables us to attract and retain highly qualified directors who are critical to our long-term success.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all compensation earned by our non-employee directors during fiscal 2020 for service on our Board of</w:t>
      </w:r>
    </w:p>
    <w:p>
      <w:pPr>
        <w:ind w:left="120"/>
        <w:spacing w:after="0"/>
        <w:rPr>
          <w:sz w:val="20"/>
          <w:szCs w:val="20"/>
          <w:color w:val="auto"/>
        </w:rPr>
      </w:pPr>
      <w:r>
        <w:rPr>
          <w:rFonts w:ascii="Arial" w:cs="Arial" w:eastAsia="Arial" w:hAnsi="Arial"/>
          <w:sz w:val="18"/>
          <w:szCs w:val="18"/>
          <w:color w:val="auto"/>
        </w:rPr>
        <w:t>Directors: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003B71"/>
        </w:rPr>
        <w:t>DIRECTOR COMPENSATION TABLE(1)</w:t>
      </w: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3900" w:type="dxa"/>
            <w:vAlign w:val="bottom"/>
            <w:tcBorders>
              <w:top w:val="single" w:sz="8" w:color="003B71"/>
            </w:tcBorders>
          </w:tcPr>
          <w:p>
            <w:pPr>
              <w:spacing w:after="0"/>
              <w:rPr>
                <w:sz w:val="13"/>
                <w:szCs w:val="13"/>
                <w:color w:val="auto"/>
              </w:rPr>
            </w:pPr>
          </w:p>
        </w:tc>
        <w:tc>
          <w:tcPr>
            <w:tcW w:w="3520" w:type="dxa"/>
            <w:vAlign w:val="bottom"/>
            <w:tcBorders>
              <w:top w:val="single" w:sz="8" w:color="003B71"/>
            </w:tcBorders>
          </w:tcPr>
          <w:p>
            <w:pPr>
              <w:jc w:val="right"/>
              <w:ind w:right="241"/>
              <w:spacing w:after="0" w:line="156" w:lineRule="exact"/>
              <w:rPr>
                <w:sz w:val="20"/>
                <w:szCs w:val="20"/>
                <w:color w:val="auto"/>
              </w:rPr>
            </w:pPr>
            <w:r>
              <w:rPr>
                <w:rFonts w:ascii="Arial" w:cs="Arial" w:eastAsia="Arial" w:hAnsi="Arial"/>
                <w:sz w:val="14"/>
                <w:szCs w:val="14"/>
                <w:b w:val="1"/>
                <w:bCs w:val="1"/>
                <w:color w:val="003B71"/>
              </w:rPr>
              <w:t>FEES EARNED</w:t>
            </w:r>
          </w:p>
        </w:tc>
        <w:tc>
          <w:tcPr>
            <w:tcW w:w="2340" w:type="dxa"/>
            <w:vAlign w:val="bottom"/>
            <w:tcBorders>
              <w:top w:val="single" w:sz="8" w:color="003B71"/>
            </w:tcBorders>
          </w:tcPr>
          <w:p>
            <w:pPr>
              <w:jc w:val="right"/>
              <w:ind w:right="401"/>
              <w:spacing w:after="0" w:line="156" w:lineRule="exact"/>
              <w:rPr>
                <w:sz w:val="20"/>
                <w:szCs w:val="20"/>
                <w:color w:val="auto"/>
              </w:rPr>
            </w:pPr>
            <w:r>
              <w:rPr>
                <w:rFonts w:ascii="Arial" w:cs="Arial" w:eastAsia="Arial" w:hAnsi="Arial"/>
                <w:sz w:val="14"/>
                <w:szCs w:val="14"/>
                <w:b w:val="1"/>
                <w:bCs w:val="1"/>
                <w:color w:val="003B71"/>
              </w:rPr>
              <w:t>STOCK UNIT AWARDS</w:t>
            </w:r>
          </w:p>
        </w:tc>
        <w:tc>
          <w:tcPr>
            <w:tcW w:w="1260" w:type="dxa"/>
            <w:vAlign w:val="bottom"/>
            <w:tcBorders>
              <w:top w:val="single" w:sz="8" w:color="003B71"/>
            </w:tcBorders>
          </w:tcPr>
          <w:p>
            <w:pPr>
              <w:jc w:val="right"/>
              <w:ind w:right="241"/>
              <w:spacing w:after="0" w:line="156" w:lineRule="exact"/>
              <w:rPr>
                <w:sz w:val="20"/>
                <w:szCs w:val="20"/>
                <w:color w:val="auto"/>
              </w:rPr>
            </w:pPr>
            <w:r>
              <w:rPr>
                <w:rFonts w:ascii="Arial" w:cs="Arial" w:eastAsia="Arial" w:hAnsi="Arial"/>
                <w:sz w:val="14"/>
                <w:szCs w:val="14"/>
                <w:b w:val="1"/>
                <w:bCs w:val="1"/>
                <w:color w:val="003B71"/>
              </w:rPr>
              <w:t>TOTAL</w:t>
            </w:r>
          </w:p>
        </w:tc>
      </w:tr>
      <w:tr>
        <w:trPr>
          <w:trHeight w:val="175"/>
        </w:trPr>
        <w:tc>
          <w:tcPr>
            <w:tcW w:w="390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NAME(2)</w:t>
            </w:r>
          </w:p>
        </w:tc>
        <w:tc>
          <w:tcPr>
            <w:tcW w:w="3520" w:type="dxa"/>
            <w:vAlign w:val="bottom"/>
            <w:tcBorders>
              <w:bottom w:val="single" w:sz="8" w:color="003B71"/>
            </w:tcBorders>
          </w:tcPr>
          <w:p>
            <w:pPr>
              <w:jc w:val="right"/>
              <w:ind w:right="561"/>
              <w:spacing w:after="0"/>
              <w:rPr>
                <w:sz w:val="20"/>
                <w:szCs w:val="20"/>
                <w:color w:val="auto"/>
              </w:rPr>
            </w:pPr>
            <w:r>
              <w:rPr>
                <w:rFonts w:ascii="Arial" w:cs="Arial" w:eastAsia="Arial" w:hAnsi="Arial"/>
                <w:sz w:val="14"/>
                <w:szCs w:val="14"/>
                <w:b w:val="1"/>
                <w:bCs w:val="1"/>
                <w:color w:val="003B71"/>
              </w:rPr>
              <w:t>($)(3)</w:t>
            </w:r>
          </w:p>
        </w:tc>
        <w:tc>
          <w:tcPr>
            <w:tcW w:w="2340" w:type="dxa"/>
            <w:vAlign w:val="bottom"/>
            <w:tcBorders>
              <w:bottom w:val="single" w:sz="8" w:color="003B71"/>
            </w:tcBorders>
          </w:tcPr>
          <w:p>
            <w:pPr>
              <w:jc w:val="right"/>
              <w:ind w:right="1001"/>
              <w:spacing w:after="0"/>
              <w:rPr>
                <w:sz w:val="20"/>
                <w:szCs w:val="20"/>
                <w:color w:val="auto"/>
              </w:rPr>
            </w:pPr>
            <w:r>
              <w:rPr>
                <w:rFonts w:ascii="Arial" w:cs="Arial" w:eastAsia="Arial" w:hAnsi="Arial"/>
                <w:sz w:val="14"/>
                <w:szCs w:val="14"/>
                <w:b w:val="1"/>
                <w:bCs w:val="1"/>
                <w:color w:val="003B71"/>
              </w:rPr>
              <w:t>($)(4)</w:t>
            </w:r>
          </w:p>
        </w:tc>
        <w:tc>
          <w:tcPr>
            <w:tcW w:w="1260" w:type="dxa"/>
            <w:vAlign w:val="bottom"/>
            <w:tcBorders>
              <w:bottom w:val="single" w:sz="8" w:color="003B71"/>
            </w:tcBorders>
          </w:tcPr>
          <w:p>
            <w:pPr>
              <w:jc w:val="right"/>
              <w:ind w:right="401"/>
              <w:spacing w:after="0"/>
              <w:rPr>
                <w:sz w:val="20"/>
                <w:szCs w:val="20"/>
                <w:color w:val="auto"/>
              </w:rPr>
            </w:pPr>
            <w:r>
              <w:rPr>
                <w:rFonts w:ascii="Arial" w:cs="Arial" w:eastAsia="Arial" w:hAnsi="Arial"/>
                <w:sz w:val="14"/>
                <w:szCs w:val="14"/>
                <w:b w:val="1"/>
                <w:bCs w:val="1"/>
                <w:color w:val="003B71"/>
              </w:rPr>
              <w:t>($)</w:t>
            </w:r>
          </w:p>
        </w:tc>
      </w:tr>
      <w:tr>
        <w:trPr>
          <w:trHeight w:val="183"/>
        </w:trPr>
        <w:tc>
          <w:tcPr>
            <w:tcW w:w="390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Victor L. Crawford(5)</w:t>
            </w:r>
          </w:p>
        </w:tc>
        <w:tc>
          <w:tcPr>
            <w:tcW w:w="3520" w:type="dxa"/>
            <w:vAlign w:val="bottom"/>
            <w:shd w:val="clear" w:color="auto" w:fill="E5E5E5"/>
          </w:tcPr>
          <w:p>
            <w:pPr>
              <w:jc w:val="right"/>
              <w:ind w:right="321"/>
              <w:spacing w:after="0" w:line="183" w:lineRule="exact"/>
              <w:rPr>
                <w:sz w:val="20"/>
                <w:szCs w:val="20"/>
                <w:color w:val="auto"/>
              </w:rPr>
            </w:pPr>
            <w:r>
              <w:rPr>
                <w:rFonts w:ascii="Arial" w:cs="Arial" w:eastAsia="Arial" w:hAnsi="Arial"/>
                <w:sz w:val="16"/>
                <w:szCs w:val="16"/>
                <w:color w:val="auto"/>
              </w:rPr>
              <w:t>$20,000</w:t>
            </w:r>
          </w:p>
        </w:tc>
        <w:tc>
          <w:tcPr>
            <w:tcW w:w="2340" w:type="dxa"/>
            <w:vAlign w:val="bottom"/>
            <w:shd w:val="clear" w:color="auto" w:fill="E5E5E5"/>
          </w:tcPr>
          <w:p>
            <w:pPr>
              <w:jc w:val="right"/>
              <w:ind w:right="721"/>
              <w:spacing w:after="0" w:line="183" w:lineRule="exact"/>
              <w:rPr>
                <w:sz w:val="20"/>
                <w:szCs w:val="20"/>
                <w:color w:val="auto"/>
              </w:rPr>
            </w:pPr>
            <w:r>
              <w:rPr>
                <w:rFonts w:ascii="Arial" w:cs="Arial" w:eastAsia="Arial" w:hAnsi="Arial"/>
                <w:sz w:val="16"/>
                <w:szCs w:val="16"/>
                <w:color w:val="auto"/>
              </w:rPr>
              <w:t>$ 57,876</w:t>
            </w:r>
          </w:p>
        </w:tc>
        <w:tc>
          <w:tcPr>
            <w:tcW w:w="1260" w:type="dxa"/>
            <w:vAlign w:val="bottom"/>
            <w:shd w:val="clear" w:color="auto" w:fill="E5E5E5"/>
          </w:tcPr>
          <w:p>
            <w:pPr>
              <w:jc w:val="right"/>
              <w:ind w:right="1"/>
              <w:spacing w:after="0" w:line="183" w:lineRule="exact"/>
              <w:rPr>
                <w:sz w:val="20"/>
                <w:szCs w:val="20"/>
                <w:color w:val="auto"/>
              </w:rPr>
            </w:pPr>
            <w:r>
              <w:rPr>
                <w:rFonts w:ascii="Arial" w:cs="Arial" w:eastAsia="Arial" w:hAnsi="Arial"/>
                <w:sz w:val="16"/>
                <w:szCs w:val="16"/>
                <w:color w:val="auto"/>
              </w:rPr>
              <w:t>$ 77,876</w:t>
            </w:r>
          </w:p>
        </w:tc>
      </w:tr>
      <w:tr>
        <w:trPr>
          <w:trHeight w:val="189"/>
        </w:trPr>
        <w:tc>
          <w:tcPr>
            <w:tcW w:w="3900" w:type="dxa"/>
            <w:vAlign w:val="bottom"/>
          </w:tcPr>
          <w:p>
            <w:pPr>
              <w:ind w:left="60"/>
              <w:spacing w:after="0"/>
              <w:rPr>
                <w:sz w:val="20"/>
                <w:szCs w:val="20"/>
                <w:color w:val="auto"/>
              </w:rPr>
            </w:pPr>
            <w:r>
              <w:rPr>
                <w:rFonts w:ascii="Arial" w:cs="Arial" w:eastAsia="Arial" w:hAnsi="Arial"/>
                <w:sz w:val="16"/>
                <w:szCs w:val="16"/>
                <w:color w:val="auto"/>
              </w:rPr>
              <w:t>James P. Chambers(6)</w:t>
            </w:r>
          </w:p>
        </w:tc>
        <w:tc>
          <w:tcPr>
            <w:tcW w:w="3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2340" w:type="dxa"/>
            <w:vAlign w:val="bottom"/>
          </w:tcPr>
          <w:p>
            <w:pPr>
              <w:jc w:val="right"/>
              <w:ind w:right="7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89"/>
        </w:trPr>
        <w:tc>
          <w:tcPr>
            <w:tcW w:w="3900" w:type="dxa"/>
            <w:vAlign w:val="bottom"/>
            <w:shd w:val="clear" w:color="auto" w:fill="E5E5E5"/>
          </w:tcPr>
          <w:p>
            <w:pPr>
              <w:ind w:left="60"/>
              <w:spacing w:after="0"/>
              <w:rPr>
                <w:sz w:val="20"/>
                <w:szCs w:val="20"/>
                <w:color w:val="auto"/>
              </w:rPr>
            </w:pPr>
            <w:r>
              <w:rPr>
                <w:rFonts w:ascii="Arial" w:cs="Arial" w:eastAsia="Arial" w:hAnsi="Arial"/>
                <w:sz w:val="16"/>
                <w:szCs w:val="16"/>
                <w:color w:val="auto"/>
              </w:rPr>
              <w:t>Hamish A. Dodds</w:t>
            </w:r>
          </w:p>
        </w:tc>
        <w:tc>
          <w:tcPr>
            <w:tcW w:w="352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$20,000</w:t>
            </w:r>
          </w:p>
        </w:tc>
        <w:tc>
          <w:tcPr>
            <w:tcW w:w="2340" w:type="dxa"/>
            <w:vAlign w:val="bottom"/>
            <w:shd w:val="clear" w:color="auto" w:fill="E5E5E5"/>
          </w:tcPr>
          <w:p>
            <w:pPr>
              <w:jc w:val="right"/>
              <w:ind w:right="721"/>
              <w:spacing w:after="0"/>
              <w:rPr>
                <w:sz w:val="20"/>
                <w:szCs w:val="20"/>
                <w:color w:val="auto"/>
              </w:rPr>
            </w:pPr>
            <w:r>
              <w:rPr>
                <w:rFonts w:ascii="Arial" w:cs="Arial" w:eastAsia="Arial" w:hAnsi="Arial"/>
                <w:sz w:val="16"/>
                <w:szCs w:val="16"/>
                <w:color w:val="auto"/>
              </w:rPr>
              <w:t>$124,992</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$144,992</w:t>
            </w:r>
          </w:p>
        </w:tc>
      </w:tr>
      <w:tr>
        <w:trPr>
          <w:trHeight w:val="189"/>
        </w:trPr>
        <w:tc>
          <w:tcPr>
            <w:tcW w:w="3900" w:type="dxa"/>
            <w:vAlign w:val="bottom"/>
          </w:tcPr>
          <w:p>
            <w:pPr>
              <w:ind w:left="60"/>
              <w:spacing w:after="0"/>
              <w:rPr>
                <w:sz w:val="20"/>
                <w:szCs w:val="20"/>
                <w:color w:val="auto"/>
              </w:rPr>
            </w:pPr>
            <w:r>
              <w:rPr>
                <w:rFonts w:ascii="Arial" w:cs="Arial" w:eastAsia="Arial" w:hAnsi="Arial"/>
                <w:sz w:val="16"/>
                <w:szCs w:val="16"/>
                <w:color w:val="auto"/>
              </w:rPr>
              <w:t>Michael J. Griffith</w:t>
            </w:r>
          </w:p>
        </w:tc>
        <w:tc>
          <w:tcPr>
            <w:tcW w:w="3520" w:type="dxa"/>
            <w:vAlign w:val="bottom"/>
          </w:tcPr>
          <w:p>
            <w:pPr>
              <w:jc w:val="right"/>
              <w:ind w:right="321"/>
              <w:spacing w:after="0"/>
              <w:rPr>
                <w:sz w:val="20"/>
                <w:szCs w:val="20"/>
                <w:color w:val="auto"/>
              </w:rPr>
            </w:pPr>
            <w:r>
              <w:rPr>
                <w:rFonts w:ascii="Arial" w:cs="Arial" w:eastAsia="Arial" w:hAnsi="Arial"/>
                <w:sz w:val="16"/>
                <w:szCs w:val="16"/>
                <w:color w:val="auto"/>
              </w:rPr>
              <w:t>$35,000</w:t>
            </w:r>
          </w:p>
        </w:tc>
        <w:tc>
          <w:tcPr>
            <w:tcW w:w="2340" w:type="dxa"/>
            <w:vAlign w:val="bottom"/>
          </w:tcPr>
          <w:p>
            <w:pPr>
              <w:jc w:val="right"/>
              <w:ind w:right="721"/>
              <w:spacing w:after="0"/>
              <w:rPr>
                <w:sz w:val="20"/>
                <w:szCs w:val="20"/>
                <w:color w:val="auto"/>
              </w:rPr>
            </w:pPr>
            <w:r>
              <w:rPr>
                <w:rFonts w:ascii="Arial" w:cs="Arial" w:eastAsia="Arial" w:hAnsi="Arial"/>
                <w:sz w:val="16"/>
                <w:szCs w:val="16"/>
                <w:color w:val="auto"/>
              </w:rPr>
              <w:t>$124,992</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$159,992</w:t>
            </w:r>
          </w:p>
        </w:tc>
      </w:tr>
      <w:tr>
        <w:trPr>
          <w:trHeight w:val="189"/>
        </w:trPr>
        <w:tc>
          <w:tcPr>
            <w:tcW w:w="3900" w:type="dxa"/>
            <w:vAlign w:val="bottom"/>
            <w:shd w:val="clear" w:color="auto" w:fill="E5E5E5"/>
          </w:tcPr>
          <w:p>
            <w:pPr>
              <w:ind w:left="60"/>
              <w:spacing w:after="0"/>
              <w:rPr>
                <w:sz w:val="20"/>
                <w:szCs w:val="20"/>
                <w:color w:val="auto"/>
              </w:rPr>
            </w:pPr>
            <w:r>
              <w:rPr>
                <w:rFonts w:ascii="Arial" w:cs="Arial" w:eastAsia="Arial" w:hAnsi="Arial"/>
                <w:sz w:val="16"/>
                <w:szCs w:val="16"/>
                <w:color w:val="auto"/>
              </w:rPr>
              <w:t>Jonathan S. Halkyard</w:t>
            </w:r>
          </w:p>
        </w:tc>
        <w:tc>
          <w:tcPr>
            <w:tcW w:w="352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$25,000</w:t>
            </w:r>
          </w:p>
        </w:tc>
        <w:tc>
          <w:tcPr>
            <w:tcW w:w="2340" w:type="dxa"/>
            <w:vAlign w:val="bottom"/>
            <w:shd w:val="clear" w:color="auto" w:fill="E5E5E5"/>
          </w:tcPr>
          <w:p>
            <w:pPr>
              <w:jc w:val="right"/>
              <w:ind w:right="721"/>
              <w:spacing w:after="0"/>
              <w:rPr>
                <w:sz w:val="20"/>
                <w:szCs w:val="20"/>
                <w:color w:val="auto"/>
              </w:rPr>
            </w:pPr>
            <w:r>
              <w:rPr>
                <w:rFonts w:ascii="Arial" w:cs="Arial" w:eastAsia="Arial" w:hAnsi="Arial"/>
                <w:sz w:val="16"/>
                <w:szCs w:val="16"/>
                <w:color w:val="auto"/>
              </w:rPr>
              <w:t>$124,992</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$149,992</w:t>
            </w:r>
          </w:p>
        </w:tc>
      </w:tr>
      <w:tr>
        <w:trPr>
          <w:trHeight w:val="189"/>
        </w:trPr>
        <w:tc>
          <w:tcPr>
            <w:tcW w:w="3900" w:type="dxa"/>
            <w:vAlign w:val="bottom"/>
          </w:tcPr>
          <w:p>
            <w:pPr>
              <w:ind w:left="60"/>
              <w:spacing w:after="0"/>
              <w:rPr>
                <w:sz w:val="20"/>
                <w:szCs w:val="20"/>
                <w:color w:val="auto"/>
              </w:rPr>
            </w:pPr>
            <w:r>
              <w:rPr>
                <w:rFonts w:ascii="Arial" w:cs="Arial" w:eastAsia="Arial" w:hAnsi="Arial"/>
                <w:sz w:val="16"/>
                <w:szCs w:val="16"/>
                <w:color w:val="auto"/>
              </w:rPr>
              <w:t>John C. Hockin(7)</w:t>
            </w:r>
          </w:p>
        </w:tc>
        <w:tc>
          <w:tcPr>
            <w:tcW w:w="352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2340" w:type="dxa"/>
            <w:vAlign w:val="bottom"/>
          </w:tcPr>
          <w:p>
            <w:pPr>
              <w:jc w:val="right"/>
              <w:ind w:right="72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89"/>
        </w:trPr>
        <w:tc>
          <w:tcPr>
            <w:tcW w:w="3900" w:type="dxa"/>
            <w:vAlign w:val="bottom"/>
            <w:shd w:val="clear" w:color="auto" w:fill="E5E5E5"/>
          </w:tcPr>
          <w:p>
            <w:pPr>
              <w:ind w:left="60"/>
              <w:spacing w:after="0"/>
              <w:rPr>
                <w:sz w:val="20"/>
                <w:szCs w:val="20"/>
                <w:color w:val="auto"/>
              </w:rPr>
            </w:pPr>
            <w:r>
              <w:rPr>
                <w:rFonts w:ascii="Arial" w:cs="Arial" w:eastAsia="Arial" w:hAnsi="Arial"/>
                <w:sz w:val="16"/>
                <w:szCs w:val="16"/>
                <w:color w:val="auto"/>
              </w:rPr>
              <w:t>Stephen M. King</w:t>
            </w:r>
          </w:p>
        </w:tc>
        <w:tc>
          <w:tcPr>
            <w:tcW w:w="352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$42,500</w:t>
            </w:r>
          </w:p>
        </w:tc>
        <w:tc>
          <w:tcPr>
            <w:tcW w:w="2340" w:type="dxa"/>
            <w:vAlign w:val="bottom"/>
            <w:shd w:val="clear" w:color="auto" w:fill="E5E5E5"/>
          </w:tcPr>
          <w:p>
            <w:pPr>
              <w:jc w:val="right"/>
              <w:ind w:right="721"/>
              <w:spacing w:after="0"/>
              <w:rPr>
                <w:sz w:val="20"/>
                <w:szCs w:val="20"/>
                <w:color w:val="auto"/>
              </w:rPr>
            </w:pPr>
            <w:r>
              <w:rPr>
                <w:rFonts w:ascii="Arial" w:cs="Arial" w:eastAsia="Arial" w:hAnsi="Arial"/>
                <w:sz w:val="16"/>
                <w:szCs w:val="16"/>
                <w:color w:val="auto"/>
              </w:rPr>
              <w:t>$124,992</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$167,492</w:t>
            </w:r>
          </w:p>
        </w:tc>
      </w:tr>
      <w:tr>
        <w:trPr>
          <w:trHeight w:val="189"/>
        </w:trPr>
        <w:tc>
          <w:tcPr>
            <w:tcW w:w="3900" w:type="dxa"/>
            <w:vAlign w:val="bottom"/>
          </w:tcPr>
          <w:p>
            <w:pPr>
              <w:ind w:left="60"/>
              <w:spacing w:after="0"/>
              <w:rPr>
                <w:sz w:val="20"/>
                <w:szCs w:val="20"/>
                <w:color w:val="auto"/>
              </w:rPr>
            </w:pPr>
            <w:r>
              <w:rPr>
                <w:rFonts w:ascii="Arial" w:cs="Arial" w:eastAsia="Arial" w:hAnsi="Arial"/>
                <w:sz w:val="16"/>
                <w:szCs w:val="16"/>
                <w:color w:val="auto"/>
              </w:rPr>
              <w:t>Patricia H. Mueller</w:t>
            </w:r>
          </w:p>
        </w:tc>
        <w:tc>
          <w:tcPr>
            <w:tcW w:w="3520" w:type="dxa"/>
            <w:vAlign w:val="bottom"/>
          </w:tcPr>
          <w:p>
            <w:pPr>
              <w:jc w:val="right"/>
              <w:ind w:right="321"/>
              <w:spacing w:after="0"/>
              <w:rPr>
                <w:sz w:val="20"/>
                <w:szCs w:val="20"/>
                <w:color w:val="auto"/>
              </w:rPr>
            </w:pPr>
            <w:r>
              <w:rPr>
                <w:rFonts w:ascii="Arial" w:cs="Arial" w:eastAsia="Arial" w:hAnsi="Arial"/>
                <w:sz w:val="16"/>
                <w:szCs w:val="16"/>
                <w:color w:val="auto"/>
              </w:rPr>
              <w:t>$22,500</w:t>
            </w:r>
          </w:p>
        </w:tc>
        <w:tc>
          <w:tcPr>
            <w:tcW w:w="2340" w:type="dxa"/>
            <w:vAlign w:val="bottom"/>
          </w:tcPr>
          <w:p>
            <w:pPr>
              <w:jc w:val="right"/>
              <w:ind w:right="721"/>
              <w:spacing w:after="0"/>
              <w:rPr>
                <w:sz w:val="20"/>
                <w:szCs w:val="20"/>
                <w:color w:val="auto"/>
              </w:rPr>
            </w:pPr>
            <w:r>
              <w:rPr>
                <w:rFonts w:ascii="Arial" w:cs="Arial" w:eastAsia="Arial" w:hAnsi="Arial"/>
                <w:sz w:val="16"/>
                <w:szCs w:val="16"/>
                <w:color w:val="auto"/>
              </w:rPr>
              <w:t>$124,992</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$147,492</w:t>
            </w:r>
          </w:p>
        </w:tc>
      </w:tr>
      <w:tr>
        <w:trPr>
          <w:trHeight w:val="189"/>
        </w:trPr>
        <w:tc>
          <w:tcPr>
            <w:tcW w:w="3900" w:type="dxa"/>
            <w:vAlign w:val="bottom"/>
            <w:shd w:val="clear" w:color="auto" w:fill="E5E5E5"/>
          </w:tcPr>
          <w:p>
            <w:pPr>
              <w:ind w:left="60"/>
              <w:spacing w:after="0"/>
              <w:rPr>
                <w:sz w:val="20"/>
                <w:szCs w:val="20"/>
                <w:color w:val="auto"/>
              </w:rPr>
            </w:pPr>
            <w:r>
              <w:rPr>
                <w:rFonts w:ascii="Arial" w:cs="Arial" w:eastAsia="Arial" w:hAnsi="Arial"/>
                <w:sz w:val="16"/>
                <w:szCs w:val="16"/>
                <w:color w:val="auto"/>
              </w:rPr>
              <w:t>Kevin M. Sheehan</w:t>
            </w:r>
          </w:p>
        </w:tc>
        <w:tc>
          <w:tcPr>
            <w:tcW w:w="3520" w:type="dxa"/>
            <w:vAlign w:val="bottom"/>
            <w:shd w:val="clear" w:color="auto" w:fill="E5E5E5"/>
          </w:tcPr>
          <w:p>
            <w:pPr>
              <w:jc w:val="right"/>
              <w:ind w:right="321"/>
              <w:spacing w:after="0"/>
              <w:rPr>
                <w:sz w:val="20"/>
                <w:szCs w:val="20"/>
                <w:color w:val="auto"/>
              </w:rPr>
            </w:pPr>
            <w:r>
              <w:rPr>
                <w:rFonts w:ascii="Arial" w:cs="Arial" w:eastAsia="Arial" w:hAnsi="Arial"/>
                <w:sz w:val="16"/>
                <w:szCs w:val="16"/>
                <w:color w:val="auto"/>
              </w:rPr>
              <w:t>$26,250</w:t>
            </w:r>
          </w:p>
        </w:tc>
        <w:tc>
          <w:tcPr>
            <w:tcW w:w="2340" w:type="dxa"/>
            <w:vAlign w:val="bottom"/>
            <w:shd w:val="clear" w:color="auto" w:fill="E5E5E5"/>
          </w:tcPr>
          <w:p>
            <w:pPr>
              <w:jc w:val="right"/>
              <w:ind w:right="721"/>
              <w:spacing w:after="0"/>
              <w:rPr>
                <w:sz w:val="20"/>
                <w:szCs w:val="20"/>
                <w:color w:val="auto"/>
              </w:rPr>
            </w:pPr>
            <w:r>
              <w:rPr>
                <w:rFonts w:ascii="Arial" w:cs="Arial" w:eastAsia="Arial" w:hAnsi="Arial"/>
                <w:sz w:val="16"/>
                <w:szCs w:val="16"/>
                <w:color w:val="auto"/>
              </w:rPr>
              <w:t>$124,992</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$151,242</w:t>
            </w:r>
          </w:p>
        </w:tc>
      </w:tr>
      <w:tr>
        <w:trPr>
          <w:trHeight w:val="197"/>
        </w:trPr>
        <w:tc>
          <w:tcPr>
            <w:tcW w:w="3900" w:type="dxa"/>
            <w:vAlign w:val="bottom"/>
          </w:tcPr>
          <w:p>
            <w:pPr>
              <w:ind w:left="60"/>
              <w:spacing w:after="0"/>
              <w:rPr>
                <w:sz w:val="20"/>
                <w:szCs w:val="20"/>
                <w:color w:val="auto"/>
              </w:rPr>
            </w:pPr>
            <w:r>
              <w:rPr>
                <w:rFonts w:ascii="Arial" w:cs="Arial" w:eastAsia="Arial" w:hAnsi="Arial"/>
                <w:sz w:val="16"/>
                <w:szCs w:val="16"/>
                <w:color w:val="auto"/>
              </w:rPr>
              <w:t>Jennifer Storms</w:t>
            </w:r>
          </w:p>
        </w:tc>
        <w:tc>
          <w:tcPr>
            <w:tcW w:w="3520" w:type="dxa"/>
            <w:vAlign w:val="bottom"/>
          </w:tcPr>
          <w:p>
            <w:pPr>
              <w:jc w:val="right"/>
              <w:ind w:right="321"/>
              <w:spacing w:after="0"/>
              <w:rPr>
                <w:sz w:val="20"/>
                <w:szCs w:val="20"/>
                <w:color w:val="auto"/>
              </w:rPr>
            </w:pPr>
            <w:r>
              <w:rPr>
                <w:rFonts w:ascii="Arial" w:cs="Arial" w:eastAsia="Arial" w:hAnsi="Arial"/>
                <w:sz w:val="16"/>
                <w:szCs w:val="16"/>
                <w:color w:val="auto"/>
              </w:rPr>
              <w:t>$21,250</w:t>
            </w:r>
          </w:p>
        </w:tc>
        <w:tc>
          <w:tcPr>
            <w:tcW w:w="2340" w:type="dxa"/>
            <w:vAlign w:val="bottom"/>
          </w:tcPr>
          <w:p>
            <w:pPr>
              <w:jc w:val="right"/>
              <w:ind w:right="721"/>
              <w:spacing w:after="0"/>
              <w:rPr>
                <w:sz w:val="20"/>
                <w:szCs w:val="20"/>
                <w:color w:val="auto"/>
              </w:rPr>
            </w:pPr>
            <w:r>
              <w:rPr>
                <w:rFonts w:ascii="Arial" w:cs="Arial" w:eastAsia="Arial" w:hAnsi="Arial"/>
                <w:sz w:val="16"/>
                <w:szCs w:val="16"/>
                <w:color w:val="auto"/>
              </w:rPr>
              <w:t>$124,992</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$146,242</w:t>
            </w:r>
          </w:p>
        </w:tc>
      </w:tr>
    </w:tbl>
    <w:p>
      <w:pPr>
        <w:spacing w:after="0" w:line="75" w:lineRule="exact"/>
        <w:rPr>
          <w:sz w:val="20"/>
          <w:szCs w:val="20"/>
          <w:color w:val="auto"/>
        </w:rPr>
      </w:pPr>
    </w:p>
    <w:p>
      <w:pPr>
        <w:ind w:left="540" w:right="20" w:hanging="424"/>
        <w:spacing w:after="0" w:line="260"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Omitted from the table are option awards, non-equity incentive plan compensation, nonqualified deferred compensation earnings, and all other compensation as none of the non-employee directors received any compensation in these categories during fiscal 2020.</w:t>
      </w:r>
    </w:p>
    <w:p>
      <w:pPr>
        <w:spacing w:after="0" w:line="60" w:lineRule="exact"/>
        <w:rPr>
          <w:rFonts w:ascii="Arial" w:cs="Arial" w:eastAsia="Arial" w:hAnsi="Arial"/>
          <w:sz w:val="16"/>
          <w:szCs w:val="16"/>
          <w:color w:val="auto"/>
        </w:rPr>
      </w:pPr>
    </w:p>
    <w:p>
      <w:pPr>
        <w:jc w:val="both"/>
        <w:ind w:left="540" w:right="20" w:hanging="424"/>
        <w:spacing w:after="0" w:line="248"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Jenkins is omitted from the Director Compensation Table because he is an employee director. Mr. Jenkins did not receive compensation for service on our Board of Directors other than reimbursement for out-of-pocket expenses incurred in connection with the rendering of such service. Mr. Jenkins’ compensation is reflected in the Summary Compensation Table of this Proxy Statement. While Mr. King was an employee director through August 2, 2020, he is not a named executive officer of the Company. Mr. King’s fees for service on our Board of Directors are included above; these fees include $12,500 Mr. King received as an employee of the Company; Mr. King’s employment agreement with the Company ended on August 2, 2020, after which he continued to serve as Chair of the Board. Mr. Shah is omitted from the table because he was appointed to the Board of Directors on April 16, 2021 after the end of fiscal 2020.</w:t>
      </w:r>
    </w:p>
    <w:p>
      <w:pPr>
        <w:spacing w:after="0" w:line="73"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March 2020, the Board suspended all cash compensation payments for the remainder of fiscal 2020. The amounts in this column reflect the portion of the cash fees prior to the suspension.</w:t>
      </w:r>
    </w:p>
    <w:p>
      <w:pPr>
        <w:spacing w:after="0" w:line="60" w:lineRule="exact"/>
        <w:rPr>
          <w:rFonts w:ascii="Arial" w:cs="Arial" w:eastAsia="Arial" w:hAnsi="Arial"/>
          <w:sz w:val="16"/>
          <w:szCs w:val="16"/>
          <w:color w:val="auto"/>
        </w:rPr>
      </w:pPr>
    </w:p>
    <w:p>
      <w:pPr>
        <w:jc w:val="both"/>
        <w:ind w:left="540" w:hanging="424"/>
        <w:spacing w:after="0" w:line="248"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amounts shown in this column represent the aggregate grant date fair values of the restricted stock units awarded to Messrs. Crawford, Dodds, Griffith, Halkyard, King and Sheehan and Mss. Mueller and Storms on April 27, 2020. Mr. Crawford received 50% of the restricted stock units of the other directors due to his service ending on June 22, 2020. Each restricted stock unit vests one year after the award date. As of January 31, 2021, the aggregate number of shares of Company common stock underlying outstanding non-vested restricted stock units for each non-employee director (other than Mr. Crawford) was 9,727. Pursuant to the Director Deferred Compensation Plan, each non-employee director has the option to defer the distribution of all or a portion of restricted stock units. Units deferred will be distributed upon death or disability of the director or over a period not to exceed five years, as elected by the director, following the date he or she leaves the Board of Directors. Messrs. Crawford, Dodds, and Griffith and Mss. Mueller and Storms deferred 100% of their stock unit awards. Following completion of his term, Mr. Crawford’s deferred stock awards have been or will be distributed according to his prior elections for each grant.</w:t>
      </w:r>
    </w:p>
    <w:p>
      <w:pPr>
        <w:spacing w:after="0" w:line="70" w:lineRule="exact"/>
        <w:rPr>
          <w:rFonts w:ascii="Arial" w:cs="Arial" w:eastAsia="Arial" w:hAnsi="Arial"/>
          <w:sz w:val="16"/>
          <w:szCs w:val="16"/>
          <w:color w:val="auto"/>
        </w:rPr>
      </w:pPr>
    </w:p>
    <w:p>
      <w:pPr>
        <w:ind w:left="540" w:hanging="424"/>
        <w:spacing w:after="0"/>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Crawford retired from the Board effective June 23, 2020. His equity compensation is prorated for his shortened tenure.</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Chambers was appointed to the Board of Directors on December 22, 2020 and declined compensation for serving on the Board and Committees during fiscal 2020.</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Hockin was appointed to the Board of Directors on May 8, 2020 and declined compensation for serving on the Board and Committees during fiscal 2020.</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Directors Outstanding Equity Awards at 2020 Fiscal Year End</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60" w:type="dxa"/>
            <w:vAlign w:val="bottom"/>
          </w:tcPr>
          <w:p>
            <w:pPr>
              <w:jc w:val="center"/>
              <w:ind w:left="102"/>
              <w:spacing w:after="0"/>
              <w:rPr>
                <w:sz w:val="20"/>
                <w:szCs w:val="20"/>
                <w:color w:val="auto"/>
              </w:rPr>
            </w:pPr>
            <w:r>
              <w:rPr>
                <w:rFonts w:ascii="Arial" w:cs="Arial" w:eastAsia="Arial" w:hAnsi="Arial"/>
                <w:sz w:val="14"/>
                <w:szCs w:val="14"/>
                <w:b w:val="1"/>
                <w:bCs w:val="1"/>
                <w:color w:val="003B71"/>
              </w:rPr>
              <w:t>Number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03B71"/>
              </w:rPr>
              <w:t>Number of</w:t>
            </w:r>
          </w:p>
        </w:tc>
        <w:tc>
          <w:tcPr>
            <w:tcW w:w="1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1660" w:type="dxa"/>
            <w:vAlign w:val="bottom"/>
          </w:tcPr>
          <w:p>
            <w:pPr>
              <w:jc w:val="center"/>
              <w:ind w:left="102"/>
              <w:spacing w:after="0"/>
              <w:rPr>
                <w:sz w:val="20"/>
                <w:szCs w:val="20"/>
                <w:color w:val="auto"/>
              </w:rPr>
            </w:pPr>
            <w:r>
              <w:rPr>
                <w:rFonts w:ascii="Arial" w:cs="Arial" w:eastAsia="Arial" w:hAnsi="Arial"/>
                <w:sz w:val="14"/>
                <w:szCs w:val="14"/>
                <w:b w:val="1"/>
                <w:bCs w:val="1"/>
                <w:color w:val="003B71"/>
              </w:rPr>
              <w:t>Securities</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03B71"/>
              </w:rPr>
              <w:t>Securities</w:t>
            </w:r>
          </w:p>
        </w:tc>
        <w:tc>
          <w:tcPr>
            <w:tcW w:w="1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1660" w:type="dxa"/>
            <w:vAlign w:val="bottom"/>
          </w:tcPr>
          <w:p>
            <w:pPr>
              <w:jc w:val="center"/>
              <w:ind w:left="102"/>
              <w:spacing w:after="0"/>
              <w:rPr>
                <w:sz w:val="20"/>
                <w:szCs w:val="20"/>
                <w:color w:val="auto"/>
              </w:rPr>
            </w:pPr>
            <w:r>
              <w:rPr>
                <w:rFonts w:ascii="Arial" w:cs="Arial" w:eastAsia="Arial" w:hAnsi="Arial"/>
                <w:sz w:val="14"/>
                <w:szCs w:val="14"/>
                <w:b w:val="1"/>
                <w:bCs w:val="1"/>
                <w:color w:val="003B71"/>
              </w:rPr>
              <w:t>Underlying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03B71"/>
              </w:rPr>
              <w:t>Underlying</w:t>
            </w:r>
          </w:p>
        </w:tc>
        <w:tc>
          <w:tcPr>
            <w:tcW w:w="1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1660" w:type="dxa"/>
            <w:vAlign w:val="bottom"/>
          </w:tcPr>
          <w:p>
            <w:pPr>
              <w:jc w:val="center"/>
              <w:ind w:left="102"/>
              <w:spacing w:after="0"/>
              <w:rPr>
                <w:sz w:val="20"/>
                <w:szCs w:val="20"/>
                <w:color w:val="auto"/>
              </w:rPr>
            </w:pPr>
            <w:r>
              <w:rPr>
                <w:rFonts w:ascii="Arial" w:cs="Arial" w:eastAsia="Arial" w:hAnsi="Arial"/>
                <w:sz w:val="14"/>
                <w:szCs w:val="14"/>
                <w:b w:val="1"/>
                <w:bCs w:val="1"/>
                <w:color w:val="003B71"/>
              </w:rPr>
              <w:t>Unexercised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03B71"/>
              </w:rPr>
              <w:t>Unexercised</w:t>
            </w:r>
          </w:p>
        </w:tc>
        <w:tc>
          <w:tcPr>
            <w:tcW w:w="180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003B71"/>
              </w:rPr>
              <w:t>Option</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60" w:type="dxa"/>
            <w:vAlign w:val="bottom"/>
          </w:tcPr>
          <w:p>
            <w:pPr>
              <w:jc w:val="center"/>
              <w:ind w:left="122"/>
              <w:spacing w:after="0" w:line="149" w:lineRule="exact"/>
              <w:rPr>
                <w:sz w:val="20"/>
                <w:szCs w:val="20"/>
                <w:color w:val="auto"/>
              </w:rPr>
            </w:pPr>
            <w:r>
              <w:rPr>
                <w:rFonts w:ascii="Arial" w:cs="Arial" w:eastAsia="Arial" w:hAnsi="Arial"/>
                <w:sz w:val="14"/>
                <w:szCs w:val="14"/>
                <w:b w:val="1"/>
                <w:bCs w:val="1"/>
                <w:color w:val="003B71"/>
              </w:rPr>
              <w:t>Options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003B71"/>
              </w:rPr>
              <w:t>Options</w:t>
            </w:r>
          </w:p>
        </w:tc>
        <w:tc>
          <w:tcPr>
            <w:tcW w:w="18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003B71"/>
              </w:rPr>
              <w:t>Option</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1660" w:type="dxa"/>
            <w:vAlign w:val="bottom"/>
          </w:tcPr>
          <w:p>
            <w:pPr>
              <w:jc w:val="center"/>
              <w:ind w:left="102"/>
              <w:spacing w:after="0"/>
              <w:rPr>
                <w:sz w:val="20"/>
                <w:szCs w:val="20"/>
                <w:color w:val="auto"/>
              </w:rPr>
            </w:pPr>
            <w:r>
              <w:rPr>
                <w:rFonts w:ascii="Arial" w:cs="Arial" w:eastAsia="Arial" w:hAnsi="Arial"/>
                <w:sz w:val="14"/>
                <w:szCs w:val="14"/>
                <w:b w:val="1"/>
                <w:bCs w:val="1"/>
                <w:color w:val="003B71"/>
                <w:w w:val="93"/>
              </w:rPr>
              <w: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003B71"/>
              </w:rPr>
              <w:t>(#)</w:t>
            </w:r>
          </w:p>
        </w:tc>
        <w:tc>
          <w:tcPr>
            <w:tcW w:w="1800" w:type="dxa"/>
            <w:vAlign w:val="bottom"/>
          </w:tcPr>
          <w:p>
            <w:pPr>
              <w:jc w:val="center"/>
              <w:ind w:right="80"/>
              <w:spacing w:after="0"/>
              <w:rPr>
                <w:sz w:val="20"/>
                <w:szCs w:val="20"/>
                <w:color w:val="auto"/>
              </w:rPr>
            </w:pPr>
            <w:r>
              <w:rPr>
                <w:rFonts w:ascii="Arial" w:cs="Arial" w:eastAsia="Arial" w:hAnsi="Arial"/>
                <w:sz w:val="14"/>
                <w:szCs w:val="14"/>
                <w:b w:val="1"/>
                <w:bCs w:val="1"/>
                <w:color w:val="003B71"/>
              </w:rPr>
              <w:t>Exercise Price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003B71"/>
              </w:rPr>
              <w:t>Expiration</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003B71"/>
            </w:tcBorders>
          </w:tcPr>
          <w:p>
            <w:pPr>
              <w:ind w:left="80"/>
              <w:spacing w:after="0"/>
              <w:rPr>
                <w:sz w:val="20"/>
                <w:szCs w:val="20"/>
                <w:color w:val="auto"/>
              </w:rPr>
            </w:pPr>
            <w:r>
              <w:rPr>
                <w:rFonts w:ascii="Arial" w:cs="Arial" w:eastAsia="Arial" w:hAnsi="Arial"/>
                <w:sz w:val="14"/>
                <w:szCs w:val="14"/>
                <w:b w:val="1"/>
                <w:bCs w:val="1"/>
                <w:color w:val="003B71"/>
              </w:rPr>
              <w:t>NAME</w:t>
            </w:r>
          </w:p>
        </w:tc>
        <w:tc>
          <w:tcPr>
            <w:tcW w:w="1660" w:type="dxa"/>
            <w:vAlign w:val="bottom"/>
            <w:tcBorders>
              <w:bottom w:val="single" w:sz="8" w:color="003B71"/>
            </w:tcBorders>
          </w:tcPr>
          <w:p>
            <w:pPr>
              <w:jc w:val="center"/>
              <w:ind w:left="102"/>
              <w:spacing w:after="0"/>
              <w:rPr>
                <w:sz w:val="20"/>
                <w:szCs w:val="20"/>
                <w:color w:val="auto"/>
              </w:rPr>
            </w:pPr>
            <w:r>
              <w:rPr>
                <w:rFonts w:ascii="Arial" w:cs="Arial" w:eastAsia="Arial" w:hAnsi="Arial"/>
                <w:sz w:val="14"/>
                <w:szCs w:val="14"/>
                <w:b w:val="1"/>
                <w:bCs w:val="1"/>
                <w:color w:val="003B71"/>
              </w:rPr>
              <w:t>Exercisable</w:t>
            </w:r>
          </w:p>
        </w:tc>
        <w:tc>
          <w:tcPr>
            <w:tcW w:w="16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Unexercisable</w:t>
            </w:r>
          </w:p>
        </w:tc>
        <w:tc>
          <w:tcPr>
            <w:tcW w:w="1800" w:type="dxa"/>
            <w:vAlign w:val="bottom"/>
            <w:tcBorders>
              <w:bottom w:val="single" w:sz="8" w:color="003B71"/>
            </w:tcBorders>
          </w:tcPr>
          <w:p>
            <w:pPr>
              <w:jc w:val="center"/>
              <w:ind w:right="80"/>
              <w:spacing w:after="0"/>
              <w:rPr>
                <w:sz w:val="20"/>
                <w:szCs w:val="20"/>
                <w:color w:val="auto"/>
              </w:rPr>
            </w:pPr>
            <w:r>
              <w:rPr>
                <w:rFonts w:ascii="Arial" w:cs="Arial" w:eastAsia="Arial" w:hAnsi="Arial"/>
                <w:sz w:val="14"/>
                <w:szCs w:val="14"/>
                <w:b w:val="1"/>
                <w:bCs w:val="1"/>
                <w:color w:val="003B71"/>
                <w:w w:val="93"/>
              </w:rPr>
              <w:t>($)</w:t>
            </w:r>
          </w:p>
        </w:tc>
        <w:tc>
          <w:tcPr>
            <w:tcW w:w="164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Date</w:t>
            </w:r>
          </w:p>
        </w:tc>
        <w:tc>
          <w:tcPr>
            <w:tcW w:w="0" w:type="dxa"/>
            <w:vAlign w:val="bottom"/>
          </w:tcPr>
          <w:p>
            <w:pPr>
              <w:spacing w:after="0"/>
              <w:rPr>
                <w:sz w:val="1"/>
                <w:szCs w:val="1"/>
                <w:color w:val="auto"/>
              </w:rPr>
            </w:pPr>
          </w:p>
        </w:tc>
      </w:tr>
      <w:tr>
        <w:trPr>
          <w:trHeight w:val="183"/>
        </w:trPr>
        <w:tc>
          <w:tcPr>
            <w:tcW w:w="342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Michael J. Griffith</w:t>
            </w:r>
          </w:p>
        </w:tc>
        <w:tc>
          <w:tcPr>
            <w:tcW w:w="1660" w:type="dxa"/>
            <w:vAlign w:val="bottom"/>
            <w:shd w:val="clear" w:color="auto" w:fill="E5E5E5"/>
          </w:tcPr>
          <w:p>
            <w:pPr>
              <w:jc w:val="right"/>
              <w:ind w:right="222"/>
              <w:spacing w:after="0" w:line="183" w:lineRule="exact"/>
              <w:rPr>
                <w:sz w:val="20"/>
                <w:szCs w:val="20"/>
                <w:color w:val="auto"/>
              </w:rPr>
            </w:pPr>
            <w:r>
              <w:rPr>
                <w:rFonts w:ascii="Arial" w:cs="Arial" w:eastAsia="Arial" w:hAnsi="Arial"/>
                <w:sz w:val="16"/>
                <w:szCs w:val="16"/>
                <w:color w:val="auto"/>
              </w:rPr>
              <w:t>23,934(1)</w:t>
            </w:r>
          </w:p>
        </w:tc>
        <w:tc>
          <w:tcPr>
            <w:tcW w:w="1600" w:type="dxa"/>
            <w:vAlign w:val="bottom"/>
            <w:shd w:val="clear" w:color="auto" w:fill="E5E5E5"/>
          </w:tcPr>
          <w:p>
            <w:pPr>
              <w:jc w:val="right"/>
              <w:ind w:right="502"/>
              <w:spacing w:after="0" w:line="183" w:lineRule="exact"/>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line="183" w:lineRule="exact"/>
              <w:rPr>
                <w:sz w:val="20"/>
                <w:szCs w:val="20"/>
                <w:color w:val="auto"/>
              </w:rPr>
            </w:pPr>
            <w:r>
              <w:rPr>
                <w:rFonts w:ascii="Arial" w:cs="Arial" w:eastAsia="Arial" w:hAnsi="Arial"/>
                <w:sz w:val="16"/>
                <w:szCs w:val="16"/>
                <w:color w:val="auto"/>
              </w:rPr>
              <w:t>$ 6.27</w:t>
            </w:r>
          </w:p>
        </w:tc>
        <w:tc>
          <w:tcPr>
            <w:tcW w:w="1640" w:type="dxa"/>
            <w:vAlign w:val="bottom"/>
            <w:shd w:val="clear" w:color="auto" w:fill="E5E5E5"/>
          </w:tcPr>
          <w:p>
            <w:pPr>
              <w:jc w:val="right"/>
              <w:ind w:right="340"/>
              <w:spacing w:after="0" w:line="183" w:lineRule="exact"/>
              <w:rPr>
                <w:sz w:val="20"/>
                <w:szCs w:val="20"/>
                <w:color w:val="auto"/>
              </w:rPr>
            </w:pPr>
            <w:r>
              <w:rPr>
                <w:rFonts w:ascii="Arial" w:cs="Arial" w:eastAsia="Arial" w:hAnsi="Arial"/>
                <w:sz w:val="16"/>
                <w:szCs w:val="16"/>
                <w:color w:val="auto"/>
              </w:rPr>
              <w:t>12/5/2022</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5,203</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$31.71</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4/9/2025</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4,545</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$39.10</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4/7/2026</w:t>
            </w:r>
          </w:p>
        </w:tc>
        <w:tc>
          <w:tcPr>
            <w:tcW w:w="0" w:type="dxa"/>
            <w:vAlign w:val="bottom"/>
          </w:tcPr>
          <w:p>
            <w:pPr>
              <w:spacing w:after="0"/>
              <w:rPr>
                <w:sz w:val="1"/>
                <w:szCs w:val="1"/>
                <w:color w:val="auto"/>
              </w:rPr>
            </w:pPr>
          </w:p>
        </w:tc>
      </w:tr>
      <w:tr>
        <w:trPr>
          <w:trHeight w:val="191"/>
        </w:trPr>
        <w:tc>
          <w:tcPr>
            <w:tcW w:w="3420" w:type="dxa"/>
            <w:vAlign w:val="bottom"/>
          </w:tcPr>
          <w:p>
            <w:pPr>
              <w:ind w:left="80"/>
              <w:spacing w:after="0"/>
              <w:rPr>
                <w:sz w:val="20"/>
                <w:szCs w:val="20"/>
                <w:color w:val="auto"/>
              </w:rPr>
            </w:pPr>
            <w:r>
              <w:rPr>
                <w:rFonts w:ascii="Arial" w:cs="Arial" w:eastAsia="Arial" w:hAnsi="Arial"/>
                <w:sz w:val="16"/>
                <w:szCs w:val="16"/>
                <w:color w:val="auto"/>
              </w:rPr>
              <w:t>Jonathan S. Halkyard</w:t>
            </w: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23,934</w:t>
            </w:r>
          </w:p>
        </w:tc>
        <w:tc>
          <w:tcPr>
            <w:tcW w:w="16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60"/>
              <w:spacing w:after="0"/>
              <w:rPr>
                <w:sz w:val="20"/>
                <w:szCs w:val="20"/>
                <w:color w:val="auto"/>
              </w:rPr>
            </w:pPr>
            <w:r>
              <w:rPr>
                <w:rFonts w:ascii="Arial" w:cs="Arial" w:eastAsia="Arial" w:hAnsi="Arial"/>
                <w:sz w:val="16"/>
                <w:szCs w:val="16"/>
                <w:color w:val="auto"/>
              </w:rPr>
              <w:t>$ 6.27</w:t>
            </w:r>
          </w:p>
        </w:tc>
        <w:tc>
          <w:tcPr>
            <w:tcW w:w="1640" w:type="dxa"/>
            <w:vAlign w:val="bottom"/>
          </w:tcPr>
          <w:p>
            <w:pPr>
              <w:jc w:val="right"/>
              <w:ind w:right="340"/>
              <w:spacing w:after="0"/>
              <w:rPr>
                <w:sz w:val="20"/>
                <w:szCs w:val="20"/>
                <w:color w:val="auto"/>
              </w:rPr>
            </w:pPr>
            <w:r>
              <w:rPr>
                <w:rFonts w:ascii="Arial" w:cs="Arial" w:eastAsia="Arial" w:hAnsi="Arial"/>
                <w:sz w:val="16"/>
                <w:szCs w:val="16"/>
                <w:color w:val="auto"/>
              </w:rPr>
              <w:t>12/5/2022</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5,203</w:t>
            </w:r>
          </w:p>
        </w:tc>
        <w:tc>
          <w:tcPr>
            <w:tcW w:w="16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60"/>
              <w:spacing w:after="0"/>
              <w:rPr>
                <w:sz w:val="20"/>
                <w:szCs w:val="20"/>
                <w:color w:val="auto"/>
              </w:rPr>
            </w:pPr>
            <w:r>
              <w:rPr>
                <w:rFonts w:ascii="Arial" w:cs="Arial" w:eastAsia="Arial" w:hAnsi="Arial"/>
                <w:sz w:val="16"/>
                <w:szCs w:val="16"/>
                <w:color w:val="auto"/>
              </w:rPr>
              <w:t>$31.71</w:t>
            </w:r>
          </w:p>
        </w:tc>
        <w:tc>
          <w:tcPr>
            <w:tcW w:w="1640" w:type="dxa"/>
            <w:vAlign w:val="bottom"/>
          </w:tcPr>
          <w:p>
            <w:pPr>
              <w:jc w:val="right"/>
              <w:ind w:right="340"/>
              <w:spacing w:after="0"/>
              <w:rPr>
                <w:sz w:val="20"/>
                <w:szCs w:val="20"/>
                <w:color w:val="auto"/>
              </w:rPr>
            </w:pPr>
            <w:r>
              <w:rPr>
                <w:rFonts w:ascii="Arial" w:cs="Arial" w:eastAsia="Arial" w:hAnsi="Arial"/>
                <w:sz w:val="16"/>
                <w:szCs w:val="16"/>
                <w:color w:val="auto"/>
              </w:rPr>
              <w:t>4/9/2025</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4,545</w:t>
            </w:r>
          </w:p>
        </w:tc>
        <w:tc>
          <w:tcPr>
            <w:tcW w:w="16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60"/>
              <w:spacing w:after="0"/>
              <w:rPr>
                <w:sz w:val="20"/>
                <w:szCs w:val="20"/>
                <w:color w:val="auto"/>
              </w:rPr>
            </w:pPr>
            <w:r>
              <w:rPr>
                <w:rFonts w:ascii="Arial" w:cs="Arial" w:eastAsia="Arial" w:hAnsi="Arial"/>
                <w:sz w:val="16"/>
                <w:szCs w:val="16"/>
                <w:color w:val="auto"/>
              </w:rPr>
              <w:t>$39.10</w:t>
            </w:r>
          </w:p>
        </w:tc>
        <w:tc>
          <w:tcPr>
            <w:tcW w:w="1640" w:type="dxa"/>
            <w:vAlign w:val="bottom"/>
          </w:tcPr>
          <w:p>
            <w:pPr>
              <w:jc w:val="right"/>
              <w:ind w:right="340"/>
              <w:spacing w:after="0"/>
              <w:rPr>
                <w:sz w:val="20"/>
                <w:szCs w:val="20"/>
                <w:color w:val="auto"/>
              </w:rPr>
            </w:pPr>
            <w:r>
              <w:rPr>
                <w:rFonts w:ascii="Arial" w:cs="Arial" w:eastAsia="Arial" w:hAnsi="Arial"/>
                <w:sz w:val="16"/>
                <w:szCs w:val="16"/>
                <w:color w:val="auto"/>
              </w:rPr>
              <w:t>4/7/2026</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ind w:left="80"/>
              <w:spacing w:after="0"/>
              <w:rPr>
                <w:sz w:val="20"/>
                <w:szCs w:val="20"/>
                <w:color w:val="auto"/>
              </w:rPr>
            </w:pPr>
            <w:r>
              <w:rPr>
                <w:rFonts w:ascii="Arial" w:cs="Arial" w:eastAsia="Arial" w:hAnsi="Arial"/>
                <w:sz w:val="16"/>
                <w:szCs w:val="16"/>
                <w:color w:val="auto"/>
              </w:rPr>
              <w:t>Stephen M. King</w:t>
            </w: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184,615</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$16.00</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10/9/2024</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68,775</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$31.71</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4/9/2025</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72,833</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$39.10</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4/7/2026</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43,767</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$59.67</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4/7/2027</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16,276</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8,138</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$41.65</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4/12/2028</w:t>
            </w:r>
          </w:p>
        </w:tc>
        <w:tc>
          <w:tcPr>
            <w:tcW w:w="0" w:type="dxa"/>
            <w:vAlign w:val="bottom"/>
          </w:tcPr>
          <w:p>
            <w:pPr>
              <w:spacing w:after="0"/>
              <w:rPr>
                <w:sz w:val="1"/>
                <w:szCs w:val="1"/>
                <w:color w:val="auto"/>
              </w:rPr>
            </w:pPr>
          </w:p>
        </w:tc>
      </w:tr>
      <w:tr>
        <w:trPr>
          <w:trHeight w:val="191"/>
        </w:trPr>
        <w:tc>
          <w:tcPr>
            <w:tcW w:w="3420" w:type="dxa"/>
            <w:vAlign w:val="bottom"/>
          </w:tcPr>
          <w:p>
            <w:pPr>
              <w:ind w:left="80"/>
              <w:spacing w:after="0"/>
              <w:rPr>
                <w:sz w:val="20"/>
                <w:szCs w:val="20"/>
                <w:color w:val="auto"/>
              </w:rPr>
            </w:pPr>
            <w:r>
              <w:rPr>
                <w:rFonts w:ascii="Arial" w:cs="Arial" w:eastAsia="Arial" w:hAnsi="Arial"/>
                <w:sz w:val="16"/>
                <w:szCs w:val="16"/>
                <w:color w:val="auto"/>
              </w:rPr>
              <w:t>Patricia H. Mueller</w:t>
            </w: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5,004</w:t>
            </w:r>
          </w:p>
        </w:tc>
        <w:tc>
          <w:tcPr>
            <w:tcW w:w="16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60"/>
              <w:spacing w:after="0"/>
              <w:rPr>
                <w:sz w:val="20"/>
                <w:szCs w:val="20"/>
                <w:color w:val="auto"/>
              </w:rPr>
            </w:pPr>
            <w:r>
              <w:rPr>
                <w:rFonts w:ascii="Arial" w:cs="Arial" w:eastAsia="Arial" w:hAnsi="Arial"/>
                <w:sz w:val="16"/>
                <w:szCs w:val="16"/>
                <w:color w:val="auto"/>
              </w:rPr>
              <w:t>$33.15</w:t>
            </w:r>
          </w:p>
        </w:tc>
        <w:tc>
          <w:tcPr>
            <w:tcW w:w="1640" w:type="dxa"/>
            <w:vAlign w:val="bottom"/>
          </w:tcPr>
          <w:p>
            <w:pPr>
              <w:jc w:val="right"/>
              <w:ind w:right="340"/>
              <w:spacing w:after="0"/>
              <w:rPr>
                <w:sz w:val="20"/>
                <w:szCs w:val="20"/>
                <w:color w:val="auto"/>
              </w:rPr>
            </w:pPr>
            <w:r>
              <w:rPr>
                <w:rFonts w:ascii="Arial" w:cs="Arial" w:eastAsia="Arial" w:hAnsi="Arial"/>
                <w:sz w:val="16"/>
                <w:szCs w:val="16"/>
                <w:color w:val="auto"/>
              </w:rPr>
              <w:t>4/20/2025</w:t>
            </w: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660" w:type="dxa"/>
            <w:vAlign w:val="bottom"/>
          </w:tcPr>
          <w:p>
            <w:pPr>
              <w:jc w:val="right"/>
              <w:ind w:right="402"/>
              <w:spacing w:after="0"/>
              <w:rPr>
                <w:sz w:val="20"/>
                <w:szCs w:val="20"/>
                <w:color w:val="auto"/>
              </w:rPr>
            </w:pPr>
            <w:r>
              <w:rPr>
                <w:rFonts w:ascii="Arial" w:cs="Arial" w:eastAsia="Arial" w:hAnsi="Arial"/>
                <w:sz w:val="16"/>
                <w:szCs w:val="16"/>
                <w:color w:val="auto"/>
              </w:rPr>
              <w:t>4,545</w:t>
            </w:r>
          </w:p>
        </w:tc>
        <w:tc>
          <w:tcPr>
            <w:tcW w:w="16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560"/>
              <w:spacing w:after="0"/>
              <w:rPr>
                <w:sz w:val="20"/>
                <w:szCs w:val="20"/>
                <w:color w:val="auto"/>
              </w:rPr>
            </w:pPr>
            <w:r>
              <w:rPr>
                <w:rFonts w:ascii="Arial" w:cs="Arial" w:eastAsia="Arial" w:hAnsi="Arial"/>
                <w:sz w:val="16"/>
                <w:szCs w:val="16"/>
                <w:color w:val="auto"/>
              </w:rPr>
              <w:t>$39.10</w:t>
            </w:r>
          </w:p>
        </w:tc>
        <w:tc>
          <w:tcPr>
            <w:tcW w:w="1640" w:type="dxa"/>
            <w:vAlign w:val="bottom"/>
          </w:tcPr>
          <w:p>
            <w:pPr>
              <w:jc w:val="right"/>
              <w:ind w:right="340"/>
              <w:spacing w:after="0"/>
              <w:rPr>
                <w:sz w:val="20"/>
                <w:szCs w:val="20"/>
                <w:color w:val="auto"/>
              </w:rPr>
            </w:pPr>
            <w:r>
              <w:rPr>
                <w:rFonts w:ascii="Arial" w:cs="Arial" w:eastAsia="Arial" w:hAnsi="Arial"/>
                <w:sz w:val="16"/>
                <w:szCs w:val="16"/>
                <w:color w:val="auto"/>
              </w:rPr>
              <w:t>4/7/2026</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ind w:left="80"/>
              <w:spacing w:after="0"/>
              <w:rPr>
                <w:sz w:val="20"/>
                <w:szCs w:val="20"/>
                <w:color w:val="auto"/>
              </w:rPr>
            </w:pPr>
            <w:r>
              <w:rPr>
                <w:rFonts w:ascii="Arial" w:cs="Arial" w:eastAsia="Arial" w:hAnsi="Arial"/>
                <w:sz w:val="16"/>
                <w:szCs w:val="16"/>
                <w:color w:val="auto"/>
              </w:rPr>
              <w:t>Kevin M. Sheehan</w:t>
            </w:r>
          </w:p>
        </w:tc>
        <w:tc>
          <w:tcPr>
            <w:tcW w:w="1660" w:type="dxa"/>
            <w:vAlign w:val="bottom"/>
            <w:shd w:val="clear" w:color="auto" w:fill="E5E5E5"/>
          </w:tcPr>
          <w:p>
            <w:pPr>
              <w:jc w:val="right"/>
              <w:ind w:right="222"/>
              <w:spacing w:after="0"/>
              <w:rPr>
                <w:sz w:val="20"/>
                <w:szCs w:val="20"/>
                <w:color w:val="auto"/>
              </w:rPr>
            </w:pPr>
            <w:r>
              <w:rPr>
                <w:rFonts w:ascii="Arial" w:cs="Arial" w:eastAsia="Arial" w:hAnsi="Arial"/>
                <w:sz w:val="16"/>
                <w:szCs w:val="16"/>
                <w:color w:val="auto"/>
              </w:rPr>
              <w:t>23,934(2)</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$ 6.27</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12/5/2022</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5,203</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$31.71</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4/9/2025</w:t>
            </w:r>
          </w:p>
        </w:tc>
        <w:tc>
          <w:tcPr>
            <w:tcW w:w="0" w:type="dxa"/>
            <w:vAlign w:val="bottom"/>
          </w:tcPr>
          <w:p>
            <w:pPr>
              <w:spacing w:after="0"/>
              <w:rPr>
                <w:sz w:val="1"/>
                <w:szCs w:val="1"/>
                <w:color w:val="auto"/>
              </w:rPr>
            </w:pPr>
          </w:p>
        </w:tc>
      </w:tr>
      <w:tr>
        <w:trPr>
          <w:trHeight w:val="189"/>
        </w:trPr>
        <w:tc>
          <w:tcPr>
            <w:tcW w:w="3420" w:type="dxa"/>
            <w:vAlign w:val="bottom"/>
            <w:shd w:val="clear" w:color="auto" w:fill="E5E5E5"/>
          </w:tcPr>
          <w:p>
            <w:pPr>
              <w:spacing w:after="0"/>
              <w:rPr>
                <w:sz w:val="16"/>
                <w:szCs w:val="16"/>
                <w:color w:val="auto"/>
              </w:rPr>
            </w:pPr>
          </w:p>
        </w:tc>
        <w:tc>
          <w:tcPr>
            <w:tcW w:w="16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4,545</w:t>
            </w:r>
          </w:p>
        </w:tc>
        <w:tc>
          <w:tcPr>
            <w:tcW w:w="1600" w:type="dxa"/>
            <w:vAlign w:val="bottom"/>
            <w:shd w:val="clear" w:color="auto" w:fill="E5E5E5"/>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shd w:val="clear" w:color="auto" w:fill="E5E5E5"/>
          </w:tcPr>
          <w:p>
            <w:pPr>
              <w:jc w:val="right"/>
              <w:ind w:right="560"/>
              <w:spacing w:after="0"/>
              <w:rPr>
                <w:sz w:val="20"/>
                <w:szCs w:val="20"/>
                <w:color w:val="auto"/>
              </w:rPr>
            </w:pPr>
            <w:r>
              <w:rPr>
                <w:rFonts w:ascii="Arial" w:cs="Arial" w:eastAsia="Arial" w:hAnsi="Arial"/>
                <w:sz w:val="16"/>
                <w:szCs w:val="16"/>
                <w:color w:val="auto"/>
              </w:rPr>
              <w:t>$39.10</w:t>
            </w:r>
          </w:p>
        </w:tc>
        <w:tc>
          <w:tcPr>
            <w:tcW w:w="1640" w:type="dxa"/>
            <w:vAlign w:val="bottom"/>
            <w:shd w:val="clear" w:color="auto" w:fill="E5E5E5"/>
          </w:tcPr>
          <w:p>
            <w:pPr>
              <w:jc w:val="right"/>
              <w:ind w:right="340"/>
              <w:spacing w:after="0"/>
              <w:rPr>
                <w:sz w:val="20"/>
                <w:szCs w:val="20"/>
                <w:color w:val="auto"/>
              </w:rPr>
            </w:pPr>
            <w:r>
              <w:rPr>
                <w:rFonts w:ascii="Arial" w:cs="Arial" w:eastAsia="Arial" w:hAnsi="Arial"/>
                <w:sz w:val="16"/>
                <w:szCs w:val="16"/>
                <w:color w:val="auto"/>
              </w:rPr>
              <w:t>4/7/2026</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Jennifer Storms</w:t>
            </w:r>
          </w:p>
        </w:tc>
        <w:tc>
          <w:tcPr>
            <w:tcW w:w="1660" w:type="dxa"/>
            <w:vAlign w:val="bottom"/>
            <w:tcBorders>
              <w:bottom w:val="single" w:sz="8" w:color="003B71"/>
            </w:tcBorders>
          </w:tcPr>
          <w:p>
            <w:pPr>
              <w:jc w:val="right"/>
              <w:ind w:right="402"/>
              <w:spacing w:after="0"/>
              <w:rPr>
                <w:sz w:val="20"/>
                <w:szCs w:val="20"/>
                <w:color w:val="auto"/>
              </w:rPr>
            </w:pPr>
            <w:r>
              <w:rPr>
                <w:rFonts w:ascii="Arial" w:cs="Arial" w:eastAsia="Arial" w:hAnsi="Arial"/>
                <w:sz w:val="16"/>
                <w:szCs w:val="16"/>
                <w:color w:val="auto"/>
              </w:rPr>
              <w:t>4,224</w:t>
            </w:r>
          </w:p>
        </w:tc>
        <w:tc>
          <w:tcPr>
            <w:tcW w:w="1600" w:type="dxa"/>
            <w:vAlign w:val="bottom"/>
            <w:tcBorders>
              <w:bottom w:val="single" w:sz="8" w:color="003B71"/>
            </w:tcBorders>
          </w:tcPr>
          <w:p>
            <w:pPr>
              <w:jc w:val="right"/>
              <w:ind w:right="50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3B71"/>
            </w:tcBorders>
          </w:tcPr>
          <w:p>
            <w:pPr>
              <w:jc w:val="right"/>
              <w:ind w:right="560"/>
              <w:spacing w:after="0"/>
              <w:rPr>
                <w:sz w:val="20"/>
                <w:szCs w:val="20"/>
                <w:color w:val="auto"/>
              </w:rPr>
            </w:pPr>
            <w:r>
              <w:rPr>
                <w:rFonts w:ascii="Arial" w:cs="Arial" w:eastAsia="Arial" w:hAnsi="Arial"/>
                <w:sz w:val="16"/>
                <w:szCs w:val="16"/>
                <w:color w:val="auto"/>
              </w:rPr>
              <w:t>$41.60</w:t>
            </w:r>
          </w:p>
        </w:tc>
        <w:tc>
          <w:tcPr>
            <w:tcW w:w="1640" w:type="dxa"/>
            <w:vAlign w:val="bottom"/>
            <w:tcBorders>
              <w:bottom w:val="single" w:sz="8" w:color="003B71"/>
            </w:tcBorders>
          </w:tcPr>
          <w:p>
            <w:pPr>
              <w:jc w:val="right"/>
              <w:ind w:right="340"/>
              <w:spacing w:after="0"/>
              <w:rPr>
                <w:sz w:val="20"/>
                <w:szCs w:val="20"/>
                <w:color w:val="auto"/>
              </w:rPr>
            </w:pPr>
            <w:r>
              <w:rPr>
                <w:rFonts w:ascii="Arial" w:cs="Arial" w:eastAsia="Arial" w:hAnsi="Arial"/>
                <w:sz w:val="16"/>
                <w:szCs w:val="16"/>
                <w:color w:val="auto"/>
              </w:rPr>
              <w:t>4/14/2026</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April 5, 2021, Mr. Griffith exercised and sold all of these options.</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April 5-6, &amp; 9, 2021, Mr. Sheehan exercised and sold all of these options.</w:t>
      </w:r>
    </w:p>
    <w:p>
      <w:pPr>
        <w:spacing w:after="0" w:line="218"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In addition to reimbursement for out-of-pocket expenses incurred in connection with their Board service, our non-employee Board members receive an annual stipend and equity grant for serving as members of our Board of Directors. During fiscal 2020, each non-employee director was to receive an annual stipend of $70,000, paid in quarterly installments, and an annual equity grant of restricted stock units with a value of approximately $125,000. In addition, a non-employee director receives $50,000 for serving as our Chair, $50,000 for serving as Lead Independent Director, $25,000 for serving as Chair of our Audit Committee, $20,000 for serving as Chair of our Finance Committee, $20,000 for serving as Chair of our Compensation Committee, $15,000 for serving as Chair of our Nominating and Corporate Governance Committee, and $5,000 for being a non-chair member of a standing Committee, each of the foregoing paid in quarterly installments. Mr. King, as Chair of the Board, would receive an annual stipend of $70,000 and the $50,000 fee for serving as Chair and an annual equity grant of restricted stock units with a value of approximately $125,000. As noted above, following the onset of the COVID-19 Pandemic, the Board waived all remaining cash compensation for fiscal 2020, and directors accordingly only received cash compensation for the first quarter of the year. The Compensation Committee reviews the compensation to non-employee directors on a biennial basis. Each of Messrs. Griffith, Halkyard, King and Sheehan participate in the Dave &amp; Buster’s Entertainment, Inc. 2010 Management Incentive Plan (the “2010 Stock Incentive Plan”) and the Dave &amp; Buster’s Entertainment, Inc. Amended and Restated 2014 Omnibus Incentive Plan (the “2014 Stock Incentive Plan”). Mr. Crawford, Mr. Dodds, Ms. Mueller and Ms. Storms participate in the 2014 Stock Incentive Plan. Messrs. Chambers and Hockin do not participate in either plan as neither has received any stock grants.</w:t>
      </w:r>
    </w:p>
    <w:p>
      <w:pPr>
        <w:spacing w:after="0" w:line="13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Company has a stock ownership requirement for non-employee directors to align the interests of its non- employee directors with the interests of the shareholders and to further promote the Company’s commitment to sound corporate governance. Under this requirement, a non-employee director must own shares of the Company’s stock with a fair market value equal to five (5) times the director’s annual cash retainer. Each non-employee director has five (5) years from the date of initial appointment or election to the Board to meet this requirement. If at time of measurement, a director is not in compliance with this guideline, the director is prohibited from selling 50% of any new equity award issued to them (net of taxes) until such time as they come into compliance.</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Mr. King, as Chair of the Board, is governed by the same stock ownership guidelines that apply to non-employee directors. Mr. Jenkins, as an employee director, is governed by the stock ownership guidelines for executive officers. These guidelines are detailed under “Stock Ownership Guidelines” elsewhere in the Executive Compensation section of this Proxy Statement.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Policy Regarding Shareholder Recommendations for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Company identifies new director candidates through a variety of sources. The Nominating and Corporate Governance Committee will consider director candidates recommended by shareholders in the same manner it considers other candidates, as described below. Shareholders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Corporate Secretary, Dave &amp; Buster’s Entertainment, Inc., 2481 Mañana Drive, Dallas, Texas 75220 or by email at corporatesecretary@daveandbusters.com.</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Shareholders may also propose director nominees by adhering to the advance notice procedure described under “Shareholder Proposals” elsewhere in this Proxy Statement.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Nominating and Corporate Governance Committee and the Board believe that candidates for director should have certain minimum qualifications, including, without limitation:</w:t>
      </w:r>
    </w:p>
    <w:p>
      <w:pPr>
        <w:spacing w:after="0" w:line="62" w:lineRule="exact"/>
        <w:rPr>
          <w:sz w:val="20"/>
          <w:szCs w:val="20"/>
          <w:color w:val="auto"/>
        </w:rPr>
      </w:pPr>
    </w:p>
    <w:p>
      <w:pPr>
        <w:ind w:left="540" w:hanging="316"/>
        <w:spacing w:after="0"/>
        <w:tabs>
          <w:tab w:leader="none" w:pos="540" w:val="left"/>
        </w:tabs>
        <w:numPr>
          <w:ilvl w:val="0"/>
          <w:numId w:val="63"/>
        </w:numPr>
        <w:rPr>
          <w:rFonts w:ascii="Arial" w:cs="Arial" w:eastAsia="Arial" w:hAnsi="Arial"/>
          <w:sz w:val="18"/>
          <w:szCs w:val="18"/>
          <w:color w:val="003B71"/>
        </w:rPr>
      </w:pPr>
      <w:r>
        <w:rPr>
          <w:rFonts w:ascii="Arial" w:cs="Arial" w:eastAsia="Arial" w:hAnsi="Arial"/>
          <w:sz w:val="18"/>
          <w:szCs w:val="18"/>
          <w:color w:val="auto"/>
        </w:rPr>
        <w:t>demonstrated business acumen and leadership, and high levels of accomplishment;</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63"/>
        </w:numPr>
        <w:rPr>
          <w:rFonts w:ascii="Arial" w:cs="Arial" w:eastAsia="Arial" w:hAnsi="Arial"/>
          <w:sz w:val="18"/>
          <w:szCs w:val="18"/>
          <w:color w:val="003B71"/>
        </w:rPr>
      </w:pPr>
      <w:r>
        <w:rPr>
          <w:rFonts w:ascii="Arial" w:cs="Arial" w:eastAsia="Arial" w:hAnsi="Arial"/>
          <w:sz w:val="18"/>
          <w:szCs w:val="18"/>
          <w:color w:val="auto"/>
        </w:rPr>
        <w:t>ability to exercise sound business judgment and to provide insight and practical wisdom based on experience;</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63"/>
        </w:numPr>
        <w:rPr>
          <w:rFonts w:ascii="Arial" w:cs="Arial" w:eastAsia="Arial" w:hAnsi="Arial"/>
          <w:sz w:val="18"/>
          <w:szCs w:val="18"/>
          <w:color w:val="003B71"/>
        </w:rPr>
      </w:pPr>
      <w:r>
        <w:rPr>
          <w:rFonts w:ascii="Arial" w:cs="Arial" w:eastAsia="Arial" w:hAnsi="Arial"/>
          <w:sz w:val="18"/>
          <w:szCs w:val="18"/>
          <w:color w:val="auto"/>
        </w:rPr>
        <w:t>commitment to understand the Company and its business, industry and strategic objectives;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63"/>
        </w:numPr>
        <w:rPr>
          <w:rFonts w:ascii="Arial" w:cs="Arial" w:eastAsia="Arial" w:hAnsi="Arial"/>
          <w:sz w:val="18"/>
          <w:szCs w:val="18"/>
          <w:color w:val="003B71"/>
        </w:rPr>
      </w:pPr>
      <w:r>
        <w:rPr>
          <w:rFonts w:ascii="Arial" w:cs="Arial" w:eastAsia="Arial" w:hAnsi="Arial"/>
          <w:sz w:val="18"/>
          <w:szCs w:val="18"/>
          <w:color w:val="auto"/>
        </w:rPr>
        <w:t>integrity and adherence to high personal ethics and values, consistent with our Code of Business Conduct and Ethics;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63"/>
        </w:numPr>
        <w:rPr>
          <w:rFonts w:ascii="Arial" w:cs="Arial" w:eastAsia="Arial" w:hAnsi="Arial"/>
          <w:sz w:val="18"/>
          <w:szCs w:val="18"/>
          <w:color w:val="003B71"/>
        </w:rPr>
      </w:pPr>
      <w:r>
        <w:rPr>
          <w:rFonts w:ascii="Arial" w:cs="Arial" w:eastAsia="Arial" w:hAnsi="Arial"/>
          <w:sz w:val="18"/>
          <w:szCs w:val="18"/>
          <w:color w:val="auto"/>
        </w:rPr>
        <w:t>ability to read and understand financial statements and other financial information pertaining to the Company;</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63"/>
        </w:numPr>
        <w:rPr>
          <w:rFonts w:ascii="Arial" w:cs="Arial" w:eastAsia="Arial" w:hAnsi="Arial"/>
          <w:sz w:val="18"/>
          <w:szCs w:val="18"/>
          <w:color w:val="003B71"/>
        </w:rPr>
      </w:pPr>
      <w:r>
        <w:rPr>
          <w:rFonts w:ascii="Arial" w:cs="Arial" w:eastAsia="Arial" w:hAnsi="Arial"/>
          <w:sz w:val="18"/>
          <w:szCs w:val="18"/>
          <w:color w:val="auto"/>
        </w:rPr>
        <w:t>commitment to enhancing shareholder value; and</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63"/>
        </w:numPr>
        <w:rPr>
          <w:rFonts w:ascii="Arial" w:cs="Arial" w:eastAsia="Arial" w:hAnsi="Arial"/>
          <w:sz w:val="18"/>
          <w:szCs w:val="18"/>
          <w:color w:val="003B71"/>
        </w:rPr>
      </w:pPr>
      <w:r>
        <w:rPr>
          <w:rFonts w:ascii="Arial" w:cs="Arial" w:eastAsia="Arial" w:hAnsi="Arial"/>
          <w:sz w:val="18"/>
          <w:szCs w:val="18"/>
          <w:color w:val="auto"/>
        </w:rPr>
        <w:t>willingness to act in the long-term interest of all shareholders.</w:t>
      </w:r>
    </w:p>
    <w:p>
      <w:pPr>
        <w:spacing w:after="0" w:line="21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the context of the Board’s existing composition, other requirements (such as prior CEO experience, restaurant, hospitality, gaming, sports-related marketing and branding, or retail industry experience, or relevant senior level experience in finance, accounting, sales and marketing, organizational development, information technology, or public relations) that are expected to contribute to the Board’s overall effectiveness and meet the needs of the Board and its committees may be considered. The Company values diversity and seeks to achieve diversity of occupational, demographic and personal backgrounds on the Board but has not adopted a specific policy regarding Board diversity. The Nominating and Corporate Governance Committee assesses the effectiveness of its diversity efforts in connection with its periodic evaluation of the Board’s composition.</w:t>
      </w:r>
    </w:p>
    <w:p>
      <w:pPr>
        <w:spacing w:after="0" w:line="12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19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Current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Nominating and Corporate Governance Committee conducted an evaluation and assessment of all of the current directors (other than Messrs. Halkyard and King who are not standing for re-election) for purposes of determining whether to recommend them for nomination for re-election to the Board of Directors. After reviewing the assessment results, the Nominating and Corporate Governance Committee recommended that Messrs. Chambers, Dodds, Griffith, Hockin, Jenkins, Shah, and Sheehan and Mss. Mueller and Storms be nominated for election to the Board of Directors. The Board accepted the recommendations and nominated such persons. The Nominating and Corporate Governance Committee did not receive any recommendations from shareholders proposing candidates for election to the Board at the Annual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Code of Business Conduct and Ethics and Whistle 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Code of Business Conduct and Ethics applies to our directors, officers and other employees and is available on our website at http://ir.daveandbusters.com/corporate-governance. We intend to post any material amendments or waivers of our Code of Business Conduct and Ethics that apply to our executive officers on this website. In fiscal 2020, we did not post any material amendments to or waivers of the Code of Business Conduct and Ethics on our website. In addition, our Whistle Blower Policy is available on our website at http://ir.daveandbusters.com/corporate- governance.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During fiscal 2020, the members of our Compensation Committee were Mr. Chambers (following his appointment in December 2020), Mr. Crawford (until the end of his term in June 2020), Mr. Griffith, Mr. Hockin (following his appointment in May 2020), Ms. Mueller and Ms. Storms. None of our executive officers serve on the compensation committee or board of directors of any other company of which any of the members of our Compensation Committee or any of our directors is an executive officer.</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If shareholders wish to communicate with the Board of Directors or with an individual director, they may direct such communications in care of the General Counsel, 2481 Mañana Drive, Dallas, Texas 75220. The communication must be clearly addressed to the Board of Directors or to a specific director. The Board of Directors has instructed the General Counsel to review and forward any such correspondence to the appropriate person or persons for response.</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left="420" w:right="800"/>
        <w:spacing w:after="0" w:line="248" w:lineRule="auto"/>
        <w:rPr>
          <w:sz w:val="20"/>
          <w:szCs w:val="20"/>
          <w:color w:val="auto"/>
        </w:rPr>
      </w:pPr>
      <w:r>
        <w:rPr>
          <w:rFonts w:ascii="Arial" w:cs="Arial" w:eastAsia="Arial" w:hAnsi="Arial"/>
          <w:sz w:val="40"/>
          <w:szCs w:val="40"/>
          <w:color w:val="003B71"/>
        </w:rPr>
        <w:t>SECURITY OWNERSHIP OF CERTAIN BENEFICIAL OWNERS AND MANAGEMENT</w:t>
      </w:r>
    </w:p>
    <w:p>
      <w:pPr>
        <w:spacing w:after="0" w:line="17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table shows the ownership of our common stock by (a) all persons known by us to beneficially own more than 5% of our common stock, (b) each present director, (c) the named executive officers, and (d) all executive officers and directors as a group.</w:t>
      </w:r>
    </w:p>
    <w:p>
      <w:pPr>
        <w:spacing w:after="0" w:line="197"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determined beneficial ownership in accordance with the rules of the SEC, and unless otherwise indicated below, to our knowledge, the persons and entities named in the table have sole voting and sole investment power with respect to all shares that they beneficially own, subject to community property laws where applicable.</w:t>
      </w:r>
    </w:p>
    <w:p>
      <w:pPr>
        <w:spacing w:after="0" w:line="20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have based our calculation of the percentage of beneficial ownership on 47,770,516 shares of our common stock outstanding as of April 8, 2021, unless otherwise indicated in the footnotes below. We have deemed shares of our common stock subject to stock options that are currently exercisable or exercisable within 60 days of April 8, 2021 to be outstanding and to be beneficially owned by the person holding the stock option for the purpose of computing the percentage ownership of that person. Unless otherwise noted, the address of each beneficial owner is c/o Dave &amp; Buster’s Entertainment, Inc., 2481 Mañana Drive, Dallas, Texas 75220.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4120" w:type="dxa"/>
            <w:vAlign w:val="bottom"/>
          </w:tcPr>
          <w:p>
            <w:pPr>
              <w:jc w:val="center"/>
              <w:ind w:left="868"/>
              <w:spacing w:after="0"/>
              <w:rPr>
                <w:sz w:val="20"/>
                <w:szCs w:val="20"/>
                <w:color w:val="auto"/>
              </w:rPr>
            </w:pPr>
            <w:r>
              <w:rPr>
                <w:rFonts w:ascii="Arial" w:cs="Arial" w:eastAsia="Arial" w:hAnsi="Arial"/>
                <w:sz w:val="14"/>
                <w:szCs w:val="14"/>
                <w:b w:val="1"/>
                <w:bCs w:val="1"/>
                <w:color w:val="003B71"/>
              </w:rPr>
              <w:t>Number of Shares of Common</w:t>
            </w:r>
          </w:p>
        </w:tc>
        <w:tc>
          <w:tcPr>
            <w:tcW w:w="124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4120" w:type="dxa"/>
            <w:vAlign w:val="bottom"/>
          </w:tcPr>
          <w:p>
            <w:pPr>
              <w:jc w:val="center"/>
              <w:ind w:left="868"/>
              <w:spacing w:after="0"/>
              <w:rPr>
                <w:sz w:val="20"/>
                <w:szCs w:val="20"/>
                <w:color w:val="auto"/>
              </w:rPr>
            </w:pPr>
            <w:r>
              <w:rPr>
                <w:rFonts w:ascii="Arial" w:cs="Arial" w:eastAsia="Arial" w:hAnsi="Arial"/>
                <w:sz w:val="14"/>
                <w:szCs w:val="14"/>
                <w:b w:val="1"/>
                <w:bCs w:val="1"/>
                <w:color w:val="003B71"/>
              </w:rPr>
              <w:t>Stock Beneficially Owned as of</w:t>
            </w:r>
          </w:p>
        </w:tc>
        <w:tc>
          <w:tcPr>
            <w:tcW w:w="1240" w:type="dxa"/>
            <w:vAlign w:val="bottom"/>
          </w:tcPr>
          <w:p>
            <w:pPr>
              <w:spacing w:after="0"/>
              <w:rPr>
                <w:sz w:val="14"/>
                <w:szCs w:val="14"/>
                <w:color w:val="auto"/>
              </w:rPr>
            </w:pPr>
          </w:p>
        </w:tc>
      </w:tr>
      <w:tr>
        <w:trPr>
          <w:trHeight w:val="189"/>
        </w:trPr>
        <w:tc>
          <w:tcPr>
            <w:tcW w:w="566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 of Beneficial Owner</w:t>
            </w:r>
          </w:p>
        </w:tc>
        <w:tc>
          <w:tcPr>
            <w:tcW w:w="4120" w:type="dxa"/>
            <w:vAlign w:val="bottom"/>
            <w:tcBorders>
              <w:bottom w:val="single" w:sz="8" w:color="003B71"/>
            </w:tcBorders>
          </w:tcPr>
          <w:p>
            <w:pPr>
              <w:jc w:val="center"/>
              <w:ind w:left="868"/>
              <w:spacing w:after="0"/>
              <w:rPr>
                <w:sz w:val="20"/>
                <w:szCs w:val="20"/>
                <w:color w:val="auto"/>
              </w:rPr>
            </w:pPr>
            <w:r>
              <w:rPr>
                <w:rFonts w:ascii="Arial" w:cs="Arial" w:eastAsia="Arial" w:hAnsi="Arial"/>
                <w:sz w:val="14"/>
                <w:szCs w:val="14"/>
                <w:b w:val="1"/>
                <w:bCs w:val="1"/>
                <w:color w:val="003B71"/>
              </w:rPr>
              <w:t>April 8, 2021</w:t>
            </w:r>
          </w:p>
        </w:tc>
        <w:tc>
          <w:tcPr>
            <w:tcW w:w="1240" w:type="dxa"/>
            <w:vAlign w:val="bottom"/>
            <w:tcBorders>
              <w:bottom w:val="single" w:sz="8" w:color="003B71"/>
            </w:tcBorders>
          </w:tcPr>
          <w:p>
            <w:pPr>
              <w:jc w:val="right"/>
              <w:ind w:right="108"/>
              <w:spacing w:after="0"/>
              <w:rPr>
                <w:sz w:val="20"/>
                <w:szCs w:val="20"/>
                <w:color w:val="auto"/>
              </w:rPr>
            </w:pPr>
            <w:r>
              <w:rPr>
                <w:rFonts w:ascii="Arial" w:cs="Arial" w:eastAsia="Arial" w:hAnsi="Arial"/>
                <w:sz w:val="14"/>
                <w:szCs w:val="14"/>
                <w:b w:val="1"/>
                <w:bCs w:val="1"/>
                <w:color w:val="003B71"/>
              </w:rPr>
              <w:t>Percent</w:t>
            </w:r>
          </w:p>
        </w:tc>
      </w:tr>
      <w:tr>
        <w:trPr>
          <w:trHeight w:val="156"/>
        </w:trPr>
        <w:tc>
          <w:tcPr>
            <w:tcW w:w="5660" w:type="dxa"/>
            <w:vAlign w:val="bottom"/>
            <w:shd w:val="clear" w:color="auto" w:fill="E5E5E5"/>
          </w:tcPr>
          <w:p>
            <w:pPr>
              <w:ind w:left="100"/>
              <w:spacing w:after="0" w:line="155" w:lineRule="exact"/>
              <w:rPr>
                <w:sz w:val="20"/>
                <w:szCs w:val="20"/>
                <w:color w:val="auto"/>
              </w:rPr>
            </w:pPr>
            <w:r>
              <w:rPr>
                <w:rFonts w:ascii="Arial" w:cs="Arial" w:eastAsia="Arial" w:hAnsi="Arial"/>
                <w:sz w:val="14"/>
                <w:szCs w:val="14"/>
                <w:color w:val="auto"/>
              </w:rPr>
              <w:t>5% Shareholders</w:t>
            </w:r>
          </w:p>
        </w:tc>
        <w:tc>
          <w:tcPr>
            <w:tcW w:w="4120" w:type="dxa"/>
            <w:vAlign w:val="bottom"/>
            <w:shd w:val="clear" w:color="auto" w:fill="E5E5E5"/>
          </w:tcPr>
          <w:p>
            <w:pPr>
              <w:spacing w:after="0"/>
              <w:rPr>
                <w:sz w:val="13"/>
                <w:szCs w:val="13"/>
                <w:color w:val="auto"/>
              </w:rPr>
            </w:pPr>
          </w:p>
        </w:tc>
        <w:tc>
          <w:tcPr>
            <w:tcW w:w="1240" w:type="dxa"/>
            <w:vAlign w:val="bottom"/>
            <w:shd w:val="clear" w:color="auto" w:fill="E5E5E5"/>
          </w:tcPr>
          <w:p>
            <w:pPr>
              <w:spacing w:after="0"/>
              <w:rPr>
                <w:sz w:val="13"/>
                <w:szCs w:val="13"/>
                <w:color w:val="auto"/>
              </w:rPr>
            </w:pPr>
          </w:p>
        </w:tc>
      </w:tr>
      <w:tr>
        <w:trPr>
          <w:trHeight w:val="159"/>
        </w:trPr>
        <w:tc>
          <w:tcPr>
            <w:tcW w:w="5660" w:type="dxa"/>
            <w:vAlign w:val="bottom"/>
          </w:tcPr>
          <w:p>
            <w:pPr>
              <w:ind w:left="460"/>
              <w:spacing w:after="0" w:line="159" w:lineRule="exact"/>
              <w:rPr>
                <w:sz w:val="20"/>
                <w:szCs w:val="20"/>
                <w:color w:val="auto"/>
              </w:rPr>
            </w:pPr>
            <w:r>
              <w:rPr>
                <w:rFonts w:ascii="Arial" w:cs="Arial" w:eastAsia="Arial" w:hAnsi="Arial"/>
                <w:sz w:val="14"/>
                <w:szCs w:val="14"/>
                <w:color w:val="auto"/>
              </w:rPr>
              <w:t>BlackRock, Inc.(1)</w:t>
            </w:r>
          </w:p>
        </w:tc>
        <w:tc>
          <w:tcPr>
            <w:tcW w:w="4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9"/>
        </w:trPr>
        <w:tc>
          <w:tcPr>
            <w:tcW w:w="5660" w:type="dxa"/>
            <w:vAlign w:val="bottom"/>
          </w:tcPr>
          <w:p>
            <w:pPr>
              <w:ind w:left="460"/>
              <w:spacing w:after="0" w:line="170" w:lineRule="exact"/>
              <w:rPr>
                <w:sz w:val="20"/>
                <w:szCs w:val="20"/>
                <w:color w:val="auto"/>
              </w:rPr>
            </w:pPr>
            <w:r>
              <w:rPr>
                <w:rFonts w:ascii="Arial" w:cs="Arial" w:eastAsia="Arial" w:hAnsi="Arial"/>
                <w:sz w:val="12"/>
                <w:szCs w:val="12"/>
                <w:color w:val="auto"/>
              </w:rPr>
              <w:t>55 East 52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Street</w:t>
            </w:r>
          </w:p>
        </w:tc>
        <w:tc>
          <w:tcPr>
            <w:tcW w:w="4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660" w:type="dxa"/>
            <w:vAlign w:val="bottom"/>
          </w:tcPr>
          <w:p>
            <w:pPr>
              <w:ind w:left="460"/>
              <w:spacing w:after="0"/>
              <w:rPr>
                <w:sz w:val="20"/>
                <w:szCs w:val="20"/>
                <w:color w:val="auto"/>
              </w:rPr>
            </w:pPr>
            <w:r>
              <w:rPr>
                <w:rFonts w:ascii="Arial" w:cs="Arial" w:eastAsia="Arial" w:hAnsi="Arial"/>
                <w:sz w:val="14"/>
                <w:szCs w:val="14"/>
                <w:color w:val="auto"/>
              </w:rPr>
              <w:t>New York, NY 10055</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7,111,007</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14.9%</w:t>
            </w:r>
          </w:p>
        </w:tc>
      </w:tr>
      <w:tr>
        <w:trPr>
          <w:trHeight w:val="167"/>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The Vanguard Group(2)</w:t>
            </w:r>
          </w:p>
        </w:tc>
        <w:tc>
          <w:tcPr>
            <w:tcW w:w="4120" w:type="dxa"/>
            <w:vAlign w:val="bottom"/>
            <w:shd w:val="clear" w:color="auto" w:fill="E5E5E5"/>
          </w:tcPr>
          <w:p>
            <w:pPr>
              <w:spacing w:after="0"/>
              <w:rPr>
                <w:sz w:val="14"/>
                <w:szCs w:val="14"/>
                <w:color w:val="auto"/>
              </w:rPr>
            </w:pPr>
          </w:p>
        </w:tc>
        <w:tc>
          <w:tcPr>
            <w:tcW w:w="1240" w:type="dxa"/>
            <w:vAlign w:val="bottom"/>
            <w:shd w:val="clear" w:color="auto" w:fill="E5E5E5"/>
          </w:tcPr>
          <w:p>
            <w:pPr>
              <w:spacing w:after="0"/>
              <w:rPr>
                <w:sz w:val="14"/>
                <w:szCs w:val="14"/>
                <w:color w:val="auto"/>
              </w:rPr>
            </w:pP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100 Vanguard Blvd.</w:t>
            </w:r>
          </w:p>
        </w:tc>
        <w:tc>
          <w:tcPr>
            <w:tcW w:w="4120" w:type="dxa"/>
            <w:vAlign w:val="bottom"/>
            <w:shd w:val="clear" w:color="auto" w:fill="E5E5E5"/>
          </w:tcPr>
          <w:p>
            <w:pPr>
              <w:spacing w:after="0"/>
              <w:rPr>
                <w:sz w:val="14"/>
                <w:szCs w:val="14"/>
                <w:color w:val="auto"/>
              </w:rPr>
            </w:pPr>
          </w:p>
        </w:tc>
        <w:tc>
          <w:tcPr>
            <w:tcW w:w="1240" w:type="dxa"/>
            <w:vAlign w:val="bottom"/>
            <w:shd w:val="clear" w:color="auto" w:fill="E5E5E5"/>
          </w:tcPr>
          <w:p>
            <w:pPr>
              <w:spacing w:after="0"/>
              <w:rPr>
                <w:sz w:val="14"/>
                <w:szCs w:val="14"/>
                <w:color w:val="auto"/>
              </w:rPr>
            </w:pPr>
          </w:p>
        </w:tc>
      </w:tr>
      <w:tr>
        <w:trPr>
          <w:trHeight w:val="171"/>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Malvern, PA 19355</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4,620,202</w:t>
            </w:r>
          </w:p>
        </w:tc>
        <w:tc>
          <w:tcPr>
            <w:tcW w:w="12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9.7%</w:t>
            </w:r>
          </w:p>
        </w:tc>
      </w:tr>
      <w:tr>
        <w:trPr>
          <w:trHeight w:val="159"/>
        </w:trPr>
        <w:tc>
          <w:tcPr>
            <w:tcW w:w="5660" w:type="dxa"/>
            <w:vAlign w:val="bottom"/>
          </w:tcPr>
          <w:p>
            <w:pPr>
              <w:ind w:left="460"/>
              <w:spacing w:after="0" w:line="159" w:lineRule="exact"/>
              <w:rPr>
                <w:sz w:val="20"/>
                <w:szCs w:val="20"/>
                <w:color w:val="auto"/>
              </w:rPr>
            </w:pPr>
            <w:r>
              <w:rPr>
                <w:rFonts w:ascii="Arial" w:cs="Arial" w:eastAsia="Arial" w:hAnsi="Arial"/>
                <w:sz w:val="14"/>
                <w:szCs w:val="14"/>
                <w:color w:val="auto"/>
              </w:rPr>
              <w:t>Hill Path Capital LP(3)</w:t>
            </w:r>
          </w:p>
        </w:tc>
        <w:tc>
          <w:tcPr>
            <w:tcW w:w="4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9"/>
        </w:trPr>
        <w:tc>
          <w:tcPr>
            <w:tcW w:w="5660" w:type="dxa"/>
            <w:vAlign w:val="bottom"/>
          </w:tcPr>
          <w:p>
            <w:pPr>
              <w:ind w:left="460"/>
              <w:spacing w:after="0" w:line="170" w:lineRule="exact"/>
              <w:rPr>
                <w:sz w:val="20"/>
                <w:szCs w:val="20"/>
                <w:color w:val="auto"/>
              </w:rPr>
            </w:pPr>
            <w:r>
              <w:rPr>
                <w:rFonts w:ascii="Arial" w:cs="Arial" w:eastAsia="Arial" w:hAnsi="Arial"/>
                <w:sz w:val="12"/>
                <w:szCs w:val="12"/>
                <w:color w:val="auto"/>
              </w:rPr>
              <w:t>150 East 58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32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Floor</w:t>
            </w:r>
          </w:p>
        </w:tc>
        <w:tc>
          <w:tcPr>
            <w:tcW w:w="4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660" w:type="dxa"/>
            <w:vAlign w:val="bottom"/>
          </w:tcPr>
          <w:p>
            <w:pPr>
              <w:ind w:left="460"/>
              <w:spacing w:after="0"/>
              <w:rPr>
                <w:sz w:val="20"/>
                <w:szCs w:val="20"/>
                <w:color w:val="auto"/>
              </w:rPr>
            </w:pPr>
            <w:r>
              <w:rPr>
                <w:rFonts w:ascii="Arial" w:cs="Arial" w:eastAsia="Arial" w:hAnsi="Arial"/>
                <w:sz w:val="14"/>
                <w:szCs w:val="14"/>
                <w:color w:val="auto"/>
              </w:rPr>
              <w:t>New York, NY 10155</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4,448,542</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9.3%</w:t>
            </w:r>
          </w:p>
        </w:tc>
      </w:tr>
      <w:tr>
        <w:trPr>
          <w:trHeight w:val="159"/>
        </w:trPr>
        <w:tc>
          <w:tcPr>
            <w:tcW w:w="5660" w:type="dxa"/>
            <w:vAlign w:val="bottom"/>
            <w:shd w:val="clear" w:color="auto" w:fill="E5E5E5"/>
          </w:tcPr>
          <w:p>
            <w:pPr>
              <w:ind w:left="460"/>
              <w:spacing w:after="0" w:line="159" w:lineRule="exact"/>
              <w:rPr>
                <w:sz w:val="20"/>
                <w:szCs w:val="20"/>
                <w:color w:val="auto"/>
              </w:rPr>
            </w:pPr>
            <w:r>
              <w:rPr>
                <w:rFonts w:ascii="Arial" w:cs="Arial" w:eastAsia="Arial" w:hAnsi="Arial"/>
                <w:sz w:val="14"/>
                <w:szCs w:val="14"/>
                <w:color w:val="auto"/>
              </w:rPr>
              <w:t>Kohlberg Kravis Roberts &amp; Co.(4)</w:t>
            </w:r>
          </w:p>
        </w:tc>
        <w:tc>
          <w:tcPr>
            <w:tcW w:w="4120" w:type="dxa"/>
            <w:vAlign w:val="bottom"/>
            <w:shd w:val="clear" w:color="auto" w:fill="E5E5E5"/>
          </w:tcPr>
          <w:p>
            <w:pPr>
              <w:spacing w:after="0"/>
              <w:rPr>
                <w:sz w:val="13"/>
                <w:szCs w:val="13"/>
                <w:color w:val="auto"/>
              </w:rPr>
            </w:pPr>
          </w:p>
        </w:tc>
        <w:tc>
          <w:tcPr>
            <w:tcW w:w="1240" w:type="dxa"/>
            <w:vAlign w:val="bottom"/>
            <w:shd w:val="clear" w:color="auto" w:fill="E5E5E5"/>
          </w:tcPr>
          <w:p>
            <w:pPr>
              <w:spacing w:after="0"/>
              <w:rPr>
                <w:sz w:val="13"/>
                <w:szCs w:val="13"/>
                <w:color w:val="auto"/>
              </w:rPr>
            </w:pPr>
          </w:p>
        </w:tc>
      </w:tr>
      <w:tr>
        <w:trPr>
          <w:trHeight w:val="169"/>
        </w:trPr>
        <w:tc>
          <w:tcPr>
            <w:tcW w:w="5660" w:type="dxa"/>
            <w:vAlign w:val="bottom"/>
            <w:shd w:val="clear" w:color="auto" w:fill="E5E5E5"/>
          </w:tcPr>
          <w:p>
            <w:pPr>
              <w:ind w:left="460"/>
              <w:spacing w:after="0" w:line="170" w:lineRule="exact"/>
              <w:rPr>
                <w:sz w:val="20"/>
                <w:szCs w:val="20"/>
                <w:color w:val="auto"/>
              </w:rPr>
            </w:pPr>
            <w:r>
              <w:rPr>
                <w:rFonts w:ascii="Arial" w:cs="Arial" w:eastAsia="Arial" w:hAnsi="Arial"/>
                <w:sz w:val="12"/>
                <w:szCs w:val="12"/>
                <w:color w:val="auto"/>
              </w:rPr>
              <w:t>9 West 57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Suite 4200</w:t>
            </w:r>
          </w:p>
        </w:tc>
        <w:tc>
          <w:tcPr>
            <w:tcW w:w="4120" w:type="dxa"/>
            <w:vAlign w:val="bottom"/>
            <w:shd w:val="clear" w:color="auto" w:fill="E5E5E5"/>
          </w:tcPr>
          <w:p>
            <w:pPr>
              <w:spacing w:after="0"/>
              <w:rPr>
                <w:sz w:val="14"/>
                <w:szCs w:val="14"/>
                <w:color w:val="auto"/>
              </w:rPr>
            </w:pPr>
          </w:p>
        </w:tc>
        <w:tc>
          <w:tcPr>
            <w:tcW w:w="1240" w:type="dxa"/>
            <w:vAlign w:val="bottom"/>
            <w:shd w:val="clear" w:color="auto" w:fill="E5E5E5"/>
          </w:tcPr>
          <w:p>
            <w:pPr>
              <w:spacing w:after="0"/>
              <w:rPr>
                <w:sz w:val="14"/>
                <w:szCs w:val="14"/>
                <w:color w:val="auto"/>
              </w:rPr>
            </w:pPr>
          </w:p>
        </w:tc>
      </w:tr>
      <w:tr>
        <w:trPr>
          <w:trHeight w:val="171"/>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New York, NY 10019</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4,225,800</w:t>
            </w:r>
          </w:p>
        </w:tc>
        <w:tc>
          <w:tcPr>
            <w:tcW w:w="12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8.8%</w:t>
            </w:r>
          </w:p>
        </w:tc>
      </w:tr>
      <w:tr>
        <w:trPr>
          <w:trHeight w:val="159"/>
        </w:trPr>
        <w:tc>
          <w:tcPr>
            <w:tcW w:w="5660" w:type="dxa"/>
            <w:vAlign w:val="bottom"/>
          </w:tcPr>
          <w:p>
            <w:pPr>
              <w:ind w:left="460"/>
              <w:spacing w:after="0" w:line="159" w:lineRule="exact"/>
              <w:rPr>
                <w:sz w:val="20"/>
                <w:szCs w:val="20"/>
                <w:color w:val="auto"/>
              </w:rPr>
            </w:pPr>
            <w:r>
              <w:rPr>
                <w:rFonts w:ascii="Arial" w:cs="Arial" w:eastAsia="Arial" w:hAnsi="Arial"/>
                <w:sz w:val="14"/>
                <w:szCs w:val="14"/>
                <w:color w:val="auto"/>
              </w:rPr>
              <w:t>Eminence Capital(5)</w:t>
            </w:r>
          </w:p>
        </w:tc>
        <w:tc>
          <w:tcPr>
            <w:tcW w:w="41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9"/>
        </w:trPr>
        <w:tc>
          <w:tcPr>
            <w:tcW w:w="5660" w:type="dxa"/>
            <w:vAlign w:val="bottom"/>
          </w:tcPr>
          <w:p>
            <w:pPr>
              <w:ind w:left="460"/>
              <w:spacing w:after="0" w:line="170" w:lineRule="exact"/>
              <w:rPr>
                <w:sz w:val="20"/>
                <w:szCs w:val="20"/>
                <w:color w:val="auto"/>
              </w:rPr>
            </w:pPr>
            <w:r>
              <w:rPr>
                <w:rFonts w:ascii="Arial" w:cs="Arial" w:eastAsia="Arial" w:hAnsi="Arial"/>
                <w:sz w:val="12"/>
                <w:szCs w:val="12"/>
                <w:color w:val="auto"/>
              </w:rPr>
              <w:t>399 Park Avenue, 25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4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660" w:type="dxa"/>
            <w:vAlign w:val="bottom"/>
          </w:tcPr>
          <w:p>
            <w:pPr>
              <w:ind w:left="460"/>
              <w:spacing w:after="0"/>
              <w:rPr>
                <w:sz w:val="20"/>
                <w:szCs w:val="20"/>
                <w:color w:val="auto"/>
              </w:rPr>
            </w:pPr>
            <w:r>
              <w:rPr>
                <w:rFonts w:ascii="Arial" w:cs="Arial" w:eastAsia="Arial" w:hAnsi="Arial"/>
                <w:sz w:val="14"/>
                <w:szCs w:val="14"/>
                <w:color w:val="auto"/>
              </w:rPr>
              <w:t>New York, NY 10022</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3,472,170</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7.3%</w:t>
            </w:r>
          </w:p>
        </w:tc>
      </w:tr>
      <w:tr>
        <w:trPr>
          <w:trHeight w:val="167"/>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Morgan Stanley(6)</w:t>
            </w:r>
          </w:p>
        </w:tc>
        <w:tc>
          <w:tcPr>
            <w:tcW w:w="4120" w:type="dxa"/>
            <w:vAlign w:val="bottom"/>
            <w:shd w:val="clear" w:color="auto" w:fill="E5E5E5"/>
          </w:tcPr>
          <w:p>
            <w:pPr>
              <w:spacing w:after="0"/>
              <w:rPr>
                <w:sz w:val="14"/>
                <w:szCs w:val="14"/>
                <w:color w:val="auto"/>
              </w:rPr>
            </w:pPr>
          </w:p>
        </w:tc>
        <w:tc>
          <w:tcPr>
            <w:tcW w:w="1240" w:type="dxa"/>
            <w:vAlign w:val="bottom"/>
            <w:shd w:val="clear" w:color="auto" w:fill="E5E5E5"/>
          </w:tcPr>
          <w:p>
            <w:pPr>
              <w:spacing w:after="0"/>
              <w:rPr>
                <w:sz w:val="14"/>
                <w:szCs w:val="14"/>
                <w:color w:val="auto"/>
              </w:rPr>
            </w:pP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1585 Broadway</w:t>
            </w:r>
          </w:p>
        </w:tc>
        <w:tc>
          <w:tcPr>
            <w:tcW w:w="4120" w:type="dxa"/>
            <w:vAlign w:val="bottom"/>
            <w:shd w:val="clear" w:color="auto" w:fill="E5E5E5"/>
          </w:tcPr>
          <w:p>
            <w:pPr>
              <w:spacing w:after="0"/>
              <w:rPr>
                <w:sz w:val="14"/>
                <w:szCs w:val="14"/>
                <w:color w:val="auto"/>
              </w:rPr>
            </w:pPr>
          </w:p>
        </w:tc>
        <w:tc>
          <w:tcPr>
            <w:tcW w:w="1240" w:type="dxa"/>
            <w:vAlign w:val="bottom"/>
            <w:shd w:val="clear" w:color="auto" w:fill="E5E5E5"/>
          </w:tcPr>
          <w:p>
            <w:pPr>
              <w:spacing w:after="0"/>
              <w:rPr>
                <w:sz w:val="14"/>
                <w:szCs w:val="14"/>
                <w:color w:val="auto"/>
              </w:rPr>
            </w:pPr>
          </w:p>
        </w:tc>
      </w:tr>
      <w:tr>
        <w:trPr>
          <w:trHeight w:val="171"/>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New York, NY 10036</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3,219,760</w:t>
            </w:r>
          </w:p>
        </w:tc>
        <w:tc>
          <w:tcPr>
            <w:tcW w:w="124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6.7%</w:t>
            </w:r>
          </w:p>
        </w:tc>
      </w:tr>
      <w:tr>
        <w:trPr>
          <w:trHeight w:val="162"/>
        </w:trPr>
        <w:tc>
          <w:tcPr>
            <w:tcW w:w="5660" w:type="dxa"/>
            <w:vAlign w:val="bottom"/>
          </w:tcPr>
          <w:p>
            <w:pPr>
              <w:ind w:left="100"/>
              <w:spacing w:after="0"/>
              <w:rPr>
                <w:sz w:val="20"/>
                <w:szCs w:val="20"/>
                <w:color w:val="auto"/>
              </w:rPr>
            </w:pPr>
            <w:r>
              <w:rPr>
                <w:rFonts w:ascii="Arial" w:cs="Arial" w:eastAsia="Arial" w:hAnsi="Arial"/>
                <w:sz w:val="14"/>
                <w:szCs w:val="14"/>
                <w:color w:val="auto"/>
              </w:rPr>
              <w:t>Directors(7)</w:t>
            </w:r>
          </w:p>
        </w:tc>
        <w:tc>
          <w:tcPr>
            <w:tcW w:w="4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Stephen M. King(8)</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455,875</w:t>
            </w:r>
          </w:p>
        </w:tc>
        <w:tc>
          <w:tcPr>
            <w:tcW w:w="124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tcPr>
          <w:p>
            <w:pPr>
              <w:ind w:left="460"/>
              <w:spacing w:after="0"/>
              <w:rPr>
                <w:sz w:val="20"/>
                <w:szCs w:val="20"/>
                <w:color w:val="auto"/>
              </w:rPr>
            </w:pPr>
            <w:r>
              <w:rPr>
                <w:rFonts w:ascii="Arial" w:cs="Arial" w:eastAsia="Arial" w:hAnsi="Arial"/>
                <w:sz w:val="14"/>
                <w:szCs w:val="14"/>
                <w:color w:val="auto"/>
              </w:rPr>
              <w:t>James P. Chambers(9)</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Hamish A. Dodds</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17,240</w:t>
            </w:r>
          </w:p>
        </w:tc>
        <w:tc>
          <w:tcPr>
            <w:tcW w:w="124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tcPr>
          <w:p>
            <w:pPr>
              <w:ind w:left="460"/>
              <w:spacing w:after="0"/>
              <w:rPr>
                <w:sz w:val="20"/>
                <w:szCs w:val="20"/>
                <w:color w:val="auto"/>
              </w:rPr>
            </w:pPr>
            <w:r>
              <w:rPr>
                <w:rFonts w:ascii="Arial" w:cs="Arial" w:eastAsia="Arial" w:hAnsi="Arial"/>
                <w:sz w:val="14"/>
                <w:szCs w:val="14"/>
                <w:color w:val="auto"/>
              </w:rPr>
              <w:t>Michael J. Griffith(10)</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58,219</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Jonathan S. Halkyard(11)</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65,601</w:t>
            </w:r>
          </w:p>
        </w:tc>
        <w:tc>
          <w:tcPr>
            <w:tcW w:w="124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tcPr>
          <w:p>
            <w:pPr>
              <w:ind w:left="460"/>
              <w:spacing w:after="0"/>
              <w:rPr>
                <w:sz w:val="20"/>
                <w:szCs w:val="20"/>
                <w:color w:val="auto"/>
              </w:rPr>
            </w:pPr>
            <w:r>
              <w:rPr>
                <w:rFonts w:ascii="Arial" w:cs="Arial" w:eastAsia="Arial" w:hAnsi="Arial"/>
                <w:sz w:val="14"/>
                <w:szCs w:val="14"/>
                <w:color w:val="auto"/>
              </w:rPr>
              <w:t>John C. Hockin(12)</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Brian A. Jenkins(13)</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336,254</w:t>
            </w:r>
          </w:p>
        </w:tc>
        <w:tc>
          <w:tcPr>
            <w:tcW w:w="124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tcPr>
          <w:p>
            <w:pPr>
              <w:ind w:left="460"/>
              <w:spacing w:after="0"/>
              <w:rPr>
                <w:sz w:val="20"/>
                <w:szCs w:val="20"/>
                <w:color w:val="auto"/>
              </w:rPr>
            </w:pPr>
            <w:r>
              <w:rPr>
                <w:rFonts w:ascii="Arial" w:cs="Arial" w:eastAsia="Arial" w:hAnsi="Arial"/>
                <w:sz w:val="14"/>
                <w:szCs w:val="14"/>
                <w:color w:val="auto"/>
              </w:rPr>
              <w:t>Patricia H. Mueller(14)</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29,993</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Kevin M. Sheehan(15)</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95,032</w:t>
            </w:r>
          </w:p>
        </w:tc>
        <w:tc>
          <w:tcPr>
            <w:tcW w:w="124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tcPr>
          <w:p>
            <w:pPr>
              <w:ind w:left="460"/>
              <w:spacing w:after="0"/>
              <w:rPr>
                <w:sz w:val="20"/>
                <w:szCs w:val="20"/>
                <w:color w:val="auto"/>
              </w:rPr>
            </w:pPr>
            <w:r>
              <w:rPr>
                <w:rFonts w:ascii="Arial" w:cs="Arial" w:eastAsia="Arial" w:hAnsi="Arial"/>
                <w:sz w:val="14"/>
                <w:szCs w:val="14"/>
                <w:color w:val="auto"/>
              </w:rPr>
              <w:t>Jennifer Storms(16)</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22,846</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E5E5E5"/>
          </w:tcPr>
          <w:p>
            <w:pPr>
              <w:ind w:left="100"/>
              <w:spacing w:after="0"/>
              <w:rPr>
                <w:sz w:val="20"/>
                <w:szCs w:val="20"/>
                <w:color w:val="auto"/>
              </w:rPr>
            </w:pPr>
            <w:r>
              <w:rPr>
                <w:rFonts w:ascii="Arial" w:cs="Arial" w:eastAsia="Arial" w:hAnsi="Arial"/>
                <w:sz w:val="14"/>
                <w:szCs w:val="14"/>
                <w:color w:val="auto"/>
              </w:rPr>
              <w:t>Named Executive Officers(17)</w:t>
            </w:r>
          </w:p>
        </w:tc>
        <w:tc>
          <w:tcPr>
            <w:tcW w:w="4120" w:type="dxa"/>
            <w:vAlign w:val="bottom"/>
            <w:shd w:val="clear" w:color="auto" w:fill="E5E5E5"/>
          </w:tcPr>
          <w:p>
            <w:pPr>
              <w:spacing w:after="0"/>
              <w:rPr>
                <w:sz w:val="14"/>
                <w:szCs w:val="14"/>
                <w:color w:val="auto"/>
              </w:rPr>
            </w:pPr>
          </w:p>
        </w:tc>
        <w:tc>
          <w:tcPr>
            <w:tcW w:w="1240" w:type="dxa"/>
            <w:vAlign w:val="bottom"/>
            <w:shd w:val="clear" w:color="auto" w:fill="E5E5E5"/>
          </w:tcPr>
          <w:p>
            <w:pPr>
              <w:spacing w:after="0"/>
              <w:rPr>
                <w:sz w:val="14"/>
                <w:szCs w:val="14"/>
                <w:color w:val="auto"/>
              </w:rPr>
            </w:pPr>
          </w:p>
        </w:tc>
      </w:tr>
      <w:tr>
        <w:trPr>
          <w:trHeight w:val="162"/>
        </w:trPr>
        <w:tc>
          <w:tcPr>
            <w:tcW w:w="5660" w:type="dxa"/>
            <w:vAlign w:val="bottom"/>
          </w:tcPr>
          <w:p>
            <w:pPr>
              <w:ind w:left="460"/>
              <w:spacing w:after="0"/>
              <w:rPr>
                <w:sz w:val="20"/>
                <w:szCs w:val="20"/>
                <w:color w:val="auto"/>
              </w:rPr>
            </w:pPr>
            <w:r>
              <w:rPr>
                <w:rFonts w:ascii="Arial" w:cs="Arial" w:eastAsia="Arial" w:hAnsi="Arial"/>
                <w:sz w:val="14"/>
                <w:szCs w:val="14"/>
                <w:color w:val="auto"/>
              </w:rPr>
              <w:t>Scott Bowman(18)</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43,230</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Robert W. Edmund(19)</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35,635</w:t>
            </w:r>
          </w:p>
        </w:tc>
        <w:tc>
          <w:tcPr>
            <w:tcW w:w="124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tcPr>
          <w:p>
            <w:pPr>
              <w:ind w:left="460"/>
              <w:spacing w:after="0"/>
              <w:rPr>
                <w:sz w:val="20"/>
                <w:szCs w:val="20"/>
                <w:color w:val="auto"/>
              </w:rPr>
            </w:pPr>
            <w:r>
              <w:rPr>
                <w:rFonts w:ascii="Arial" w:cs="Arial" w:eastAsia="Arial" w:hAnsi="Arial"/>
                <w:sz w:val="14"/>
                <w:szCs w:val="14"/>
                <w:color w:val="auto"/>
              </w:rPr>
              <w:t>Margo L. Manning(20)</w:t>
            </w:r>
          </w:p>
        </w:tc>
        <w:tc>
          <w:tcPr>
            <w:tcW w:w="4120" w:type="dxa"/>
            <w:vAlign w:val="bottom"/>
          </w:tcPr>
          <w:p>
            <w:pPr>
              <w:jc w:val="right"/>
              <w:ind w:right="1068"/>
              <w:spacing w:after="0"/>
              <w:rPr>
                <w:sz w:val="20"/>
                <w:szCs w:val="20"/>
                <w:color w:val="auto"/>
              </w:rPr>
            </w:pPr>
            <w:r>
              <w:rPr>
                <w:rFonts w:ascii="Arial" w:cs="Arial" w:eastAsia="Arial" w:hAnsi="Arial"/>
                <w:sz w:val="14"/>
                <w:szCs w:val="14"/>
                <w:color w:val="auto"/>
              </w:rPr>
              <w:t>163,365</w:t>
            </w:r>
          </w:p>
        </w:tc>
        <w:tc>
          <w:tcPr>
            <w:tcW w:w="124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shd w:val="clear" w:color="auto" w:fill="E5E5E5"/>
          </w:tcPr>
          <w:p>
            <w:pPr>
              <w:ind w:left="460"/>
              <w:spacing w:after="0"/>
              <w:rPr>
                <w:sz w:val="20"/>
                <w:szCs w:val="20"/>
                <w:color w:val="auto"/>
              </w:rPr>
            </w:pPr>
            <w:r>
              <w:rPr>
                <w:rFonts w:ascii="Arial" w:cs="Arial" w:eastAsia="Arial" w:hAnsi="Arial"/>
                <w:sz w:val="14"/>
                <w:szCs w:val="14"/>
                <w:color w:val="auto"/>
              </w:rPr>
              <w:t>John B. Mulleady(21)</w:t>
            </w:r>
          </w:p>
        </w:tc>
        <w:tc>
          <w:tcPr>
            <w:tcW w:w="4120" w:type="dxa"/>
            <w:vAlign w:val="bottom"/>
            <w:shd w:val="clear" w:color="auto" w:fill="E5E5E5"/>
          </w:tcPr>
          <w:p>
            <w:pPr>
              <w:jc w:val="right"/>
              <w:ind w:right="1068"/>
              <w:spacing w:after="0"/>
              <w:rPr>
                <w:sz w:val="20"/>
                <w:szCs w:val="20"/>
                <w:color w:val="auto"/>
              </w:rPr>
            </w:pPr>
            <w:r>
              <w:rPr>
                <w:rFonts w:ascii="Arial" w:cs="Arial" w:eastAsia="Arial" w:hAnsi="Arial"/>
                <w:sz w:val="14"/>
                <w:szCs w:val="14"/>
                <w:color w:val="auto"/>
              </w:rPr>
              <w:t>154,042</w:t>
            </w:r>
          </w:p>
        </w:tc>
        <w:tc>
          <w:tcPr>
            <w:tcW w:w="1240" w:type="dxa"/>
            <w:vAlign w:val="bottom"/>
            <w:shd w:val="clear" w:color="auto" w:fill="E5E5E5"/>
          </w:tcPr>
          <w:p>
            <w:pPr>
              <w:jc w:val="right"/>
              <w:ind w:right="228"/>
              <w:spacing w:after="0"/>
              <w:rPr>
                <w:sz w:val="20"/>
                <w:szCs w:val="20"/>
                <w:color w:val="auto"/>
              </w:rPr>
            </w:pPr>
            <w:r>
              <w:rPr>
                <w:rFonts w:ascii="Arial" w:cs="Arial" w:eastAsia="Arial" w:hAnsi="Arial"/>
                <w:sz w:val="14"/>
                <w:szCs w:val="14"/>
                <w:color w:val="auto"/>
              </w:rPr>
              <w:t>*</w:t>
            </w:r>
          </w:p>
        </w:tc>
      </w:tr>
      <w:tr>
        <w:trPr>
          <w:trHeight w:val="162"/>
        </w:trPr>
        <w:tc>
          <w:tcPr>
            <w:tcW w:w="5660" w:type="dxa"/>
            <w:vAlign w:val="bottom"/>
            <w:tcBorders>
              <w:bottom w:val="single" w:sz="8" w:color="003B71"/>
            </w:tcBorders>
          </w:tcPr>
          <w:p>
            <w:pPr>
              <w:ind w:left="80"/>
              <w:spacing w:after="0"/>
              <w:rPr>
                <w:sz w:val="20"/>
                <w:szCs w:val="20"/>
                <w:color w:val="auto"/>
              </w:rPr>
            </w:pPr>
            <w:r>
              <w:rPr>
                <w:rFonts w:ascii="Arial" w:cs="Arial" w:eastAsia="Arial" w:hAnsi="Arial"/>
                <w:sz w:val="14"/>
                <w:szCs w:val="14"/>
                <w:color w:val="auto"/>
              </w:rPr>
              <w:t>All Executive Officers and Directors as a Group (18 Persons)(22)</w:t>
            </w:r>
          </w:p>
        </w:tc>
        <w:tc>
          <w:tcPr>
            <w:tcW w:w="4120" w:type="dxa"/>
            <w:vAlign w:val="bottom"/>
            <w:tcBorders>
              <w:bottom w:val="single" w:sz="8" w:color="003B71"/>
            </w:tcBorders>
          </w:tcPr>
          <w:p>
            <w:pPr>
              <w:jc w:val="right"/>
              <w:ind w:right="1068"/>
              <w:spacing w:after="0"/>
              <w:rPr>
                <w:sz w:val="20"/>
                <w:szCs w:val="20"/>
                <w:color w:val="auto"/>
              </w:rPr>
            </w:pPr>
            <w:r>
              <w:rPr>
                <w:rFonts w:ascii="Arial" w:cs="Arial" w:eastAsia="Arial" w:hAnsi="Arial"/>
                <w:sz w:val="14"/>
                <w:szCs w:val="14"/>
                <w:color w:val="auto"/>
              </w:rPr>
              <w:t>1,707,059</w:t>
            </w:r>
          </w:p>
        </w:tc>
        <w:tc>
          <w:tcPr>
            <w:tcW w:w="1240" w:type="dxa"/>
            <w:vAlign w:val="bottom"/>
            <w:tcBorders>
              <w:bottom w:val="single" w:sz="8" w:color="003B71"/>
            </w:tcBorders>
          </w:tcPr>
          <w:p>
            <w:pPr>
              <w:jc w:val="right"/>
              <w:ind w:right="88"/>
              <w:spacing w:after="0"/>
              <w:rPr>
                <w:sz w:val="20"/>
                <w:szCs w:val="20"/>
                <w:color w:val="auto"/>
              </w:rPr>
            </w:pPr>
            <w:r>
              <w:rPr>
                <w:rFonts w:ascii="Arial" w:cs="Arial" w:eastAsia="Arial" w:hAnsi="Arial"/>
                <w:sz w:val="14"/>
                <w:szCs w:val="14"/>
                <w:color w:val="auto"/>
              </w:rPr>
              <w:t>3.5%</w:t>
            </w:r>
          </w:p>
        </w:tc>
      </w:tr>
    </w:tbl>
    <w:p>
      <w:pPr>
        <w:spacing w:after="0" w:line="83"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4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40" w:right="20" w:hanging="424"/>
        <w:spacing w:after="0" w:line="253"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information contained in Schedule 13G/A dated December 31, 2020, filed on January 26, 2021. The Schedule 13G/A reported that BlackRock, Inc. owned and had sole dispositive power over 7,111,007 shares of common stock and had sole voting power over 7,055,921 shares of common stock.</w:t>
      </w:r>
    </w:p>
    <w:p>
      <w:pPr>
        <w:spacing w:after="0" w:line="6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information contained in Schedule 13G/A dated December 31, 2019, filed on February 10, 2021. The Schedule 13G/ A reported that The Vanguard Group owned and had sole dispositive power over 4,516,442 shares of common stock, sole voting power over no shares of common stock, shared voting power over 68,187 shares of common stock and shared dispositive power over 103,760 shares of common stock.</w:t>
      </w:r>
    </w:p>
    <w:p>
      <w:pPr>
        <w:spacing w:after="0" w:line="66" w:lineRule="exact"/>
        <w:rPr>
          <w:rFonts w:ascii="Arial" w:cs="Arial" w:eastAsia="Arial" w:hAnsi="Arial"/>
          <w:sz w:val="16"/>
          <w:szCs w:val="16"/>
          <w:color w:val="auto"/>
        </w:rPr>
      </w:pPr>
    </w:p>
    <w:p>
      <w:pPr>
        <w:jc w:val="both"/>
        <w:ind w:left="540" w:right="20" w:hanging="424"/>
        <w:spacing w:after="0" w:line="248"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information contained in Schedule 13D/A dated September 18, 2020, filed on September 22, 2020. The Schedule 13D/A reported that Hill Path Capital Partners LP (“HPCP”), Hill Path Capital Partners II LP (“HCCP-II”), Hill Path Capital Co-Investment Partners LP (“HPCCP”), Hill Path Capital Partners GP LLC, Hill Path Capital Partners II GP LLC, Hill Path Investment Holdings LLC, Hill Path Investment Holdings II LLC, Hill Path Capital LP, Hill Path Holdings LLC, and Scott I. Ross are collectively the “HP Reporting Persons” thereunder. The HP Reporting Persons owned and had sole voting and dispositive power over 4,448,542 shares of common stock, including 2,095,246 shares of common stock held directly by HPCP, 2,300,065 shares of common stock held directly by HPCP-II, and 53,231 shares of common stock held by HPCCP, and no shared voting or dispositive power over shares of common stock.</w:t>
      </w:r>
    </w:p>
    <w:p>
      <w:pPr>
        <w:spacing w:after="0" w:line="73" w:lineRule="exact"/>
        <w:rPr>
          <w:rFonts w:ascii="Arial" w:cs="Arial" w:eastAsia="Arial" w:hAnsi="Arial"/>
          <w:sz w:val="16"/>
          <w:szCs w:val="16"/>
          <w:color w:val="auto"/>
        </w:rPr>
      </w:pPr>
    </w:p>
    <w:p>
      <w:pPr>
        <w:jc w:val="both"/>
        <w:ind w:left="540" w:hanging="424"/>
        <w:spacing w:after="0" w:line="248"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information contained in Schedule 13D/A dated September 21, 2020, filed on September 22, 2020. The Schedule 13D/A reported that KKR Dragon Aggregator L.P. (“Dragon”), KKR Dragon Aggregator GP LLC, Powell Investors II Limited Partnership (“Powell”), KKR Special Situations Fund II Limited, KKR Special Situations (EEA) Fund II L.P., KKR Associates Special Situations (EEA) II Limited, KKR Associates Special Situations (Offshore) II L.P., KKR Special Situations (Offshore) II Limited, KKR Financial Holdings LLC, KKR Credit Fund Advisors LLC, KKR Credit Advisors (US) LLC, Kohlberg Kravis Roberts &amp; Co., L.P., KKR &amp; Co. GP LLC, KKR Holdco LLC, KKR Group Partnership L.P., KKR Group Holdings Corp., KKR &amp; Co., Inc., KKR Management LLP, Henry R. Kravis, and George R. Roberts are collectively the “KKR Reporting Persons” thereunder. The KKR Reporting Persons owned and had sole voting and dispositive power over 4,225,800 shares of common stock, including 3,312,492 shares of common stock held directly by Dragon and 913,308 shares of common stock held directly by Powell, and no shared voting or dispositive power over shares of common stock. The KKR Reporting Person or their affiliates have additional economic exposures to 1,345,493 shares of common stock.</w:t>
      </w:r>
    </w:p>
    <w:p>
      <w:pPr>
        <w:spacing w:after="0" w:line="259"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information contained in Schedule 13G dated December 31, 2020, filed on February 16, 2021. The Schedule 13G reported that Eminence Capital, LP and Ricky C. Sandler (“Sandler”) owned and had shared dispositive and voting power over 3,446,110 shares of common stock and Sandler owned and had sole dispositive and voting power over 6,060 shares of common stock.</w:t>
      </w:r>
    </w:p>
    <w:p>
      <w:pPr>
        <w:spacing w:after="0" w:line="66" w:lineRule="exact"/>
        <w:rPr>
          <w:rFonts w:ascii="Arial" w:cs="Arial" w:eastAsia="Arial" w:hAnsi="Arial"/>
          <w:sz w:val="16"/>
          <w:szCs w:val="16"/>
          <w:color w:val="auto"/>
        </w:rPr>
      </w:pPr>
    </w:p>
    <w:p>
      <w:pPr>
        <w:jc w:val="both"/>
        <w:ind w:left="540" w:right="20" w:hanging="424"/>
        <w:spacing w:after="0" w:line="253"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information contained in Schedule 13G/A dated December 31, 2020, filed on February 22, 2021. The Schedule 13G/A reported that Morgan Stanley owned and had shared dispositive power over 3,178,857 shares of common stock and had shared voting power over 3,219,760 shares of common stock.</w:t>
      </w:r>
    </w:p>
    <w:p>
      <w:pPr>
        <w:spacing w:after="0" w:line="66" w:lineRule="exact"/>
        <w:rPr>
          <w:rFonts w:ascii="Arial" w:cs="Arial" w:eastAsia="Arial" w:hAnsi="Arial"/>
          <w:sz w:val="16"/>
          <w:szCs w:val="16"/>
          <w:color w:val="auto"/>
        </w:rPr>
      </w:pPr>
    </w:p>
    <w:p>
      <w:pPr>
        <w:ind w:left="540" w:hanging="4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Mr. Shah is omitted from this table as he was appointed to the Board of Directors on April 16, 2021. He currently holds no shares in the Company.</w:t>
      </w:r>
    </w:p>
    <w:p>
      <w:pPr>
        <w:spacing w:after="0" w:line="86"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reflected in the table include 394,404 shares issuable pursuant to outstanding stock options held by the Stephen and Shauna King Investment Partnership LP (the “Investment Partnership”) that are exercisable within 60 days of April 8, 2021. Stephen and Shauna King Investment Partnership GenPar LLC (“GenPar”) is the general partner of the Investment Partnership. Mr. King is the sole member of GenPar and has sole voting and investment power over all of the shares owned by the Investment Partnership.</w:t>
      </w:r>
    </w:p>
    <w:p>
      <w:pPr>
        <w:spacing w:after="0" w:line="67" w:lineRule="exact"/>
        <w:rPr>
          <w:rFonts w:ascii="Arial" w:cs="Arial" w:eastAsia="Arial" w:hAnsi="Arial"/>
          <w:sz w:val="16"/>
          <w:szCs w:val="16"/>
          <w:color w:val="auto"/>
        </w:rPr>
      </w:pPr>
    </w:p>
    <w:p>
      <w:pPr>
        <w:ind w:left="540" w:hanging="4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Mr. Chambers joined the board in late-December 2020 and held no shares in the Company.</w:t>
      </w:r>
    </w:p>
    <w:p>
      <w:pPr>
        <w:spacing w:after="0" w:line="86" w:lineRule="exact"/>
        <w:rPr>
          <w:rFonts w:ascii="Arial" w:cs="Arial" w:eastAsia="Arial" w:hAnsi="Arial"/>
          <w:sz w:val="16"/>
          <w:szCs w:val="16"/>
          <w:color w:val="auto"/>
        </w:rPr>
      </w:pPr>
    </w:p>
    <w:p>
      <w:pPr>
        <w:jc w:val="both"/>
        <w:ind w:left="540" w:right="20" w:hanging="424"/>
        <w:spacing w:after="0" w:line="252"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reflected in the table include 30,523 shares owned by Mr. Griffith and 17,948 shares owned by The 2014 Griffith Family Trust dated October 20, 2014 (the “Family Trust”). Currently, Mr. Griffith has sole voting and investment power over all of the shares owned by the Family Trust. Shares reflected in the table also include 9,748 shares issuable pursuant to outstanding stock options held by Mr. Griffith, all of which are fully vested.</w:t>
      </w:r>
    </w:p>
    <w:p>
      <w:pPr>
        <w:spacing w:after="0" w:line="257" w:lineRule="exact"/>
        <w:rPr>
          <w:rFonts w:ascii="Arial" w:cs="Arial" w:eastAsia="Arial" w:hAnsi="Arial"/>
          <w:sz w:val="16"/>
          <w:szCs w:val="16"/>
          <w:color w:val="auto"/>
        </w:rPr>
      </w:pPr>
    </w:p>
    <w:p>
      <w:pPr>
        <w:ind w:left="540" w:right="20" w:hanging="424"/>
        <w:spacing w:after="0" w:line="246"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reflected in the table include 33,682 shares issuable pursuant to outstanding stock options held by Mr. Halkyard, all of which are fully vested.</w:t>
      </w:r>
    </w:p>
    <w:p>
      <w:pPr>
        <w:spacing w:after="0" w:line="189" w:lineRule="exact"/>
        <w:rPr>
          <w:rFonts w:ascii="Arial" w:cs="Arial" w:eastAsia="Arial" w:hAnsi="Arial"/>
          <w:sz w:val="16"/>
          <w:szCs w:val="16"/>
          <w:color w:val="auto"/>
        </w:rPr>
      </w:pPr>
    </w:p>
    <w:p>
      <w:pPr>
        <w:ind w:left="540" w:hanging="4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Mr. Hockin joined the board in early-May 2020 and held no shares in the Company.</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reflected in the table include 165,266 shares issuable pursuant to outstanding stock options held by Mr. Jenkins that are exercisable within 60 days of April 8, 2021.</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reflected in the table include 9,549 shares issuable pursuant to outstanding stock options held by Ms. Mueller, all of which are fully vested.</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Shares reflected in the table include 14,748 shares issuable pursuant to outstanding stock options held by Mr. Sheehan, all of which are fully vested. On April 9, 2021, Mr. Sheehan exercised and sold 5,000 of the foregoing options.</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Shares reflected in the table include 4,224 shares issuable pursuant to outstanding stock options held by Ms. Storms, all of which are fully vested.</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addition to Messrs. Jenkins and King who each serve as a director.</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Shares reflected in the table include 7,806 shares issuable pursuant to outstanding stock options held by Mr. Bowman that are exercisable within 60 days of April 8, 2021.</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Shares reflected in the table include 7,544 shares issuable pursuant to outstanding stock options held by Mr. Edmund that are exercisable within 60 days of April 8, 2021.</w:t>
      </w:r>
    </w:p>
    <w:p>
      <w:pPr>
        <w:spacing w:after="0" w:line="10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Shares reflected in the table include 91,964 shares issuable pursuant to outstanding stock options held by Ms. Manning that are exercisable within 60 days of April 8, 2021.</w:t>
      </w:r>
    </w:p>
    <w:p>
      <w:pPr>
        <w:spacing w:after="0" w:line="10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Shares reflected in the table include 119,647 shares issuable pursuant to outstanding stock options held by Mr. Mulleady that are exercisable within 60 days of April 8, 2021.</w:t>
      </w:r>
    </w:p>
    <w:p>
      <w:pPr>
        <w:spacing w:after="0" w:line="10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Shares reflected in the table include a total of 982,306 shares issuable pursuant to outstanding stock options held by our Executive Officers and Directors as a group that are exercisable within 60 days of April 8, 2021.</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left="3440"/>
        <w:spacing w:after="0"/>
        <w:rPr>
          <w:sz w:val="20"/>
          <w:szCs w:val="20"/>
          <w:color w:val="auto"/>
        </w:rPr>
      </w:pPr>
      <w:r>
        <w:rPr>
          <w:rFonts w:ascii="Arial" w:cs="Arial" w:eastAsia="Arial" w:hAnsi="Arial"/>
          <w:sz w:val="39"/>
          <w:szCs w:val="39"/>
          <w:color w:val="003B71"/>
        </w:rPr>
        <w:t>EXECUTIVE OFFICERS</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furnishing below certain biographical information about our executive officers.</w:t>
      </w:r>
    </w:p>
    <w:p>
      <w:pPr>
        <w:spacing w:after="0" w:line="235" w:lineRule="exact"/>
        <w:rPr>
          <w:sz w:val="20"/>
          <w:szCs w:val="20"/>
          <w:color w:val="auto"/>
        </w:rPr>
      </w:pPr>
    </w:p>
    <w:p>
      <w:pPr>
        <w:ind w:left="280"/>
        <w:spacing w:after="0"/>
        <w:tabs>
          <w:tab w:leader="none" w:pos="5680" w:val="left"/>
        </w:tabs>
        <w:rPr>
          <w:sz w:val="20"/>
          <w:szCs w:val="20"/>
          <w:color w:val="auto"/>
        </w:rPr>
      </w:pPr>
      <w:r>
        <w:rPr>
          <w:rFonts w:ascii="Arial" w:cs="Arial" w:eastAsia="Arial" w:hAnsi="Arial"/>
          <w:sz w:val="16"/>
          <w:szCs w:val="16"/>
          <w:b w:val="1"/>
          <w:bCs w:val="1"/>
          <w:color w:val="FFFFFF"/>
        </w:rPr>
        <w:t>Kevin Bachus</w:t>
      </w:r>
      <w:r>
        <w:rPr>
          <w:sz w:val="20"/>
          <w:szCs w:val="20"/>
          <w:color w:val="auto"/>
        </w:rPr>
        <w:tab/>
      </w:r>
      <w:r>
        <w:rPr>
          <w:rFonts w:ascii="Arial" w:cs="Arial" w:eastAsia="Arial" w:hAnsi="Arial"/>
          <w:sz w:val="16"/>
          <w:szCs w:val="16"/>
          <w:b w:val="1"/>
          <w:bCs w:val="1"/>
          <w:color w:val="FFFFFF"/>
        </w:rPr>
        <w:t>Scott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7003415" cy="4088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03415" cy="408876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Dave &amp; Buster’s Since: 2012</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 53</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8 yrs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23 yrs</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440" w:hanging="162"/>
        <w:spacing w:after="0" w:line="260" w:lineRule="auto"/>
        <w:rPr>
          <w:sz w:val="20"/>
          <w:szCs w:val="20"/>
          <w:color w:val="auto"/>
        </w:rPr>
      </w:pPr>
      <w:r>
        <w:rPr>
          <w:rFonts w:ascii="Arial" w:cs="Arial" w:eastAsia="Arial" w:hAnsi="Arial"/>
          <w:sz w:val="16"/>
          <w:szCs w:val="16"/>
          <w:color w:val="auto"/>
        </w:rPr>
        <w:t>– Senior Vice President of Entertainment and Games Strategy since November 2012.</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Bebo, Inc</w:t>
      </w:r>
      <w:r>
        <w:rPr>
          <w:rFonts w:ascii="Arial" w:cs="Arial" w:eastAsia="Arial" w:hAnsi="Arial"/>
          <w:sz w:val="16"/>
          <w:szCs w:val="16"/>
          <w:color w:val="auto"/>
        </w:rPr>
        <w:t>., an international social networking site:</w:t>
      </w:r>
    </w:p>
    <w:p>
      <w:pPr>
        <w:spacing w:after="0" w:line="5" w:lineRule="exact"/>
        <w:rPr>
          <w:sz w:val="20"/>
          <w:szCs w:val="20"/>
          <w:color w:val="auto"/>
        </w:rPr>
      </w:pP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Chief Product Officer (2010-2012)</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IMO Entertainment</w:t>
      </w:r>
      <w:r>
        <w:rPr>
          <w:rFonts w:ascii="Arial" w:cs="Arial" w:eastAsia="Arial" w:hAnsi="Arial"/>
          <w:sz w:val="16"/>
          <w:szCs w:val="16"/>
          <w:color w:val="auto"/>
        </w:rPr>
        <w:t>, a social networking services company:</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EVP and Chief Product Officer (2009-2010)</w:t>
      </w:r>
    </w:p>
    <w:p>
      <w:pPr>
        <w:spacing w:after="0" w:line="5" w:lineRule="exact"/>
        <w:rPr>
          <w:rFonts w:ascii="Arial" w:cs="Arial" w:eastAsia="Arial" w:hAnsi="Arial"/>
          <w:sz w:val="16"/>
          <w:szCs w:val="16"/>
          <w:color w:val="003B71"/>
        </w:rPr>
      </w:pPr>
    </w:p>
    <w:p>
      <w:pPr>
        <w:ind w:left="44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Virrata Games, Inc./Play Day TV</w:t>
      </w:r>
      <w:r>
        <w:rPr>
          <w:rFonts w:ascii="Arial" w:cs="Arial" w:eastAsia="Arial" w:hAnsi="Arial"/>
          <w:sz w:val="16"/>
          <w:szCs w:val="16"/>
          <w:color w:val="auto"/>
        </w:rPr>
        <w:t>, an on-demand tv channel offering family-friendly video games:</w:t>
      </w: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SVP and Chief Architect (2008-2009)</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Uprising Studios</w:t>
      </w:r>
      <w:r>
        <w:rPr>
          <w:rFonts w:ascii="Arial" w:cs="Arial" w:eastAsia="Arial" w:hAnsi="Arial"/>
          <w:sz w:val="16"/>
          <w:szCs w:val="16"/>
          <w:color w:val="auto"/>
        </w:rPr>
        <w:t>, a software gaming company:</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CEO (2006-2008)</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Nival Interactive, Inc.</w:t>
      </w:r>
      <w:r>
        <w:rPr>
          <w:rFonts w:ascii="Arial" w:cs="Arial" w:eastAsia="Arial" w:hAnsi="Arial"/>
          <w:sz w:val="16"/>
          <w:szCs w:val="16"/>
          <w:color w:val="auto"/>
        </w:rPr>
        <w:t>, a European video game developer:</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CEO (2005-2006)</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Infinium Labs, Inc</w:t>
      </w:r>
      <w:r>
        <w:rPr>
          <w:rFonts w:ascii="Arial" w:cs="Arial" w:eastAsia="Arial" w:hAnsi="Arial"/>
          <w:sz w:val="16"/>
          <w:szCs w:val="16"/>
          <w:color w:val="auto"/>
        </w:rPr>
        <w:t>., a web technology company:</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CEO and President (2004-2005)</w:t>
      </w:r>
    </w:p>
    <w:p>
      <w:pPr>
        <w:spacing w:after="0" w:line="5" w:lineRule="exact"/>
        <w:rPr>
          <w:rFonts w:ascii="Arial" w:cs="Arial" w:eastAsia="Arial" w:hAnsi="Arial"/>
          <w:sz w:val="16"/>
          <w:szCs w:val="16"/>
          <w:color w:val="003B71"/>
        </w:rPr>
      </w:pPr>
    </w:p>
    <w:p>
      <w:pPr>
        <w:ind w:left="44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Capital Entertainment Group, Inc</w:t>
      </w:r>
      <w:r>
        <w:rPr>
          <w:rFonts w:ascii="Arial" w:cs="Arial" w:eastAsia="Arial" w:hAnsi="Arial"/>
          <w:sz w:val="16"/>
          <w:szCs w:val="16"/>
          <w:color w:val="auto"/>
        </w:rPr>
        <w:t>., an innovative development “incubation” company:</w:t>
      </w: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VP of Publishing (2001-2003)</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Microsoft Corporation</w:t>
      </w:r>
      <w:r>
        <w:rPr>
          <w:rFonts w:ascii="Arial" w:cs="Arial" w:eastAsia="Arial" w:hAnsi="Arial"/>
          <w:sz w:val="16"/>
          <w:szCs w:val="16"/>
          <w:color w:val="auto"/>
        </w:rPr>
        <w:t>, a multinational technology company:</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Director of Third-Party Relations-Xbox (1999-2001)</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68"/>
        </w:numPr>
        <w:rPr>
          <w:rFonts w:ascii="Arial" w:cs="Arial" w:eastAsia="Arial" w:hAnsi="Arial"/>
          <w:sz w:val="16"/>
          <w:szCs w:val="16"/>
          <w:color w:val="003B71"/>
        </w:rPr>
      </w:pPr>
      <w:r>
        <w:rPr>
          <w:rFonts w:ascii="Arial" w:cs="Arial" w:eastAsia="Arial" w:hAnsi="Arial"/>
          <w:sz w:val="16"/>
          <w:szCs w:val="16"/>
          <w:color w:val="auto"/>
        </w:rPr>
        <w:t>Group Product Manager-DirectX (1997-1999)</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B.A. Cinema/Television Production, University of Southern California</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Dave &amp; Buster’s Since: 2019</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 54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2 yrs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2 yrs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Senior Vice President and Chief Financial Officer since May 2019.</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Hibbet Sports, Inc</w:t>
      </w:r>
      <w:r>
        <w:rPr>
          <w:rFonts w:ascii="Arial" w:cs="Arial" w:eastAsia="Arial" w:hAnsi="Arial"/>
          <w:sz w:val="16"/>
          <w:szCs w:val="16"/>
          <w:color w:val="auto"/>
        </w:rPr>
        <w:t>., a regional sporting goods company:</w:t>
      </w:r>
    </w:p>
    <w:p>
      <w:pPr>
        <w:spacing w:after="0" w:line="5" w:lineRule="exact"/>
        <w:rPr>
          <w:sz w:val="20"/>
          <w:szCs w:val="20"/>
          <w:color w:val="auto"/>
        </w:rPr>
      </w:pPr>
    </w:p>
    <w:p>
      <w:pPr>
        <w:ind w:left="280" w:hanging="113"/>
        <w:spacing w:after="0"/>
        <w:tabs>
          <w:tab w:leader="none" w:pos="280" w:val="left"/>
        </w:tabs>
        <w:numPr>
          <w:ilvl w:val="1"/>
          <w:numId w:val="69"/>
        </w:numPr>
        <w:rPr>
          <w:rFonts w:ascii="Arial" w:cs="Arial" w:eastAsia="Arial" w:hAnsi="Arial"/>
          <w:sz w:val="16"/>
          <w:szCs w:val="16"/>
          <w:color w:val="003B71"/>
        </w:rPr>
      </w:pPr>
      <w:r>
        <w:rPr>
          <w:rFonts w:ascii="Arial" w:cs="Arial" w:eastAsia="Arial" w:hAnsi="Arial"/>
          <w:sz w:val="16"/>
          <w:szCs w:val="16"/>
          <w:color w:val="auto"/>
        </w:rPr>
        <w:t>SVP and CFO (2012-2019)</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i w:val="1"/>
          <w:iCs w:val="1"/>
          <w:color w:val="auto"/>
        </w:rPr>
        <w:t>– The Home Depot, Inc.:</w:t>
      </w:r>
    </w:p>
    <w:p>
      <w:pPr>
        <w:spacing w:after="0" w:line="5" w:lineRule="exact"/>
        <w:rPr>
          <w:rFonts w:ascii="Arial" w:cs="Arial" w:eastAsia="Arial" w:hAnsi="Arial"/>
          <w:sz w:val="16"/>
          <w:szCs w:val="16"/>
          <w:color w:val="003B71"/>
        </w:rPr>
      </w:pPr>
    </w:p>
    <w:p>
      <w:pPr>
        <w:ind w:left="320" w:right="260" w:hanging="153"/>
        <w:spacing w:after="0" w:line="260" w:lineRule="auto"/>
        <w:tabs>
          <w:tab w:leader="none" w:pos="279" w:val="left"/>
        </w:tabs>
        <w:numPr>
          <w:ilvl w:val="1"/>
          <w:numId w:val="69"/>
        </w:numPr>
        <w:rPr>
          <w:rFonts w:ascii="Arial" w:cs="Arial" w:eastAsia="Arial" w:hAnsi="Arial"/>
          <w:sz w:val="16"/>
          <w:szCs w:val="16"/>
          <w:color w:val="003B71"/>
        </w:rPr>
      </w:pPr>
      <w:r>
        <w:rPr>
          <w:rFonts w:ascii="Arial" w:cs="Arial" w:eastAsia="Arial" w:hAnsi="Arial"/>
          <w:sz w:val="16"/>
          <w:szCs w:val="16"/>
          <w:color w:val="auto"/>
        </w:rPr>
        <w:t>Multiple positions, including, Division CFO – Northern Division (2003-2012)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B.S. Accounting and Finance, University of Miami, Ohio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M.B.A. Emory University – Goizueta Business School</w:t>
      </w:r>
    </w:p>
    <w:p>
      <w:pPr>
        <w:spacing w:after="0" w:line="169" w:lineRule="exact"/>
        <w:rPr>
          <w:sz w:val="20"/>
          <w:szCs w:val="20"/>
          <w:color w:val="auto"/>
        </w:rPr>
      </w:pPr>
    </w:p>
    <w:p>
      <w:pPr>
        <w:sectPr>
          <w:pgSz w:w="11900" w:h="16838" w:orient="portrait"/>
          <w:cols w:equalWidth="0" w:num="2">
            <w:col w:w="5380" w:space="320"/>
            <w:col w:w="5440"/>
          </w:cols>
          <w:pgMar w:left="320" w:top="459" w:right="439" w:bottom="1440" w:gutter="0" w:footer="0" w:header="0"/>
          <w:type w:val="continuous"/>
        </w:sect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80"/>
        <w:spacing w:after="0"/>
        <w:tabs>
          <w:tab w:leader="none" w:pos="5680" w:val="left"/>
        </w:tabs>
        <w:rPr>
          <w:sz w:val="20"/>
          <w:szCs w:val="20"/>
          <w:color w:val="auto"/>
        </w:rPr>
      </w:pPr>
      <w:r>
        <w:rPr>
          <w:rFonts w:ascii="Arial" w:cs="Arial" w:eastAsia="Arial" w:hAnsi="Arial"/>
          <w:sz w:val="16"/>
          <w:szCs w:val="16"/>
          <w:b w:val="1"/>
          <w:bCs w:val="1"/>
          <w:color w:val="FFFFFF"/>
        </w:rPr>
        <w:t>Brandon Coleman III</w:t>
      </w:r>
      <w:r>
        <w:rPr>
          <w:sz w:val="20"/>
          <w:szCs w:val="20"/>
          <w:color w:val="auto"/>
        </w:rPr>
        <w:tab/>
      </w:r>
      <w:r>
        <w:rPr>
          <w:rFonts w:ascii="Arial" w:cs="Arial" w:eastAsia="Arial" w:hAnsi="Arial"/>
          <w:sz w:val="16"/>
          <w:szCs w:val="16"/>
          <w:b w:val="1"/>
          <w:bCs w:val="1"/>
          <w:color w:val="FFFFFF"/>
        </w:rPr>
        <w:t>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7003415" cy="3737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03415" cy="37376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Dave &amp; Buster’s Since: 2020</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 38</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14 yrs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1 yr</w:t>
      </w: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440" w:hanging="162"/>
        <w:spacing w:after="0" w:line="260" w:lineRule="auto"/>
        <w:rPr>
          <w:sz w:val="20"/>
          <w:szCs w:val="20"/>
          <w:color w:val="auto"/>
        </w:rPr>
      </w:pPr>
      <w:r>
        <w:rPr>
          <w:rFonts w:ascii="Arial" w:cs="Arial" w:eastAsia="Arial" w:hAnsi="Arial"/>
          <w:sz w:val="16"/>
          <w:szCs w:val="16"/>
          <w:color w:val="auto"/>
        </w:rPr>
        <w:t>– Senior Vice President and Chief Marketing Officer since February 2020.</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440" w:hanging="162"/>
        <w:spacing w:after="0" w:line="24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Del Frisco’s Restaurant Group</w:t>
      </w:r>
      <w:r>
        <w:rPr>
          <w:rFonts w:ascii="Arial" w:cs="Arial" w:eastAsia="Arial" w:hAnsi="Arial"/>
          <w:sz w:val="16"/>
          <w:szCs w:val="16"/>
          <w:color w:val="auto"/>
        </w:rPr>
        <w:t>, an American multi-brand restaurant company focused on steaks:</w:t>
      </w:r>
    </w:p>
    <w:p>
      <w:pPr>
        <w:ind w:left="600" w:hanging="165"/>
        <w:spacing w:after="0" w:line="246" w:lineRule="auto"/>
        <w:tabs>
          <w:tab w:leader="none" w:pos="559" w:val="left"/>
        </w:tabs>
        <w:numPr>
          <w:ilvl w:val="1"/>
          <w:numId w:val="72"/>
        </w:numPr>
        <w:rPr>
          <w:rFonts w:ascii="Arial" w:cs="Arial" w:eastAsia="Arial" w:hAnsi="Arial"/>
          <w:sz w:val="16"/>
          <w:szCs w:val="16"/>
          <w:color w:val="003B71"/>
        </w:rPr>
      </w:pPr>
      <w:r>
        <w:rPr>
          <w:rFonts w:ascii="Arial" w:cs="Arial" w:eastAsia="Arial" w:hAnsi="Arial"/>
          <w:sz w:val="16"/>
          <w:szCs w:val="16"/>
          <w:color w:val="auto"/>
        </w:rPr>
        <w:t>Various positions, including President of Del Frisco’s Grille (Aug 2017-Nov 2019) and CMO (Dec 2016-Oct 2017)</w:t>
      </w:r>
    </w:p>
    <w:p>
      <w:pPr>
        <w:ind w:left="44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Brava Partners</w:t>
      </w:r>
      <w:r>
        <w:rPr>
          <w:rFonts w:ascii="Arial" w:cs="Arial" w:eastAsia="Arial" w:hAnsi="Arial"/>
          <w:sz w:val="16"/>
          <w:szCs w:val="16"/>
          <w:color w:val="auto"/>
        </w:rPr>
        <w:t>, a consulting group focused on brand strategies and planning:</w:t>
      </w:r>
    </w:p>
    <w:p>
      <w:pPr>
        <w:ind w:left="560" w:hanging="125"/>
        <w:spacing w:after="0"/>
        <w:tabs>
          <w:tab w:leader="none" w:pos="560" w:val="left"/>
        </w:tabs>
        <w:numPr>
          <w:ilvl w:val="1"/>
          <w:numId w:val="72"/>
        </w:numPr>
        <w:rPr>
          <w:rFonts w:ascii="Arial" w:cs="Arial" w:eastAsia="Arial" w:hAnsi="Arial"/>
          <w:sz w:val="16"/>
          <w:szCs w:val="16"/>
          <w:color w:val="003B71"/>
        </w:rPr>
      </w:pPr>
      <w:r>
        <w:rPr>
          <w:rFonts w:ascii="Arial" w:cs="Arial" w:eastAsia="Arial" w:hAnsi="Arial"/>
          <w:sz w:val="16"/>
          <w:szCs w:val="16"/>
          <w:color w:val="auto"/>
        </w:rPr>
        <w:t>CEO and Management Consultant (Jul 2013-Dec 2016)</w:t>
      </w:r>
    </w:p>
    <w:p>
      <w:pPr>
        <w:spacing w:after="0" w:line="5" w:lineRule="exact"/>
        <w:rPr>
          <w:rFonts w:ascii="Arial" w:cs="Arial" w:eastAsia="Arial" w:hAnsi="Arial"/>
          <w:sz w:val="16"/>
          <w:szCs w:val="16"/>
          <w:color w:val="003B71"/>
        </w:rPr>
      </w:pPr>
    </w:p>
    <w:p>
      <w:pPr>
        <w:ind w:left="44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Snapfinger, Inc.</w:t>
      </w:r>
      <w:r>
        <w:rPr>
          <w:rFonts w:ascii="Arial" w:cs="Arial" w:eastAsia="Arial" w:hAnsi="Arial"/>
          <w:sz w:val="16"/>
          <w:szCs w:val="16"/>
          <w:color w:val="auto"/>
        </w:rPr>
        <w:t>, a start-up company focused on mobile app food ordering:</w:t>
      </w:r>
    </w:p>
    <w:p>
      <w:pPr>
        <w:ind w:left="560" w:hanging="125"/>
        <w:spacing w:after="0"/>
        <w:tabs>
          <w:tab w:leader="none" w:pos="560" w:val="left"/>
        </w:tabs>
        <w:numPr>
          <w:ilvl w:val="1"/>
          <w:numId w:val="72"/>
        </w:numPr>
        <w:rPr>
          <w:rFonts w:ascii="Arial" w:cs="Arial" w:eastAsia="Arial" w:hAnsi="Arial"/>
          <w:sz w:val="16"/>
          <w:szCs w:val="16"/>
          <w:color w:val="003B71"/>
        </w:rPr>
      </w:pPr>
      <w:r>
        <w:rPr>
          <w:rFonts w:ascii="Arial" w:cs="Arial" w:eastAsia="Arial" w:hAnsi="Arial"/>
          <w:sz w:val="16"/>
          <w:szCs w:val="16"/>
          <w:color w:val="auto"/>
        </w:rPr>
        <w:t>CMO (2013)</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Romano’s Macaroni Grill,</w:t>
      </w:r>
      <w:r>
        <w:rPr>
          <w:rFonts w:ascii="Arial" w:cs="Arial" w:eastAsia="Arial" w:hAnsi="Arial"/>
          <w:sz w:val="16"/>
          <w:szCs w:val="16"/>
          <w:color w:val="auto"/>
        </w:rPr>
        <w:t xml:space="preserve"> an American casual dining brand:</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2"/>
        </w:numPr>
        <w:rPr>
          <w:rFonts w:ascii="Arial" w:cs="Arial" w:eastAsia="Arial" w:hAnsi="Arial"/>
          <w:sz w:val="16"/>
          <w:szCs w:val="16"/>
          <w:color w:val="003B71"/>
        </w:rPr>
      </w:pPr>
      <w:r>
        <w:rPr>
          <w:rFonts w:ascii="Arial" w:cs="Arial" w:eastAsia="Arial" w:hAnsi="Arial"/>
          <w:sz w:val="16"/>
          <w:szCs w:val="16"/>
          <w:color w:val="auto"/>
        </w:rPr>
        <w:t>CMO (2010-2013)</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Restaurants Unlimited, Inc.,</w:t>
      </w:r>
      <w:r>
        <w:rPr>
          <w:rFonts w:ascii="Arial" w:cs="Arial" w:eastAsia="Arial" w:hAnsi="Arial"/>
          <w:sz w:val="16"/>
          <w:szCs w:val="16"/>
          <w:color w:val="auto"/>
        </w:rPr>
        <w:t xml:space="preserve"> a multi-concept restaurant co.:</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2"/>
        </w:numPr>
        <w:rPr>
          <w:rFonts w:ascii="Arial" w:cs="Arial" w:eastAsia="Arial" w:hAnsi="Arial"/>
          <w:sz w:val="16"/>
          <w:szCs w:val="16"/>
          <w:color w:val="003B71"/>
        </w:rPr>
      </w:pPr>
      <w:r>
        <w:rPr>
          <w:rFonts w:ascii="Arial" w:cs="Arial" w:eastAsia="Arial" w:hAnsi="Arial"/>
          <w:sz w:val="16"/>
          <w:szCs w:val="16"/>
          <w:color w:val="auto"/>
        </w:rPr>
        <w:t>VP of Marketing (2009-2010)</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Carino’s Italian Grill,</w:t>
      </w:r>
      <w:r>
        <w:rPr>
          <w:rFonts w:ascii="Arial" w:cs="Arial" w:eastAsia="Arial" w:hAnsi="Arial"/>
          <w:sz w:val="16"/>
          <w:szCs w:val="16"/>
          <w:color w:val="auto"/>
        </w:rPr>
        <w:t xml:space="preserve"> a multi-national Italian casual dining brand:</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2"/>
        </w:numPr>
        <w:rPr>
          <w:rFonts w:ascii="Arial" w:cs="Arial" w:eastAsia="Arial" w:hAnsi="Arial"/>
          <w:sz w:val="16"/>
          <w:szCs w:val="16"/>
          <w:color w:val="003B71"/>
        </w:rPr>
      </w:pPr>
      <w:r>
        <w:rPr>
          <w:rFonts w:ascii="Arial" w:cs="Arial" w:eastAsia="Arial" w:hAnsi="Arial"/>
          <w:sz w:val="16"/>
          <w:szCs w:val="16"/>
          <w:color w:val="auto"/>
        </w:rPr>
        <w:t>Director of Marketing (2006-2008)</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B.B.A. Marketing, Texas A&amp;M University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Dave &amp; Buster’s Since: 2018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 47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3 yrs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3 yrs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160" w:right="320" w:hanging="162"/>
        <w:spacing w:after="0" w:line="260" w:lineRule="auto"/>
        <w:rPr>
          <w:sz w:val="20"/>
          <w:szCs w:val="20"/>
          <w:color w:val="auto"/>
        </w:rPr>
      </w:pPr>
      <w:r>
        <w:rPr>
          <w:rFonts w:ascii="Arial" w:cs="Arial" w:eastAsia="Arial" w:hAnsi="Arial"/>
          <w:sz w:val="16"/>
          <w:szCs w:val="16"/>
          <w:color w:val="auto"/>
        </w:rPr>
        <w:t>– General Counsel, Secretary and SVP of Human Resources since October 2018.</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160" w:right="340" w:hanging="162"/>
        <w:spacing w:after="0" w:line="24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KForce Inc</w:t>
      </w:r>
      <w:r>
        <w:rPr>
          <w:rFonts w:ascii="Arial" w:cs="Arial" w:eastAsia="Arial" w:hAnsi="Arial"/>
          <w:sz w:val="16"/>
          <w:szCs w:val="16"/>
          <w:color w:val="auto"/>
        </w:rPr>
        <w:t>., a publicly traded professional staffing and solutions firm focused on technology and accounting &amp; financial services:</w:t>
      </w:r>
    </w:p>
    <w:p>
      <w:pPr>
        <w:ind w:left="320" w:right="320" w:hanging="153"/>
        <w:spacing w:after="0" w:line="246" w:lineRule="auto"/>
        <w:tabs>
          <w:tab w:leader="none" w:pos="279" w:val="left"/>
        </w:tabs>
        <w:numPr>
          <w:ilvl w:val="1"/>
          <w:numId w:val="74"/>
        </w:numPr>
        <w:rPr>
          <w:rFonts w:ascii="Arial" w:cs="Arial" w:eastAsia="Arial" w:hAnsi="Arial"/>
          <w:sz w:val="16"/>
          <w:szCs w:val="16"/>
          <w:color w:val="003B71"/>
        </w:rPr>
      </w:pPr>
      <w:r>
        <w:rPr>
          <w:rFonts w:ascii="Arial" w:cs="Arial" w:eastAsia="Arial" w:hAnsi="Arial"/>
          <w:sz w:val="16"/>
          <w:szCs w:val="16"/>
          <w:color w:val="auto"/>
        </w:rPr>
        <w:t>Various positions, including Chief Talent, Legal &amp; Risk Officer (Feb 2014-Oct 2018)</w:t>
      </w:r>
    </w:p>
    <w:p>
      <w:pPr>
        <w:ind w:left="160" w:right="320" w:hanging="162"/>
        <w:spacing w:after="0" w:line="246"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PetSmart, Inc</w:t>
      </w:r>
      <w:r>
        <w:rPr>
          <w:rFonts w:ascii="Arial" w:cs="Arial" w:eastAsia="Arial" w:hAnsi="Arial"/>
          <w:sz w:val="16"/>
          <w:szCs w:val="16"/>
          <w:color w:val="auto"/>
        </w:rPr>
        <w:t>., a leading pet animal products and services retail chain:</w:t>
      </w:r>
    </w:p>
    <w:p>
      <w:pPr>
        <w:ind w:left="320" w:right="320" w:hanging="153"/>
        <w:spacing w:after="0" w:line="246" w:lineRule="auto"/>
        <w:tabs>
          <w:tab w:leader="none" w:pos="279" w:val="left"/>
        </w:tabs>
        <w:numPr>
          <w:ilvl w:val="1"/>
          <w:numId w:val="74"/>
        </w:numPr>
        <w:rPr>
          <w:rFonts w:ascii="Arial" w:cs="Arial" w:eastAsia="Arial" w:hAnsi="Arial"/>
          <w:sz w:val="16"/>
          <w:szCs w:val="16"/>
          <w:color w:val="003B71"/>
        </w:rPr>
      </w:pPr>
      <w:r>
        <w:rPr>
          <w:rFonts w:ascii="Arial" w:cs="Arial" w:eastAsia="Arial" w:hAnsi="Arial"/>
          <w:sz w:val="16"/>
          <w:szCs w:val="16"/>
          <w:color w:val="auto"/>
        </w:rPr>
        <w:t>Various positions, including VP, Legal – Business Operations (2009-Feb 2014)</w:t>
      </w:r>
    </w:p>
    <w:p>
      <w:pPr>
        <w:ind w:left="160" w:right="320" w:hanging="162"/>
        <w:spacing w:after="0" w:line="253" w:lineRule="auto"/>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Ohio Business Roundtable</w:t>
      </w:r>
      <w:r>
        <w:rPr>
          <w:rFonts w:ascii="Arial" w:cs="Arial" w:eastAsia="Arial" w:hAnsi="Arial"/>
          <w:sz w:val="16"/>
          <w:szCs w:val="16"/>
          <w:color w:val="auto"/>
        </w:rPr>
        <w:t>, an independent, non-partisan organization of Ohio-based CEOs focused on bettering Ohio’s business climate:</w:t>
      </w:r>
    </w:p>
    <w:p>
      <w:pPr>
        <w:spacing w:after="0" w:line="179" w:lineRule="exact"/>
        <w:rPr>
          <w:rFonts w:ascii="Arial" w:cs="Arial" w:eastAsia="Arial" w:hAnsi="Arial"/>
          <w:sz w:val="16"/>
          <w:szCs w:val="16"/>
          <w:color w:val="003B71"/>
        </w:rPr>
      </w:pPr>
    </w:p>
    <w:p>
      <w:pPr>
        <w:ind w:left="280" w:hanging="113"/>
        <w:spacing w:after="0"/>
        <w:tabs>
          <w:tab w:leader="none" w:pos="280" w:val="left"/>
        </w:tabs>
        <w:numPr>
          <w:ilvl w:val="1"/>
          <w:numId w:val="74"/>
        </w:numPr>
        <w:rPr>
          <w:rFonts w:ascii="Arial" w:cs="Arial" w:eastAsia="Arial" w:hAnsi="Arial"/>
          <w:sz w:val="16"/>
          <w:szCs w:val="16"/>
          <w:color w:val="003B71"/>
        </w:rPr>
      </w:pPr>
      <w:r>
        <w:rPr>
          <w:rFonts w:ascii="Arial" w:cs="Arial" w:eastAsia="Arial" w:hAnsi="Arial"/>
          <w:sz w:val="16"/>
          <w:szCs w:val="16"/>
          <w:color w:val="auto"/>
        </w:rPr>
        <w:t>Director of Policy and General Counsel (2008-2009)</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Porter Wright Morris &amp; Arthur LLP</w:t>
      </w:r>
      <w:r>
        <w:rPr>
          <w:rFonts w:ascii="Arial" w:cs="Arial" w:eastAsia="Arial" w:hAnsi="Arial"/>
          <w:sz w:val="16"/>
          <w:szCs w:val="16"/>
          <w:color w:val="auto"/>
        </w:rPr>
        <w:t>., a multi-state full- service law firm:</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74"/>
        </w:numPr>
        <w:rPr>
          <w:rFonts w:ascii="Arial" w:cs="Arial" w:eastAsia="Arial" w:hAnsi="Arial"/>
          <w:sz w:val="16"/>
          <w:szCs w:val="16"/>
          <w:color w:val="003B71"/>
        </w:rPr>
      </w:pPr>
      <w:r>
        <w:rPr>
          <w:rFonts w:ascii="Arial" w:cs="Arial" w:eastAsia="Arial" w:hAnsi="Arial"/>
          <w:sz w:val="16"/>
          <w:szCs w:val="16"/>
          <w:color w:val="auto"/>
        </w:rPr>
        <w:t>Various positions, including Partner (2004-2008)</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B.A. Political Science &amp; Philosophy, The Ohio State University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J.D. Harvard Law School</w:t>
      </w:r>
    </w:p>
    <w:p>
      <w:pPr>
        <w:spacing w:after="0" w:line="169" w:lineRule="exact"/>
        <w:rPr>
          <w:sz w:val="20"/>
          <w:szCs w:val="20"/>
          <w:color w:val="auto"/>
        </w:rPr>
      </w:pPr>
    </w:p>
    <w:p>
      <w:pPr>
        <w:sectPr>
          <w:pgSz w:w="11900" w:h="16838" w:orient="portrait"/>
          <w:cols w:equalWidth="0" w:num="2">
            <w:col w:w="5320" w:space="380"/>
            <w:col w:w="5440"/>
          </w:cols>
          <w:pgMar w:left="320" w:top="459" w:right="439" w:bottom="1440" w:gutter="0" w:footer="0" w:header="0"/>
          <w:type w:val="continuous"/>
        </w:sect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80"/>
        <w:spacing w:after="0"/>
        <w:tabs>
          <w:tab w:leader="none" w:pos="5680" w:val="left"/>
        </w:tabs>
        <w:rPr>
          <w:sz w:val="20"/>
          <w:szCs w:val="20"/>
          <w:color w:val="auto"/>
        </w:rPr>
      </w:pPr>
      <w:r>
        <w:rPr>
          <w:rFonts w:ascii="Arial" w:cs="Arial" w:eastAsia="Arial" w:hAnsi="Arial"/>
          <w:sz w:val="16"/>
          <w:szCs w:val="16"/>
          <w:b w:val="1"/>
          <w:bCs w:val="1"/>
          <w:color w:val="FFFFFF"/>
        </w:rPr>
        <w:t>JP Hurtado</w:t>
      </w:r>
      <w:r>
        <w:rPr>
          <w:sz w:val="20"/>
          <w:szCs w:val="20"/>
          <w:color w:val="auto"/>
        </w:rPr>
        <w:tab/>
      </w:r>
      <w:r>
        <w:rPr>
          <w:rFonts w:ascii="Arial" w:cs="Arial" w:eastAsia="Arial" w:hAnsi="Arial"/>
          <w:sz w:val="16"/>
          <w:szCs w:val="16"/>
          <w:b w:val="1"/>
          <w:bCs w:val="1"/>
          <w:color w:val="FFFFFF"/>
        </w:rPr>
        <w:t>Margo L.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7003415" cy="28803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03415" cy="28803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Dave &amp; Buster’s Since: 2018</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 44</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17 yrs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17 yrs</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440" w:hanging="162"/>
        <w:spacing w:after="0" w:line="260" w:lineRule="auto"/>
        <w:rPr>
          <w:sz w:val="20"/>
          <w:szCs w:val="20"/>
          <w:color w:val="auto"/>
        </w:rPr>
      </w:pPr>
      <w:r>
        <w:rPr>
          <w:rFonts w:ascii="Arial" w:cs="Arial" w:eastAsia="Arial" w:hAnsi="Arial"/>
          <w:sz w:val="16"/>
          <w:szCs w:val="16"/>
          <w:color w:val="auto"/>
        </w:rPr>
        <w:t>– Senior Vice President and Chief Technology &amp; Innovation Officer since February 2021.</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Dave &amp; Buster’s Entertainment, Inc.</w:t>
      </w:r>
      <w:r>
        <w:rPr>
          <w:rFonts w:ascii="Arial" w:cs="Arial" w:eastAsia="Arial" w:hAnsi="Arial"/>
          <w:sz w:val="16"/>
          <w:szCs w:val="16"/>
          <w:color w:val="auto"/>
        </w:rPr>
        <w:t>:</w:t>
      </w:r>
    </w:p>
    <w:p>
      <w:pPr>
        <w:spacing w:after="0" w:line="5" w:lineRule="exact"/>
        <w:rPr>
          <w:sz w:val="20"/>
          <w:szCs w:val="20"/>
          <w:color w:val="auto"/>
        </w:rPr>
      </w:pPr>
    </w:p>
    <w:p>
      <w:pPr>
        <w:ind w:left="560" w:hanging="125"/>
        <w:spacing w:after="0"/>
        <w:tabs>
          <w:tab w:leader="none" w:pos="560" w:val="left"/>
        </w:tabs>
        <w:numPr>
          <w:ilvl w:val="1"/>
          <w:numId w:val="77"/>
        </w:numPr>
        <w:rPr>
          <w:rFonts w:ascii="Arial" w:cs="Arial" w:eastAsia="Arial" w:hAnsi="Arial"/>
          <w:sz w:val="16"/>
          <w:szCs w:val="16"/>
          <w:color w:val="003B71"/>
        </w:rPr>
      </w:pPr>
      <w:r>
        <w:rPr>
          <w:rFonts w:ascii="Arial" w:cs="Arial" w:eastAsia="Arial" w:hAnsi="Arial"/>
          <w:sz w:val="16"/>
          <w:szCs w:val="16"/>
          <w:color w:val="auto"/>
        </w:rPr>
        <w:t>SVP and CIO (May 2019-February 2021)</w:t>
      </w:r>
    </w:p>
    <w:p>
      <w:pPr>
        <w:spacing w:after="0" w:line="5" w:lineRule="exact"/>
        <w:rPr>
          <w:rFonts w:ascii="Arial" w:cs="Arial" w:eastAsia="Arial" w:hAnsi="Arial"/>
          <w:sz w:val="16"/>
          <w:szCs w:val="16"/>
          <w:color w:val="003B71"/>
        </w:rPr>
      </w:pPr>
    </w:p>
    <w:p>
      <w:pPr>
        <w:ind w:left="560" w:hanging="125"/>
        <w:spacing w:after="0"/>
        <w:tabs>
          <w:tab w:leader="none" w:pos="560" w:val="left"/>
        </w:tabs>
        <w:numPr>
          <w:ilvl w:val="1"/>
          <w:numId w:val="77"/>
        </w:numPr>
        <w:rPr>
          <w:rFonts w:ascii="Arial" w:cs="Arial" w:eastAsia="Arial" w:hAnsi="Arial"/>
          <w:sz w:val="16"/>
          <w:szCs w:val="16"/>
          <w:color w:val="003B71"/>
        </w:rPr>
      </w:pPr>
      <w:r>
        <w:rPr>
          <w:rFonts w:ascii="Arial" w:cs="Arial" w:eastAsia="Arial" w:hAnsi="Arial"/>
          <w:sz w:val="16"/>
          <w:szCs w:val="16"/>
          <w:color w:val="auto"/>
        </w:rPr>
        <w:t>VP and CIO (May 2018-May 2019)</w:t>
      </w:r>
    </w:p>
    <w:p>
      <w:pPr>
        <w:spacing w:after="0" w:line="5" w:lineRule="exact"/>
        <w:rPr>
          <w:rFonts w:ascii="Arial" w:cs="Arial" w:eastAsia="Arial" w:hAnsi="Arial"/>
          <w:sz w:val="16"/>
          <w:szCs w:val="16"/>
          <w:color w:val="003B71"/>
        </w:rPr>
      </w:pPr>
    </w:p>
    <w:p>
      <w:pPr>
        <w:ind w:left="28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Royal Caribbean Cruises, Ltd.,</w:t>
      </w:r>
      <w:r>
        <w:rPr>
          <w:rFonts w:ascii="Arial" w:cs="Arial" w:eastAsia="Arial" w:hAnsi="Arial"/>
          <w:sz w:val="16"/>
          <w:szCs w:val="16"/>
          <w:color w:val="auto"/>
        </w:rPr>
        <w:t xml:space="preserve"> a leading global cruise line operator:</w:t>
      </w:r>
    </w:p>
    <w:p>
      <w:pPr>
        <w:spacing w:after="0" w:line="5" w:lineRule="exact"/>
        <w:rPr>
          <w:rFonts w:ascii="Arial" w:cs="Arial" w:eastAsia="Arial" w:hAnsi="Arial"/>
          <w:sz w:val="16"/>
          <w:szCs w:val="16"/>
          <w:color w:val="003B71"/>
        </w:rPr>
      </w:pPr>
    </w:p>
    <w:p>
      <w:pPr>
        <w:jc w:val="both"/>
        <w:ind w:left="600" w:hanging="165"/>
        <w:spacing w:after="0" w:line="253" w:lineRule="auto"/>
        <w:tabs>
          <w:tab w:leader="none" w:pos="559" w:val="left"/>
        </w:tabs>
        <w:numPr>
          <w:ilvl w:val="1"/>
          <w:numId w:val="77"/>
        </w:numPr>
        <w:rPr>
          <w:rFonts w:ascii="Arial" w:cs="Arial" w:eastAsia="Arial" w:hAnsi="Arial"/>
          <w:sz w:val="16"/>
          <w:szCs w:val="16"/>
          <w:color w:val="003B71"/>
        </w:rPr>
      </w:pPr>
      <w:r>
        <w:rPr>
          <w:rFonts w:ascii="Arial" w:cs="Arial" w:eastAsia="Arial" w:hAnsi="Arial"/>
          <w:sz w:val="16"/>
          <w:szCs w:val="16"/>
          <w:color w:val="auto"/>
        </w:rPr>
        <w:t>Multiple positions (2004-2018), including, AVP, Shipboard Technology (2016-2018) and AVP, Asia Information Technology (2014-2018)</w:t>
      </w:r>
    </w:p>
    <w:p>
      <w:pPr>
        <w:spacing w:after="0" w:line="200" w:lineRule="exact"/>
        <w:rPr>
          <w:sz w:val="20"/>
          <w:szCs w:val="20"/>
          <w:color w:val="auto"/>
        </w:rPr>
      </w:pPr>
    </w:p>
    <w:p>
      <w:pPr>
        <w:spacing w:after="0" w:line="22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B.A. Decision &amp; Information Sciences, University of Florida</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Dave &amp; Buster’s Since: 1991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 56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29 yrs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29 yrs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160" w:right="260" w:hanging="162"/>
        <w:spacing w:after="0" w:line="260" w:lineRule="auto"/>
        <w:rPr>
          <w:sz w:val="20"/>
          <w:szCs w:val="20"/>
          <w:color w:val="auto"/>
        </w:rPr>
      </w:pPr>
      <w:r>
        <w:rPr>
          <w:rFonts w:ascii="Arial" w:cs="Arial" w:eastAsia="Arial" w:hAnsi="Arial"/>
          <w:sz w:val="16"/>
          <w:szCs w:val="16"/>
          <w:color w:val="auto"/>
        </w:rPr>
        <w:t>– Senior Vice President and Chief Operating Officer since December 2016.</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Dave &amp; Buster’s Entertainment, Inc.:</w:t>
      </w:r>
    </w:p>
    <w:p>
      <w:pPr>
        <w:spacing w:after="0" w:line="5" w:lineRule="exact"/>
        <w:rPr>
          <w:sz w:val="20"/>
          <w:szCs w:val="20"/>
          <w:color w:val="auto"/>
        </w:rPr>
      </w:pPr>
    </w:p>
    <w:p>
      <w:pPr>
        <w:ind w:left="280" w:hanging="113"/>
        <w:spacing w:after="0"/>
        <w:tabs>
          <w:tab w:leader="none" w:pos="280" w:val="left"/>
        </w:tabs>
        <w:numPr>
          <w:ilvl w:val="1"/>
          <w:numId w:val="79"/>
        </w:numPr>
        <w:rPr>
          <w:rFonts w:ascii="Arial" w:cs="Arial" w:eastAsia="Arial" w:hAnsi="Arial"/>
          <w:sz w:val="16"/>
          <w:szCs w:val="16"/>
          <w:color w:val="003B71"/>
        </w:rPr>
      </w:pPr>
      <w:r>
        <w:rPr>
          <w:rFonts w:ascii="Arial" w:cs="Arial" w:eastAsia="Arial" w:hAnsi="Arial"/>
          <w:sz w:val="16"/>
          <w:szCs w:val="16"/>
          <w:color w:val="auto"/>
        </w:rPr>
        <w:t>SVP of Human Resources (November 2010-December 2016)</w:t>
      </w:r>
    </w:p>
    <w:p>
      <w:pPr>
        <w:spacing w:after="0" w:line="5" w:lineRule="exact"/>
        <w:rPr>
          <w:rFonts w:ascii="Arial" w:cs="Arial" w:eastAsia="Arial" w:hAnsi="Arial"/>
          <w:sz w:val="16"/>
          <w:szCs w:val="16"/>
          <w:color w:val="003B71"/>
        </w:rPr>
      </w:pPr>
    </w:p>
    <w:p>
      <w:pPr>
        <w:ind w:left="320" w:right="260" w:hanging="153"/>
        <w:spacing w:after="0" w:line="246" w:lineRule="auto"/>
        <w:tabs>
          <w:tab w:leader="none" w:pos="279" w:val="left"/>
        </w:tabs>
        <w:numPr>
          <w:ilvl w:val="1"/>
          <w:numId w:val="79"/>
        </w:numPr>
        <w:rPr>
          <w:rFonts w:ascii="Arial" w:cs="Arial" w:eastAsia="Arial" w:hAnsi="Arial"/>
          <w:sz w:val="16"/>
          <w:szCs w:val="16"/>
          <w:color w:val="003B71"/>
        </w:rPr>
      </w:pPr>
      <w:r>
        <w:rPr>
          <w:rFonts w:ascii="Arial" w:cs="Arial" w:eastAsia="Arial" w:hAnsi="Arial"/>
          <w:sz w:val="16"/>
          <w:szCs w:val="16"/>
          <w:color w:val="auto"/>
        </w:rPr>
        <w:t>SVP of Training and Special Events (September 2006-November 2010)</w:t>
      </w:r>
    </w:p>
    <w:p>
      <w:pPr>
        <w:ind w:left="280" w:hanging="113"/>
        <w:spacing w:after="0"/>
        <w:tabs>
          <w:tab w:leader="none" w:pos="280" w:val="left"/>
        </w:tabs>
        <w:numPr>
          <w:ilvl w:val="1"/>
          <w:numId w:val="79"/>
        </w:numPr>
        <w:rPr>
          <w:rFonts w:ascii="Arial" w:cs="Arial" w:eastAsia="Arial" w:hAnsi="Arial"/>
          <w:sz w:val="16"/>
          <w:szCs w:val="16"/>
          <w:color w:val="003B71"/>
        </w:rPr>
      </w:pPr>
      <w:r>
        <w:rPr>
          <w:rFonts w:ascii="Arial" w:cs="Arial" w:eastAsia="Arial" w:hAnsi="Arial"/>
          <w:sz w:val="16"/>
          <w:szCs w:val="16"/>
          <w:color w:val="auto"/>
        </w:rPr>
        <w:t>VP of Training and Sales (June 2005-September 2006)</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79"/>
        </w:numPr>
        <w:rPr>
          <w:rFonts w:ascii="Arial" w:cs="Arial" w:eastAsia="Arial" w:hAnsi="Arial"/>
          <w:sz w:val="16"/>
          <w:szCs w:val="16"/>
          <w:color w:val="003B71"/>
        </w:rPr>
      </w:pPr>
      <w:r>
        <w:rPr>
          <w:rFonts w:ascii="Arial" w:cs="Arial" w:eastAsia="Arial" w:hAnsi="Arial"/>
          <w:sz w:val="16"/>
          <w:szCs w:val="16"/>
          <w:color w:val="auto"/>
        </w:rPr>
        <w:t>VP of Management Development (September 2001-June 2005)</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i w:val="1"/>
          <w:iCs w:val="1"/>
          <w:color w:val="auto"/>
        </w:rPr>
        <w:t>– Dave &amp; Buster’s Entertainment, Inc. and predecessor companies:</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79"/>
        </w:numPr>
        <w:rPr>
          <w:rFonts w:ascii="Arial" w:cs="Arial" w:eastAsia="Arial" w:hAnsi="Arial"/>
          <w:sz w:val="16"/>
          <w:szCs w:val="16"/>
          <w:color w:val="003B71"/>
        </w:rPr>
      </w:pPr>
      <w:r>
        <w:rPr>
          <w:rFonts w:ascii="Arial" w:cs="Arial" w:eastAsia="Arial" w:hAnsi="Arial"/>
          <w:sz w:val="16"/>
          <w:szCs w:val="16"/>
          <w:color w:val="auto"/>
        </w:rPr>
        <w:t>AVP of Team Development (December 1999-September 2001)</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79"/>
        </w:numPr>
        <w:rPr>
          <w:rFonts w:ascii="Arial" w:cs="Arial" w:eastAsia="Arial" w:hAnsi="Arial"/>
          <w:sz w:val="16"/>
          <w:szCs w:val="16"/>
          <w:color w:val="003B71"/>
        </w:rPr>
      </w:pPr>
      <w:r>
        <w:rPr>
          <w:rFonts w:ascii="Arial" w:cs="Arial" w:eastAsia="Arial" w:hAnsi="Arial"/>
          <w:sz w:val="16"/>
          <w:szCs w:val="16"/>
          <w:color w:val="auto"/>
        </w:rPr>
        <w:t>Various capacities with increasing responsibilities (1991-1999)</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B.A. Advertising &amp; Marketing, Southern Methodist University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M.H.M. University of Houston</w:t>
      </w:r>
    </w:p>
    <w:p>
      <w:pPr>
        <w:spacing w:after="0" w:line="11" w:lineRule="exact"/>
        <w:rPr>
          <w:sz w:val="20"/>
          <w:szCs w:val="20"/>
          <w:color w:val="auto"/>
        </w:rPr>
      </w:pPr>
    </w:p>
    <w:p>
      <w:pPr>
        <w:sectPr>
          <w:pgSz w:w="11900" w:h="16838" w:orient="portrait"/>
          <w:cols w:equalWidth="0" w:num="2">
            <w:col w:w="5400" w:space="300"/>
            <w:col w:w="5440"/>
          </w:cols>
          <w:pgMar w:left="320" w:top="459" w:right="439" w:bottom="1440" w:gutter="0" w:footer="0" w:header="0"/>
          <w:type w:val="continuous"/>
        </w:sectPr>
      </w:pPr>
    </w:p>
    <w:p>
      <w:pPr>
        <w:ind w:left="280"/>
        <w:spacing w:after="0"/>
        <w:tabs>
          <w:tab w:leader="none" w:pos="5680" w:val="left"/>
        </w:tabs>
        <w:rPr>
          <w:sz w:val="20"/>
          <w:szCs w:val="20"/>
          <w:color w:val="auto"/>
        </w:rPr>
      </w:pPr>
      <w:r>
        <w:rPr>
          <w:rFonts w:ascii="Arial" w:cs="Arial" w:eastAsia="Arial" w:hAnsi="Arial"/>
          <w:sz w:val="16"/>
          <w:szCs w:val="16"/>
          <w:b w:val="1"/>
          <w:bCs w:val="1"/>
          <w:color w:val="FFFFFF"/>
        </w:rPr>
        <w:t>Michael J. Metzinger</w:t>
      </w:r>
      <w:r>
        <w:rPr>
          <w:sz w:val="20"/>
          <w:szCs w:val="20"/>
          <w:color w:val="auto"/>
        </w:rPr>
        <w:tab/>
      </w:r>
      <w:r>
        <w:rPr>
          <w:rFonts w:ascii="Arial" w:cs="Arial" w:eastAsia="Arial" w:hAnsi="Arial"/>
          <w:sz w:val="16"/>
          <w:szCs w:val="16"/>
          <w:b w:val="1"/>
          <w:bCs w:val="1"/>
          <w:color w:val="FFFFFF"/>
        </w:rPr>
        <w:t>John Mulleady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-112395</wp:posOffset>
            </wp:positionV>
            <wp:extent cx="7003415" cy="27603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03415" cy="27603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Dave &amp; Buster’s Since: 2005</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Age: 64</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34 yrs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15 yrs</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Vice President-Accounting and Controller since January 2005.</w:t>
      </w: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 Carlson Restaurants Worldwide, Inc.:</w:t>
      </w:r>
    </w:p>
    <w:p>
      <w:pPr>
        <w:spacing w:after="0" w:line="5" w:lineRule="exact"/>
        <w:rPr>
          <w:sz w:val="20"/>
          <w:szCs w:val="20"/>
          <w:color w:val="auto"/>
        </w:rPr>
      </w:pPr>
    </w:p>
    <w:p>
      <w:pPr>
        <w:ind w:left="600" w:hanging="165"/>
        <w:spacing w:after="0" w:line="260" w:lineRule="auto"/>
        <w:tabs>
          <w:tab w:leader="none" w:pos="559" w:val="left"/>
        </w:tabs>
        <w:numPr>
          <w:ilvl w:val="1"/>
          <w:numId w:val="81"/>
        </w:numPr>
        <w:rPr>
          <w:rFonts w:ascii="Arial" w:cs="Arial" w:eastAsia="Arial" w:hAnsi="Arial"/>
          <w:sz w:val="16"/>
          <w:szCs w:val="16"/>
          <w:color w:val="003B71"/>
        </w:rPr>
      </w:pPr>
      <w:r>
        <w:rPr>
          <w:rFonts w:ascii="Arial" w:cs="Arial" w:eastAsia="Arial" w:hAnsi="Arial"/>
          <w:sz w:val="16"/>
          <w:szCs w:val="16"/>
          <w:color w:val="auto"/>
        </w:rPr>
        <w:t>Various positions, including, Executive Director-Financial Reporting (1986-2005)</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B.B.A. Accounting and Finance, University of Texas at Austin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Dave &amp; Buster’s Since: 2012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Age: 60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8 yrs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8 yrs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Position:</w:t>
      </w:r>
    </w:p>
    <w:p>
      <w:pPr>
        <w:spacing w:after="0" w:line="16" w:lineRule="exact"/>
        <w:rPr>
          <w:sz w:val="20"/>
          <w:szCs w:val="20"/>
          <w:color w:val="auto"/>
        </w:rPr>
      </w:pPr>
    </w:p>
    <w:p>
      <w:pPr>
        <w:ind w:left="160" w:right="260" w:hanging="162"/>
        <w:spacing w:after="0" w:line="260" w:lineRule="auto"/>
        <w:rPr>
          <w:sz w:val="20"/>
          <w:szCs w:val="20"/>
          <w:color w:val="auto"/>
        </w:rPr>
      </w:pPr>
      <w:r>
        <w:rPr>
          <w:rFonts w:ascii="Arial" w:cs="Arial" w:eastAsia="Arial" w:hAnsi="Arial"/>
          <w:sz w:val="16"/>
          <w:szCs w:val="16"/>
          <w:color w:val="auto"/>
        </w:rPr>
        <w:t>– Senior Vice President of Real Estate and Development since April 2012.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Business Experience:</w:t>
      </w:r>
    </w:p>
    <w:p>
      <w:pPr>
        <w:spacing w:after="0" w:line="16" w:lineRule="exact"/>
        <w:rPr>
          <w:sz w:val="20"/>
          <w:szCs w:val="20"/>
          <w:color w:val="auto"/>
        </w:rPr>
      </w:pPr>
    </w:p>
    <w:p>
      <w:pPr>
        <w:ind w:left="160" w:right="260" w:hanging="162"/>
        <w:spacing w:after="0" w:line="246"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BJ’s Wholesale Club</w:t>
      </w:r>
      <w:r>
        <w:rPr>
          <w:rFonts w:ascii="Arial" w:cs="Arial" w:eastAsia="Arial" w:hAnsi="Arial"/>
          <w:sz w:val="16"/>
          <w:szCs w:val="16"/>
          <w:color w:val="auto"/>
        </w:rPr>
        <w:t>, a leading operator of warehouse clubs in the eastern United States:</w:t>
      </w:r>
    </w:p>
    <w:p>
      <w:pPr>
        <w:ind w:left="280" w:hanging="113"/>
        <w:spacing w:after="0"/>
        <w:tabs>
          <w:tab w:leader="none" w:pos="280" w:val="left"/>
        </w:tabs>
        <w:numPr>
          <w:ilvl w:val="1"/>
          <w:numId w:val="83"/>
        </w:numPr>
        <w:rPr>
          <w:rFonts w:ascii="Arial" w:cs="Arial" w:eastAsia="Arial" w:hAnsi="Arial"/>
          <w:sz w:val="16"/>
          <w:szCs w:val="16"/>
          <w:color w:val="003B71"/>
        </w:rPr>
      </w:pPr>
      <w:r>
        <w:rPr>
          <w:rFonts w:ascii="Arial" w:cs="Arial" w:eastAsia="Arial" w:hAnsi="Arial"/>
          <w:sz w:val="16"/>
          <w:szCs w:val="16"/>
          <w:color w:val="auto"/>
        </w:rPr>
        <w:t>SVP, Director of Real Estate (2008-2012)</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Circuit City Stores, Inc</w:t>
      </w:r>
      <w:r>
        <w:rPr>
          <w:rFonts w:ascii="Arial" w:cs="Arial" w:eastAsia="Arial" w:hAnsi="Arial"/>
          <w:sz w:val="16"/>
          <w:szCs w:val="16"/>
          <w:color w:val="auto"/>
        </w:rPr>
        <w:t>., a consumer electronics retailer:</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83"/>
        </w:numPr>
        <w:rPr>
          <w:rFonts w:ascii="Arial" w:cs="Arial" w:eastAsia="Arial" w:hAnsi="Arial"/>
          <w:sz w:val="16"/>
          <w:szCs w:val="16"/>
          <w:color w:val="003B71"/>
        </w:rPr>
      </w:pPr>
      <w:r>
        <w:rPr>
          <w:rFonts w:ascii="Arial" w:cs="Arial" w:eastAsia="Arial" w:hAnsi="Arial"/>
          <w:sz w:val="16"/>
          <w:szCs w:val="16"/>
          <w:color w:val="auto"/>
        </w:rPr>
        <w:t>VP of Real Estate (2006-2008)</w:t>
      </w:r>
    </w:p>
    <w:p>
      <w:pPr>
        <w:spacing w:after="0" w:line="5" w:lineRule="exact"/>
        <w:rPr>
          <w:rFonts w:ascii="Arial" w:cs="Arial" w:eastAsia="Arial" w:hAnsi="Arial"/>
          <w:sz w:val="16"/>
          <w:szCs w:val="16"/>
          <w:color w:val="003B71"/>
        </w:rPr>
      </w:pPr>
    </w:p>
    <w:p>
      <w:pPr>
        <w:spacing w:after="0"/>
        <w:rPr>
          <w:rFonts w:ascii="Arial" w:cs="Arial" w:eastAsia="Arial" w:hAnsi="Arial"/>
          <w:sz w:val="16"/>
          <w:szCs w:val="16"/>
          <w:color w:val="003B71"/>
        </w:rPr>
      </w:pPr>
      <w:r>
        <w:rPr>
          <w:rFonts w:ascii="Arial" w:cs="Arial" w:eastAsia="Arial" w:hAnsi="Arial"/>
          <w:sz w:val="16"/>
          <w:szCs w:val="16"/>
          <w:i w:val="1"/>
          <w:iCs w:val="1"/>
          <w:color w:val="auto"/>
        </w:rPr>
        <w:t>– The Home Depot, Inc.:</w:t>
      </w:r>
    </w:p>
    <w:p>
      <w:pPr>
        <w:spacing w:after="0" w:line="5" w:lineRule="exact"/>
        <w:rPr>
          <w:rFonts w:ascii="Arial" w:cs="Arial" w:eastAsia="Arial" w:hAnsi="Arial"/>
          <w:sz w:val="16"/>
          <w:szCs w:val="16"/>
          <w:color w:val="003B71"/>
        </w:rPr>
      </w:pPr>
    </w:p>
    <w:p>
      <w:pPr>
        <w:ind w:left="280" w:hanging="113"/>
        <w:spacing w:after="0"/>
        <w:tabs>
          <w:tab w:leader="none" w:pos="280" w:val="left"/>
        </w:tabs>
        <w:numPr>
          <w:ilvl w:val="1"/>
          <w:numId w:val="83"/>
        </w:numPr>
        <w:rPr>
          <w:rFonts w:ascii="Arial" w:cs="Arial" w:eastAsia="Arial" w:hAnsi="Arial"/>
          <w:sz w:val="16"/>
          <w:szCs w:val="16"/>
          <w:color w:val="003B71"/>
        </w:rPr>
      </w:pPr>
      <w:r>
        <w:rPr>
          <w:rFonts w:ascii="Arial" w:cs="Arial" w:eastAsia="Arial" w:hAnsi="Arial"/>
          <w:sz w:val="16"/>
          <w:szCs w:val="16"/>
          <w:color w:val="auto"/>
        </w:rPr>
        <w:t>Director of Construction (1999-2006)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w:t>
      </w:r>
    </w:p>
    <w:p>
      <w:pPr>
        <w:spacing w:after="0" w:line="16" w:lineRule="exact"/>
        <w:rPr>
          <w:sz w:val="20"/>
          <w:szCs w:val="20"/>
          <w:color w:val="auto"/>
        </w:rPr>
      </w:pPr>
    </w:p>
    <w:p>
      <w:pPr>
        <w:ind w:left="160" w:right="260" w:hanging="162"/>
        <w:spacing w:after="0" w:line="246" w:lineRule="auto"/>
        <w:rPr>
          <w:sz w:val="20"/>
          <w:szCs w:val="20"/>
          <w:color w:val="auto"/>
        </w:rPr>
      </w:pPr>
      <w:r>
        <w:rPr>
          <w:rFonts w:ascii="Arial" w:cs="Arial" w:eastAsia="Arial" w:hAnsi="Arial"/>
          <w:sz w:val="16"/>
          <w:szCs w:val="16"/>
          <w:color w:val="auto"/>
        </w:rPr>
        <w:t>– B.S. Civil Engineering and B.S. Management Engineering, University of the Pacific</w:t>
      </w:r>
    </w:p>
    <w:p>
      <w:pPr>
        <w:spacing w:after="0"/>
        <w:rPr>
          <w:sz w:val="20"/>
          <w:szCs w:val="20"/>
          <w:color w:val="auto"/>
        </w:rPr>
      </w:pPr>
      <w:r>
        <w:rPr>
          <w:rFonts w:ascii="Arial" w:cs="Arial" w:eastAsia="Arial" w:hAnsi="Arial"/>
          <w:sz w:val="16"/>
          <w:szCs w:val="16"/>
          <w:color w:val="auto"/>
        </w:rPr>
        <w:t>– M.S. Construction Management, University of California, Berkeley</w:t>
      </w:r>
    </w:p>
    <w:p>
      <w:pPr>
        <w:spacing w:after="0" w:line="169" w:lineRule="exact"/>
        <w:rPr>
          <w:sz w:val="20"/>
          <w:szCs w:val="20"/>
          <w:color w:val="auto"/>
        </w:rPr>
      </w:pPr>
    </w:p>
    <w:p>
      <w:pPr>
        <w:sectPr>
          <w:pgSz w:w="11900" w:h="16838" w:orient="portrait"/>
          <w:cols w:equalWidth="0" w:num="2">
            <w:col w:w="5380" w:space="320"/>
            <w:col w:w="5440"/>
          </w:cols>
          <w:pgMar w:left="320" w:top="459" w:right="439" w:bottom="1440" w:gutter="0" w:footer="0" w:header="0"/>
          <w:type w:val="continuous"/>
        </w:sect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39"/>
          <w:szCs w:val="39"/>
          <w:color w:val="003B71"/>
        </w:rPr>
        <w:t>EXECUTIVE COMPENSATION</w:t>
      </w:r>
    </w:p>
    <w:p>
      <w:pPr>
        <w:sectPr>
          <w:pgSz w:w="11900" w:h="16838" w:orient="portrait"/>
          <w:cols w:equalWidth="0" w:num="1">
            <w:col w:w="11140"/>
          </w:cols>
          <w:pgMar w:left="320" w:top="459" w:right="439" w:bottom="1440" w:gutter="0" w:footer="0" w:header="0"/>
        </w:sect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wp:posOffset>
            </wp:positionV>
            <wp:extent cx="44405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440555"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Compensation Committee of our Board of Directors is responsible for establishing our compensation philosophy and ensuring each element of our compensation program encourages high levels of performance among the executive officers and positions the Company for growth. The Compensation Committee ensures our compensation program is fair, competitive, and closely aligns the interests of our executive officers with both the Company’s short- and long-term business objectives and the interests of our shareholders. Through a strategic combination of base pay, cash-based short-term incentive plans, and a cash- and equity-based long-term incentive plan, our Compensation Committee strives to reward executive officers for meeting certain strategic objectives and increasing shareholder value.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-179070</wp:posOffset>
            </wp:positionV>
            <wp:extent cx="2400300" cy="1594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00300" cy="15944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Quick Navigation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20"/>
                <w:szCs w:val="20"/>
                <w:color w:val="auto"/>
              </w:rPr>
            </w:pPr>
            <w:r>
              <w:rPr>
                <w:rFonts w:ascii="Arial" w:cs="Arial" w:eastAsia="Arial" w:hAnsi="Arial"/>
                <w:sz w:val="14"/>
                <w:szCs w:val="14"/>
                <w:color w:val="003B71"/>
              </w:rPr>
              <w:t>•</w:t>
            </w:r>
          </w:p>
        </w:tc>
        <w:tc>
          <w:tcPr>
            <w:tcW w:w="2820" w:type="dxa"/>
            <w:vAlign w:val="bottom"/>
          </w:tcPr>
          <w:p>
            <w:pPr>
              <w:ind w:left="60"/>
              <w:spacing w:after="0"/>
              <w:rPr>
                <w:sz w:val="20"/>
                <w:szCs w:val="20"/>
                <w:color w:val="auto"/>
              </w:rPr>
            </w:pPr>
            <w:r>
              <w:rPr>
                <w:rFonts w:ascii="Arial" w:cs="Arial" w:eastAsia="Arial" w:hAnsi="Arial"/>
                <w:sz w:val="14"/>
                <w:szCs w:val="14"/>
                <w:color w:val="auto"/>
              </w:rPr>
              <w:t>Compensation Discussion and Analysis</w:t>
            </w:r>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27</w:t>
            </w:r>
          </w:p>
        </w:tc>
      </w:tr>
      <w:tr>
        <w:trPr>
          <w:trHeight w:val="203"/>
        </w:trPr>
        <w:tc>
          <w:tcPr>
            <w:tcW w:w="100" w:type="dxa"/>
            <w:vAlign w:val="bottom"/>
          </w:tcPr>
          <w:p>
            <w:pPr>
              <w:spacing w:after="0"/>
              <w:rPr>
                <w:sz w:val="20"/>
                <w:szCs w:val="20"/>
                <w:color w:val="auto"/>
              </w:rPr>
            </w:pPr>
            <w:r>
              <w:rPr>
                <w:rFonts w:ascii="Arial" w:cs="Arial" w:eastAsia="Arial" w:hAnsi="Arial"/>
                <w:sz w:val="14"/>
                <w:szCs w:val="14"/>
                <w:color w:val="003B71"/>
              </w:rPr>
              <w:t>•</w:t>
            </w:r>
          </w:p>
        </w:tc>
        <w:tc>
          <w:tcPr>
            <w:tcW w:w="2820" w:type="dxa"/>
            <w:vAlign w:val="bottom"/>
          </w:tcPr>
          <w:p>
            <w:pPr>
              <w:ind w:left="60"/>
              <w:spacing w:after="0"/>
              <w:rPr>
                <w:sz w:val="20"/>
                <w:szCs w:val="20"/>
                <w:color w:val="auto"/>
              </w:rPr>
            </w:pPr>
            <w:r>
              <w:rPr>
                <w:rFonts w:ascii="Arial" w:cs="Arial" w:eastAsia="Arial" w:hAnsi="Arial"/>
                <w:sz w:val="14"/>
                <w:szCs w:val="14"/>
                <w:color w:val="auto"/>
              </w:rPr>
              <w:t>Compensation Practices</w:t>
            </w:r>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28</w:t>
            </w:r>
          </w:p>
        </w:tc>
      </w:tr>
      <w:tr>
        <w:trPr>
          <w:trHeight w:val="203"/>
        </w:trPr>
        <w:tc>
          <w:tcPr>
            <w:tcW w:w="100" w:type="dxa"/>
            <w:vAlign w:val="bottom"/>
          </w:tcPr>
          <w:p>
            <w:pPr>
              <w:spacing w:after="0"/>
              <w:rPr>
                <w:sz w:val="20"/>
                <w:szCs w:val="20"/>
                <w:color w:val="auto"/>
              </w:rPr>
            </w:pPr>
            <w:r>
              <w:rPr>
                <w:rFonts w:ascii="Arial" w:cs="Arial" w:eastAsia="Arial" w:hAnsi="Arial"/>
                <w:sz w:val="14"/>
                <w:szCs w:val="14"/>
                <w:color w:val="003B71"/>
              </w:rPr>
              <w:t>•</w:t>
            </w:r>
          </w:p>
        </w:tc>
        <w:tc>
          <w:tcPr>
            <w:tcW w:w="2820" w:type="dxa"/>
            <w:vAlign w:val="bottom"/>
          </w:tcPr>
          <w:p>
            <w:pPr>
              <w:ind w:left="60"/>
              <w:spacing w:after="0"/>
              <w:rPr>
                <w:sz w:val="20"/>
                <w:szCs w:val="20"/>
                <w:color w:val="auto"/>
              </w:rPr>
            </w:pPr>
            <w:r>
              <w:rPr>
                <w:rFonts w:ascii="Arial" w:cs="Arial" w:eastAsia="Arial" w:hAnsi="Arial"/>
                <w:sz w:val="14"/>
                <w:szCs w:val="14"/>
                <w:color w:val="auto"/>
              </w:rPr>
              <w:t>COVID-19 Action Plan</w:t>
            </w:r>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31</w:t>
            </w:r>
          </w:p>
        </w:tc>
      </w:tr>
      <w:tr>
        <w:trPr>
          <w:trHeight w:val="216"/>
        </w:trPr>
        <w:tc>
          <w:tcPr>
            <w:tcW w:w="100" w:type="dxa"/>
            <w:vAlign w:val="bottom"/>
          </w:tcPr>
          <w:p>
            <w:pPr>
              <w:spacing w:after="0"/>
              <w:rPr>
                <w:sz w:val="20"/>
                <w:szCs w:val="20"/>
                <w:color w:val="auto"/>
              </w:rPr>
            </w:pPr>
            <w:r>
              <w:rPr>
                <w:rFonts w:ascii="Arial" w:cs="Arial" w:eastAsia="Arial" w:hAnsi="Arial"/>
                <w:sz w:val="14"/>
                <w:szCs w:val="14"/>
                <w:color w:val="003B71"/>
              </w:rPr>
              <w:t>•</w:t>
            </w:r>
          </w:p>
        </w:tc>
        <w:tc>
          <w:tcPr>
            <w:tcW w:w="2820" w:type="dxa"/>
            <w:vAlign w:val="bottom"/>
          </w:tcPr>
          <w:p>
            <w:pPr>
              <w:ind w:left="60"/>
              <w:spacing w:after="0"/>
              <w:rPr>
                <w:sz w:val="20"/>
                <w:szCs w:val="20"/>
                <w:color w:val="auto"/>
              </w:rPr>
            </w:pPr>
            <w:r>
              <w:rPr>
                <w:rFonts w:ascii="Arial" w:cs="Arial" w:eastAsia="Arial" w:hAnsi="Arial"/>
                <w:sz w:val="14"/>
                <w:szCs w:val="14"/>
                <w:color w:val="auto"/>
              </w:rPr>
              <w:t>Elements of Compensation</w:t>
            </w:r>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32</w:t>
            </w:r>
          </w:p>
        </w:tc>
      </w:tr>
      <w:tr>
        <w:trPr>
          <w:trHeight w:val="203"/>
        </w:trPr>
        <w:tc>
          <w:tcPr>
            <w:tcW w:w="100" w:type="dxa"/>
            <w:vAlign w:val="bottom"/>
          </w:tcPr>
          <w:p>
            <w:pPr>
              <w:spacing w:after="0"/>
              <w:rPr>
                <w:sz w:val="20"/>
                <w:szCs w:val="20"/>
                <w:color w:val="auto"/>
              </w:rPr>
            </w:pPr>
            <w:r>
              <w:rPr>
                <w:rFonts w:ascii="Arial" w:cs="Arial" w:eastAsia="Arial" w:hAnsi="Arial"/>
                <w:sz w:val="14"/>
                <w:szCs w:val="14"/>
                <w:color w:val="003B71"/>
              </w:rPr>
              <w:t>•</w:t>
            </w:r>
          </w:p>
        </w:tc>
        <w:tc>
          <w:tcPr>
            <w:tcW w:w="2820" w:type="dxa"/>
            <w:vAlign w:val="bottom"/>
          </w:tcPr>
          <w:p>
            <w:pPr>
              <w:ind w:left="60"/>
              <w:spacing w:after="0"/>
              <w:rPr>
                <w:sz w:val="20"/>
                <w:szCs w:val="20"/>
                <w:color w:val="auto"/>
              </w:rPr>
            </w:pPr>
            <w:r>
              <w:rPr>
                <w:rFonts w:ascii="Arial" w:cs="Arial" w:eastAsia="Arial" w:hAnsi="Arial"/>
                <w:sz w:val="14"/>
                <w:szCs w:val="14"/>
                <w:color w:val="auto"/>
              </w:rPr>
              <w:t>Stock Ownership Guidelines</w:t>
            </w:r>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35</w:t>
            </w:r>
          </w:p>
        </w:tc>
      </w:tr>
      <w:tr>
        <w:trPr>
          <w:trHeight w:val="203"/>
        </w:trPr>
        <w:tc>
          <w:tcPr>
            <w:tcW w:w="2920" w:type="dxa"/>
            <w:vAlign w:val="bottom"/>
            <w:gridSpan w:val="2"/>
          </w:tcPr>
          <w:p>
            <w:pPr>
              <w:spacing w:after="0"/>
              <w:rPr>
                <w:sz w:val="20"/>
                <w:szCs w:val="20"/>
                <w:color w:val="auto"/>
              </w:rPr>
            </w:pPr>
            <w:r>
              <w:rPr>
                <w:rFonts w:ascii="Arial" w:cs="Arial" w:eastAsia="Arial" w:hAnsi="Arial"/>
                <w:sz w:val="14"/>
                <w:szCs w:val="14"/>
                <w:color w:val="003B71"/>
              </w:rPr>
              <w:t xml:space="preserve">•  </w:t>
            </w:r>
            <w:r>
              <w:rPr>
                <w:rFonts w:ascii="Arial" w:cs="Arial" w:eastAsia="Arial" w:hAnsi="Arial"/>
                <w:sz w:val="14"/>
                <w:szCs w:val="14"/>
                <w:color w:val="000000"/>
              </w:rPr>
              <w:t>2020 Summary Compensation Table</w:t>
            </w:r>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37</w:t>
            </w:r>
          </w:p>
        </w:tc>
      </w:tr>
      <w:tr>
        <w:trPr>
          <w:trHeight w:val="203"/>
        </w:trPr>
        <w:tc>
          <w:tcPr>
            <w:tcW w:w="100" w:type="dxa"/>
            <w:vAlign w:val="bottom"/>
          </w:tcPr>
          <w:p>
            <w:pPr>
              <w:spacing w:after="0"/>
              <w:rPr>
                <w:sz w:val="20"/>
                <w:szCs w:val="20"/>
                <w:color w:val="auto"/>
              </w:rPr>
            </w:pPr>
            <w:r>
              <w:rPr>
                <w:rFonts w:ascii="Arial" w:cs="Arial" w:eastAsia="Arial" w:hAnsi="Arial"/>
                <w:sz w:val="14"/>
                <w:szCs w:val="14"/>
                <w:color w:val="003B71"/>
              </w:rPr>
              <w:t>•</w:t>
            </w:r>
          </w:p>
        </w:tc>
        <w:tc>
          <w:tcPr>
            <w:tcW w:w="2820" w:type="dxa"/>
            <w:vAlign w:val="bottom"/>
          </w:tcPr>
          <w:p>
            <w:pPr>
              <w:ind w:left="60"/>
              <w:spacing w:after="0"/>
              <w:rPr>
                <w:sz w:val="20"/>
                <w:szCs w:val="20"/>
                <w:color w:val="auto"/>
              </w:rPr>
            </w:pPr>
            <w:r>
              <w:rPr>
                <w:rFonts w:ascii="Arial" w:cs="Arial" w:eastAsia="Arial" w:hAnsi="Arial"/>
                <w:sz w:val="14"/>
                <w:szCs w:val="14"/>
                <w:color w:val="auto"/>
              </w:rPr>
              <w:t>Employment Agreements</w:t>
            </w:r>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42</w:t>
            </w:r>
          </w:p>
        </w:tc>
      </w:tr>
      <w:tr>
        <w:trPr>
          <w:trHeight w:val="287"/>
        </w:trPr>
        <w:tc>
          <w:tcPr>
            <w:tcW w:w="2920" w:type="dxa"/>
            <w:vAlign w:val="bottom"/>
            <w:gridSpan w:val="2"/>
          </w:tcPr>
          <w:p>
            <w:pPr>
              <w:spacing w:after="0"/>
              <w:rPr>
                <w:sz w:val="20"/>
                <w:szCs w:val="20"/>
                <w:color w:val="auto"/>
              </w:rPr>
            </w:pPr>
            <w:r>
              <w:rPr>
                <w:rFonts w:ascii="Arial" w:cs="Arial" w:eastAsia="Arial" w:hAnsi="Arial"/>
                <w:sz w:val="14"/>
                <w:szCs w:val="14"/>
                <w:color w:val="003B71"/>
              </w:rPr>
              <w:t xml:space="preserve">•  </w:t>
            </w:r>
            <w:r>
              <w:rPr>
                <w:rFonts w:ascii="Arial" w:cs="Arial" w:eastAsia="Arial" w:hAnsi="Arial"/>
                <w:sz w:val="14"/>
                <w:szCs w:val="14"/>
                <w:color w:val="000000"/>
              </w:rPr>
              <w:t>Potential Payments Upon Termination or</w:t>
            </w:r>
          </w:p>
        </w:tc>
        <w:tc>
          <w:tcPr>
            <w:tcW w:w="520" w:type="dxa"/>
            <w:vAlign w:val="bottom"/>
          </w:tcPr>
          <w:p>
            <w:pPr>
              <w:spacing w:after="0"/>
              <w:rPr>
                <w:sz w:val="24"/>
                <w:szCs w:val="24"/>
                <w:color w:val="auto"/>
              </w:rPr>
            </w:pPr>
          </w:p>
        </w:tc>
      </w:tr>
      <w:tr>
        <w:trPr>
          <w:trHeight w:val="172"/>
        </w:trPr>
        <w:tc>
          <w:tcPr>
            <w:tcW w:w="100" w:type="dxa"/>
            <w:vAlign w:val="bottom"/>
          </w:tcPr>
          <w:p>
            <w:pPr>
              <w:spacing w:after="0"/>
              <w:rPr>
                <w:sz w:val="14"/>
                <w:szCs w:val="14"/>
                <w:color w:val="auto"/>
              </w:rPr>
            </w:pPr>
          </w:p>
        </w:tc>
        <w:tc>
          <w:tcPr>
            <w:tcW w:w="2820" w:type="dxa"/>
            <w:vAlign w:val="bottom"/>
          </w:tcPr>
          <w:p>
            <w:pPr>
              <w:ind w:left="40"/>
              <w:spacing w:after="0"/>
              <w:rPr>
                <w:sz w:val="20"/>
                <w:szCs w:val="20"/>
                <w:color w:val="auto"/>
              </w:rPr>
            </w:pPr>
            <w:r>
              <w:rPr>
                <w:rFonts w:ascii="Arial" w:cs="Arial" w:eastAsia="Arial" w:hAnsi="Arial"/>
                <w:sz w:val="14"/>
                <w:szCs w:val="14"/>
                <w:color w:val="auto"/>
              </w:rPr>
              <w:t>Change in Control</w:t>
            </w:r>
          </w:p>
        </w:tc>
        <w:tc>
          <w:tcPr>
            <w:tcW w:w="520" w:type="dxa"/>
            <w:vAlign w:val="bottom"/>
          </w:tcPr>
          <w:p>
            <w:pPr>
              <w:ind w:left="200"/>
              <w:spacing w:after="0"/>
              <w:rPr>
                <w:sz w:val="20"/>
                <w:szCs w:val="20"/>
                <w:color w:val="auto"/>
              </w:rPr>
            </w:pPr>
            <w:r>
              <w:rPr>
                <w:rFonts w:ascii="Arial" w:cs="Arial" w:eastAsia="Arial" w:hAnsi="Arial"/>
                <w:sz w:val="14"/>
                <w:szCs w:val="14"/>
                <w:color w:val="auto"/>
                <w:w w:val="91"/>
              </w:rPr>
              <w:t>P. 42</w:t>
            </w:r>
          </w:p>
        </w:tc>
      </w:tr>
    </w:tbl>
    <w:p>
      <w:pPr>
        <w:spacing w:after="0" w:line="329" w:lineRule="exact"/>
        <w:rPr>
          <w:sz w:val="20"/>
          <w:szCs w:val="20"/>
          <w:color w:val="auto"/>
        </w:rPr>
      </w:pPr>
    </w:p>
    <w:p>
      <w:pPr>
        <w:sectPr>
          <w:pgSz w:w="11900" w:h="16838" w:orient="portrait"/>
          <w:cols w:equalWidth="0" w:num="2">
            <w:col w:w="7100" w:space="480"/>
            <w:col w:w="3560"/>
          </w:cols>
          <w:pgMar w:left="320" w:top="459" w:right="439" w:bottom="1440" w:gutter="0" w:footer="0" w:header="0"/>
          <w:type w:val="continuous"/>
        </w:sectPr>
      </w:pPr>
    </w:p>
    <w:p>
      <w:pPr>
        <w:spacing w:after="0" w:line="19"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This section describes our compensation program for our named executive officers (“NEOs”) for fiscal 2020. The discussion focuses on our compensation programs and compensation-related decisions for fiscal 2020 and addresses why we believe our compensation program supports our business strategy and operational plans. For fiscal 2020, our NEOs are:</w:t>
      </w:r>
    </w:p>
    <w:p>
      <w:pPr>
        <w:spacing w:after="0" w:line="86" w:lineRule="exact"/>
        <w:rPr>
          <w:sz w:val="20"/>
          <w:szCs w:val="20"/>
          <w:color w:val="auto"/>
        </w:rPr>
      </w:pPr>
    </w:p>
    <w:p>
      <w:pPr>
        <w:ind w:left="540" w:hanging="316"/>
        <w:spacing w:after="0"/>
        <w:tabs>
          <w:tab w:leader="none" w:pos="540" w:val="left"/>
        </w:tabs>
        <w:numPr>
          <w:ilvl w:val="0"/>
          <w:numId w:val="85"/>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Brian A. Jenkins – </w:t>
      </w:r>
      <w:r>
        <w:rPr>
          <w:rFonts w:ascii="Arial" w:cs="Arial" w:eastAsia="Arial" w:hAnsi="Arial"/>
          <w:sz w:val="18"/>
          <w:szCs w:val="18"/>
          <w:b w:val="1"/>
          <w:bCs w:val="1"/>
          <w:i w:val="1"/>
          <w:iCs w:val="1"/>
          <w:color w:val="auto"/>
        </w:rPr>
        <w:t>Chief Executive Officer</w:t>
      </w:r>
    </w:p>
    <w:p>
      <w:pPr>
        <w:spacing w:after="0" w:line="17" w:lineRule="exact"/>
        <w:rPr>
          <w:rFonts w:ascii="Arial" w:cs="Arial" w:eastAsia="Arial" w:hAnsi="Arial"/>
          <w:sz w:val="18"/>
          <w:szCs w:val="18"/>
          <w:b w:val="1"/>
          <w:bCs w:val="1"/>
          <w:color w:val="003B71"/>
        </w:rPr>
      </w:pPr>
    </w:p>
    <w:p>
      <w:pPr>
        <w:ind w:left="540" w:hanging="316"/>
        <w:spacing w:after="0" w:line="234" w:lineRule="auto"/>
        <w:tabs>
          <w:tab w:leader="none" w:pos="540" w:val="left"/>
        </w:tabs>
        <w:numPr>
          <w:ilvl w:val="0"/>
          <w:numId w:val="85"/>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Scott Bowman – </w:t>
      </w:r>
      <w:r>
        <w:rPr>
          <w:rFonts w:ascii="Arial" w:cs="Arial" w:eastAsia="Arial" w:hAnsi="Arial"/>
          <w:sz w:val="18"/>
          <w:szCs w:val="18"/>
          <w:b w:val="1"/>
          <w:bCs w:val="1"/>
          <w:i w:val="1"/>
          <w:iCs w:val="1"/>
          <w:color w:val="auto"/>
        </w:rPr>
        <w:t>Chief Financial Officer</w:t>
      </w:r>
    </w:p>
    <w:p>
      <w:pPr>
        <w:ind w:left="540" w:hanging="316"/>
        <w:spacing w:after="0" w:line="234" w:lineRule="auto"/>
        <w:tabs>
          <w:tab w:leader="none" w:pos="540" w:val="left"/>
        </w:tabs>
        <w:numPr>
          <w:ilvl w:val="0"/>
          <w:numId w:val="85"/>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Margo L. Manning – </w:t>
      </w:r>
      <w:r>
        <w:rPr>
          <w:rFonts w:ascii="Arial" w:cs="Arial" w:eastAsia="Arial" w:hAnsi="Arial"/>
          <w:sz w:val="18"/>
          <w:szCs w:val="18"/>
          <w:b w:val="1"/>
          <w:bCs w:val="1"/>
          <w:i w:val="1"/>
          <w:iCs w:val="1"/>
          <w:color w:val="auto"/>
        </w:rPr>
        <w:t>Senior Vice President and Chief Operating Officer</w:t>
      </w:r>
    </w:p>
    <w:p>
      <w:pPr>
        <w:ind w:left="540" w:hanging="316"/>
        <w:spacing w:after="0" w:line="234" w:lineRule="auto"/>
        <w:tabs>
          <w:tab w:leader="none" w:pos="540" w:val="left"/>
        </w:tabs>
        <w:numPr>
          <w:ilvl w:val="0"/>
          <w:numId w:val="85"/>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John B. Mulleady – </w:t>
      </w:r>
      <w:r>
        <w:rPr>
          <w:rFonts w:ascii="Arial" w:cs="Arial" w:eastAsia="Arial" w:hAnsi="Arial"/>
          <w:sz w:val="18"/>
          <w:szCs w:val="18"/>
          <w:b w:val="1"/>
          <w:bCs w:val="1"/>
          <w:i w:val="1"/>
          <w:iCs w:val="1"/>
          <w:color w:val="auto"/>
        </w:rPr>
        <w:t>Senior Vice President of Real Estate and Development</w:t>
      </w:r>
    </w:p>
    <w:p>
      <w:pPr>
        <w:ind w:left="540" w:hanging="316"/>
        <w:spacing w:after="0"/>
        <w:tabs>
          <w:tab w:leader="none" w:pos="540" w:val="left"/>
        </w:tabs>
        <w:numPr>
          <w:ilvl w:val="0"/>
          <w:numId w:val="85"/>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Robert W. Edmund – </w:t>
      </w:r>
      <w:r>
        <w:rPr>
          <w:rFonts w:ascii="Arial" w:cs="Arial" w:eastAsia="Arial" w:hAnsi="Arial"/>
          <w:sz w:val="18"/>
          <w:szCs w:val="18"/>
          <w:b w:val="1"/>
          <w:bCs w:val="1"/>
          <w:i w:val="1"/>
          <w:iCs w:val="1"/>
          <w:color w:val="auto"/>
        </w:rPr>
        <w:t>General Counsel, Secretary and Senior Vice President of Human Resources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Business, Strategy and Performance Highlights for Fiscal 2020</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the highlights for fiscal 2020 set forth on pages 4-6 of the Summary section of this Proxy Statement.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Compensation Philosophy and Overall Objectives of Executive Compensation Programs</w:t>
      </w:r>
    </w:p>
    <w:p>
      <w:pPr>
        <w:spacing w:after="0" w:line="104"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 xml:space="preserve">Our executive compensation philosophy is based upon three core values: </w:t>
      </w:r>
      <w:r>
        <w:rPr>
          <w:rFonts w:ascii="Arial" w:cs="Arial" w:eastAsia="Arial" w:hAnsi="Arial"/>
          <w:sz w:val="18"/>
          <w:szCs w:val="18"/>
          <w:b w:val="1"/>
          <w:bCs w:val="1"/>
          <w:color w:val="auto"/>
        </w:rPr>
        <w:t>pay for performance, market-competitive pay and sustained</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 value creation.</w:t>
      </w:r>
    </w:p>
    <w:p>
      <w:pPr>
        <w:spacing w:after="0" w:line="154"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b w:val="1"/>
          <w:bCs w:val="1"/>
          <w:color w:val="003B71"/>
        </w:rPr>
        <w:t>Pay for Performance</w:t>
      </w:r>
      <w:r>
        <w:rPr>
          <w:rFonts w:ascii="Arial" w:cs="Arial" w:eastAsia="Arial" w:hAnsi="Arial"/>
          <w:sz w:val="18"/>
          <w:szCs w:val="18"/>
          <w:color w:val="000000"/>
        </w:rPr>
        <w:t>—This ensures that we align the interests of senior executives with the interests of our shareholders. Compensation</w:t>
      </w:r>
      <w:r>
        <w:rPr>
          <w:rFonts w:ascii="Arial" w:cs="Arial" w:eastAsia="Arial" w:hAnsi="Arial"/>
          <w:sz w:val="18"/>
          <w:szCs w:val="18"/>
          <w:b w:val="1"/>
          <w:bCs w:val="1"/>
          <w:color w:val="003B71"/>
        </w:rPr>
        <w:t xml:space="preserve"> </w:t>
      </w:r>
      <w:r>
        <w:rPr>
          <w:rFonts w:ascii="Arial" w:cs="Arial" w:eastAsia="Arial" w:hAnsi="Arial"/>
          <w:sz w:val="18"/>
          <w:szCs w:val="18"/>
          <w:color w:val="000000"/>
        </w:rPr>
        <w:t>is tied directly to delivering both annual and long-term value creation to our shareholders. Annual incentives focus on efficient and productive operation of the business, while long-term incentives focus on value creation of the enterprise. In addition, we put greater emphasis on the longer-term aspects of the compensation package to help ensure that all actions of management contribute to multi-year value creation.</w:t>
      </w:r>
    </w:p>
    <w:p>
      <w:pPr>
        <w:spacing w:after="0" w:line="17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b w:val="1"/>
          <w:bCs w:val="1"/>
          <w:color w:val="003B71"/>
        </w:rPr>
        <w:t>Market-Competitive Pay</w:t>
      </w:r>
      <w:r>
        <w:rPr>
          <w:rFonts w:ascii="Arial" w:cs="Arial" w:eastAsia="Arial" w:hAnsi="Arial"/>
          <w:sz w:val="18"/>
          <w:szCs w:val="18"/>
          <w:color w:val="000000"/>
        </w:rPr>
        <w:t>—In setting compensation for our executive officers, including our NEOs, the Compensation Committee uses</w:t>
      </w:r>
      <w:r>
        <w:rPr>
          <w:rFonts w:ascii="Arial" w:cs="Arial" w:eastAsia="Arial" w:hAnsi="Arial"/>
          <w:sz w:val="18"/>
          <w:szCs w:val="18"/>
          <w:b w:val="1"/>
          <w:bCs w:val="1"/>
          <w:color w:val="003B71"/>
        </w:rPr>
        <w:t xml:space="preserve"> </w:t>
      </w:r>
      <w:r>
        <w:rPr>
          <w:rFonts w:ascii="Arial" w:cs="Arial" w:eastAsia="Arial" w:hAnsi="Arial"/>
          <w:sz w:val="18"/>
          <w:szCs w:val="18"/>
          <w:color w:val="000000"/>
        </w:rPr>
        <w:t>competitive compensation data from an annual total compensation study of a selected peer group of other restaurant and entertainment companies of comparable size and business models as well as other relevant survey sources to inform its decisions about overall compensation opportunities and specific compensation elements. Additionally, the Compensation Committee uses multiple reference points when establishing targeted compensation levels. The Compensation Committee applies judgment and discretion in establishing targeted pay levels, considering not only competitive market data, but also factors such as company, business unit, and individual performance, scope of responsibility, critical needs and skill sets, experience, leadership potential, and succession planning. Consistent with our pay for performance core values, compensation above target levels is achieved through above-target performance against our annual and long-term incentive goals.</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spacing w:after="0"/>
        <w:rPr>
          <w:sz w:val="20"/>
          <w:szCs w:val="20"/>
          <w:color w:val="auto"/>
        </w:rPr>
      </w:pPr>
      <w:r>
        <w:rPr>
          <w:rFonts w:ascii="Arial" w:cs="Arial" w:eastAsia="Arial" w:hAnsi="Arial"/>
          <w:sz w:val="18"/>
          <w:szCs w:val="18"/>
          <w:b w:val="1"/>
          <w:bCs w:val="1"/>
          <w:color w:val="003B71"/>
        </w:rPr>
        <w:t>Sustained Shareholder Value Creation</w:t>
      </w:r>
      <w:r>
        <w:rPr>
          <w:rFonts w:ascii="Arial" w:cs="Arial" w:eastAsia="Arial" w:hAnsi="Arial"/>
          <w:sz w:val="18"/>
          <w:szCs w:val="18"/>
          <w:color w:val="000000"/>
        </w:rPr>
        <w:t>—All of our compensation plans are designed to increase the value we deliver to our</w:t>
      </w:r>
      <w:r>
        <w:rPr>
          <w:rFonts w:ascii="Arial" w:cs="Arial" w:eastAsia="Arial" w:hAnsi="Arial"/>
          <w:sz w:val="18"/>
          <w:szCs w:val="18"/>
          <w:b w:val="1"/>
          <w:bCs w:val="1"/>
          <w:color w:val="003B71"/>
        </w:rPr>
        <w:t xml:space="preserve"> </w:t>
      </w:r>
      <w:r>
        <w:rPr>
          <w:rFonts w:ascii="Arial" w:cs="Arial" w:eastAsia="Arial" w:hAnsi="Arial"/>
          <w:sz w:val="18"/>
          <w:szCs w:val="18"/>
          <w:color w:val="000000"/>
        </w:rPr>
        <w:t>shareholders through the selection of proper business performance metrics, the leverage built into the plans for performance achievement and the proper governance of the plans throughout the year by our Compensation Committee. We believe that profitable growth of our enterprise is primary while simultaneously reinforcing an ethical and performance-based culture. Our Compensation Committee approves all goals and awards in advance and monitors progress on their achievement throughout the year. In the long-term incentive plan (the “LTIP”) implemented pursuant to the 2014 Stock Incentive Plan, we use a series of vehicles to reinforce this commitment to sustained shareholder value creation.</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Through this combination of vehicles and the design of our programs, we ensure that our expectation for continuous improvement, growth and profitability are achieved while effectively managing any undue risk elements.</w:t>
      </w:r>
    </w:p>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compensation philosophy guides us in our annual review of compensation, the assessment of the right pay for performance relationship and ensures that when strong performance is achieved, it is appropriately rewarded. Our Compensation Committee annually reviews this philosophy and our compensation plans to ensure they are continuing to meet their stated goals and objectives. If they are not, changes will be made to reestablish the right alignment.</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sum, this philosophy is designed to ensure that shareholders see a return for their investment in our Company and that we are getting the right return on our leadership compensation investment.</w:t>
      </w:r>
    </w:p>
    <w:p>
      <w:pPr>
        <w:spacing w:after="0" w:line="197"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2020, as noted above and in more detail below, the Company faced unique circumstances associated with the COVID-19 Pandemic. As described in last year’s Proxy Statement, the Compensation Committee believed it was critical to incent retention of key talent in the Company through the use of one-time stock-based awards in lieu of the Company’s annual and long-term incentive plans. The 2020 Business Recovery and Transformation Plan is described in more detail below. Looking forward, the Compensation Committee expects to transition back to use of annual and long-term incentive compensation plans similar to those used by the Company pre-pandemic and has made substantial progress on this transition in the plans it has approved for fiscal 2021.</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Compensation Practices</w:t>
      </w:r>
    </w:p>
    <w:p>
      <w:pPr>
        <w:spacing w:after="0" w:line="126"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following list summarizes executive compensation practices that we have to drive performance as well as executive compensation practices that we avoid because we do not believe they serve the long-term interests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177165</wp:posOffset>
            </wp:positionV>
            <wp:extent cx="6969125" cy="2331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69125" cy="233172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What We Do</w:t>
      </w:r>
    </w:p>
    <w:p>
      <w:pPr>
        <w:spacing w:after="0" w:line="61" w:lineRule="exact"/>
        <w:rPr>
          <w:sz w:val="20"/>
          <w:szCs w:val="20"/>
          <w:color w:val="auto"/>
        </w:rPr>
      </w:pPr>
    </w:p>
    <w:p>
      <w:pPr>
        <w:ind w:left="720" w:hanging="253"/>
        <w:spacing w:after="0"/>
        <w:tabs>
          <w:tab w:leader="none" w:pos="720"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Set stock ownership guidelines for executives and directors</w:t>
      </w:r>
    </w:p>
    <w:p>
      <w:pPr>
        <w:spacing w:after="0" w:line="86" w:lineRule="exact"/>
        <w:rPr>
          <w:rFonts w:ascii="MS PGothic" w:cs="MS PGothic" w:eastAsia="MS PGothic" w:hAnsi="MS PGothic"/>
          <w:sz w:val="16"/>
          <w:szCs w:val="16"/>
          <w:color w:val="003B71"/>
        </w:rPr>
      </w:pPr>
    </w:p>
    <w:p>
      <w:pPr>
        <w:ind w:left="720" w:hanging="253"/>
        <w:spacing w:after="0"/>
        <w:tabs>
          <w:tab w:leader="none" w:pos="720"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Review tally sheets for executives</w:t>
      </w:r>
    </w:p>
    <w:p>
      <w:pPr>
        <w:spacing w:after="0" w:line="86" w:lineRule="exact"/>
        <w:rPr>
          <w:rFonts w:ascii="MS PGothic" w:cs="MS PGothic" w:eastAsia="MS PGothic" w:hAnsi="MS PGothic"/>
          <w:sz w:val="16"/>
          <w:szCs w:val="16"/>
          <w:color w:val="003B71"/>
        </w:rPr>
      </w:pPr>
    </w:p>
    <w:p>
      <w:pPr>
        <w:ind w:left="720" w:hanging="253"/>
        <w:spacing w:after="0"/>
        <w:tabs>
          <w:tab w:leader="none" w:pos="720"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Disclose performance goals for incentive payments</w:t>
      </w:r>
    </w:p>
    <w:p>
      <w:pPr>
        <w:spacing w:after="0" w:line="86" w:lineRule="exact"/>
        <w:rPr>
          <w:rFonts w:ascii="MS PGothic" w:cs="MS PGothic" w:eastAsia="MS PGothic" w:hAnsi="MS PGothic"/>
          <w:sz w:val="16"/>
          <w:szCs w:val="16"/>
          <w:color w:val="003B71"/>
        </w:rPr>
      </w:pPr>
    </w:p>
    <w:p>
      <w:pPr>
        <w:ind w:left="700" w:right="120" w:hanging="233"/>
        <w:spacing w:after="0" w:line="272" w:lineRule="auto"/>
        <w:tabs>
          <w:tab w:leader="none" w:pos="746"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Set maximum payout caps on our annual and long- term incentives</w:t>
      </w:r>
    </w:p>
    <w:p>
      <w:pPr>
        <w:spacing w:after="0" w:line="41" w:lineRule="exact"/>
        <w:rPr>
          <w:rFonts w:ascii="MS PGothic" w:cs="MS PGothic" w:eastAsia="MS PGothic" w:hAnsi="MS PGothic"/>
          <w:sz w:val="16"/>
          <w:szCs w:val="16"/>
          <w:color w:val="003B71"/>
        </w:rPr>
      </w:pPr>
    </w:p>
    <w:p>
      <w:pPr>
        <w:ind w:left="700" w:right="120" w:hanging="233"/>
        <w:spacing w:after="0" w:line="272" w:lineRule="auto"/>
        <w:tabs>
          <w:tab w:leader="none" w:pos="759"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Limit perquisites and other benefits, and do not include income tax gross-ups (except for relocation expenses)</w:t>
      </w:r>
    </w:p>
    <w:p>
      <w:pPr>
        <w:spacing w:after="0" w:line="41" w:lineRule="exact"/>
        <w:rPr>
          <w:rFonts w:ascii="MS PGothic" w:cs="MS PGothic" w:eastAsia="MS PGothic" w:hAnsi="MS PGothic"/>
          <w:sz w:val="16"/>
          <w:szCs w:val="16"/>
          <w:color w:val="003B71"/>
        </w:rPr>
      </w:pPr>
    </w:p>
    <w:p>
      <w:pPr>
        <w:ind w:left="700" w:right="100" w:hanging="233"/>
        <w:spacing w:after="0" w:line="272" w:lineRule="auto"/>
        <w:tabs>
          <w:tab w:leader="none" w:pos="800"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Subject all variable pay to a compensation recovery “clawback” policy</w:t>
      </w:r>
    </w:p>
    <w:p>
      <w:pPr>
        <w:spacing w:after="0" w:line="41" w:lineRule="exact"/>
        <w:rPr>
          <w:rFonts w:ascii="MS PGothic" w:cs="MS PGothic" w:eastAsia="MS PGothic" w:hAnsi="MS PGothic"/>
          <w:sz w:val="16"/>
          <w:szCs w:val="16"/>
          <w:color w:val="003B71"/>
        </w:rPr>
      </w:pPr>
    </w:p>
    <w:p>
      <w:pPr>
        <w:ind w:left="720" w:hanging="253"/>
        <w:spacing w:after="0"/>
        <w:tabs>
          <w:tab w:leader="none" w:pos="720"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Have double-trigger change in control agreements</w:t>
      </w:r>
    </w:p>
    <w:p>
      <w:pPr>
        <w:spacing w:after="0" w:line="86" w:lineRule="exact"/>
        <w:rPr>
          <w:rFonts w:ascii="MS PGothic" w:cs="MS PGothic" w:eastAsia="MS PGothic" w:hAnsi="MS PGothic"/>
          <w:sz w:val="16"/>
          <w:szCs w:val="16"/>
          <w:color w:val="003B71"/>
        </w:rPr>
      </w:pPr>
    </w:p>
    <w:p>
      <w:pPr>
        <w:ind w:left="700" w:right="100" w:hanging="233"/>
        <w:spacing w:after="0" w:line="272" w:lineRule="auto"/>
        <w:tabs>
          <w:tab w:leader="none" w:pos="800"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Independent Compensation Committee advised by an independent compensation consultant</w:t>
      </w:r>
    </w:p>
    <w:p>
      <w:pPr>
        <w:spacing w:after="0" w:line="41" w:lineRule="exact"/>
        <w:rPr>
          <w:rFonts w:ascii="MS PGothic" w:cs="MS PGothic" w:eastAsia="MS PGothic" w:hAnsi="MS PGothic"/>
          <w:sz w:val="16"/>
          <w:szCs w:val="16"/>
          <w:color w:val="003B71"/>
        </w:rPr>
      </w:pPr>
    </w:p>
    <w:p>
      <w:pPr>
        <w:ind w:left="700" w:right="100" w:hanging="233"/>
        <w:spacing w:after="0" w:line="278" w:lineRule="auto"/>
        <w:tabs>
          <w:tab w:leader="none" w:pos="705" w:val="left"/>
        </w:tabs>
        <w:numPr>
          <w:ilvl w:val="0"/>
          <w:numId w:val="86"/>
        </w:numPr>
        <w:rPr>
          <w:rFonts w:ascii="MS PGothic" w:cs="MS PGothic" w:eastAsia="MS PGothic" w:hAnsi="MS PGothic"/>
          <w:sz w:val="16"/>
          <w:szCs w:val="16"/>
          <w:color w:val="003B71"/>
        </w:rPr>
      </w:pPr>
      <w:r>
        <w:rPr>
          <w:rFonts w:ascii="Arial" w:cs="Arial" w:eastAsia="Arial" w:hAnsi="Arial"/>
          <w:sz w:val="16"/>
          <w:szCs w:val="16"/>
          <w:color w:val="auto"/>
        </w:rPr>
        <w:t>Enforce strict insider trader policies and black-out periods for executives and directors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What We Do Not Do</w:t>
      </w:r>
    </w:p>
    <w:p>
      <w:pPr>
        <w:spacing w:after="0" w:line="61" w:lineRule="exact"/>
        <w:rPr>
          <w:sz w:val="20"/>
          <w:szCs w:val="20"/>
          <w:color w:val="auto"/>
        </w:rPr>
      </w:pPr>
    </w:p>
    <w:p>
      <w:pPr>
        <w:ind w:left="320" w:hanging="262"/>
        <w:spacing w:after="0"/>
        <w:tabs>
          <w:tab w:leader="none" w:pos="320" w:val="left"/>
        </w:tabs>
        <w:numPr>
          <w:ilvl w:val="0"/>
          <w:numId w:val="87"/>
        </w:numPr>
        <w:rPr>
          <w:rFonts w:ascii="Arial" w:cs="Arial" w:eastAsia="Arial" w:hAnsi="Arial"/>
          <w:sz w:val="16"/>
          <w:szCs w:val="16"/>
          <w:i w:val="1"/>
          <w:iCs w:val="1"/>
          <w:color w:val="auto"/>
        </w:rPr>
      </w:pPr>
      <w:r>
        <w:rPr>
          <w:rFonts w:ascii="Arial" w:cs="Arial" w:eastAsia="Arial" w:hAnsi="Arial"/>
          <w:sz w:val="16"/>
          <w:szCs w:val="16"/>
          <w:color w:val="auto"/>
        </w:rPr>
        <w:t>No hedging or pledging of our stock by executives or directors</w:t>
      </w:r>
    </w:p>
    <w:p>
      <w:pPr>
        <w:spacing w:after="0" w:line="86" w:lineRule="exact"/>
        <w:rPr>
          <w:rFonts w:ascii="Arial" w:cs="Arial" w:eastAsia="Arial" w:hAnsi="Arial"/>
          <w:sz w:val="16"/>
          <w:szCs w:val="16"/>
          <w:i w:val="1"/>
          <w:iCs w:val="1"/>
          <w:color w:val="auto"/>
        </w:rPr>
      </w:pPr>
    </w:p>
    <w:p>
      <w:pPr>
        <w:ind w:left="320" w:hanging="262"/>
        <w:spacing w:after="0"/>
        <w:tabs>
          <w:tab w:leader="none" w:pos="320" w:val="left"/>
        </w:tabs>
        <w:numPr>
          <w:ilvl w:val="0"/>
          <w:numId w:val="87"/>
        </w:numPr>
        <w:rPr>
          <w:rFonts w:ascii="Arial" w:cs="Arial" w:eastAsia="Arial" w:hAnsi="Arial"/>
          <w:sz w:val="16"/>
          <w:szCs w:val="16"/>
          <w:i w:val="1"/>
          <w:iCs w:val="1"/>
          <w:color w:val="auto"/>
        </w:rPr>
      </w:pPr>
      <w:r>
        <w:rPr>
          <w:rFonts w:ascii="Arial" w:cs="Arial" w:eastAsia="Arial" w:hAnsi="Arial"/>
          <w:sz w:val="16"/>
          <w:szCs w:val="16"/>
          <w:color w:val="auto"/>
        </w:rPr>
        <w:t>No dividends paid on unearned performance-based shares</w:t>
      </w:r>
    </w:p>
    <w:p>
      <w:pPr>
        <w:spacing w:after="0" w:line="86" w:lineRule="exact"/>
        <w:rPr>
          <w:rFonts w:ascii="Arial" w:cs="Arial" w:eastAsia="Arial" w:hAnsi="Arial"/>
          <w:sz w:val="16"/>
          <w:szCs w:val="16"/>
          <w:i w:val="1"/>
          <w:iCs w:val="1"/>
          <w:color w:val="auto"/>
        </w:rPr>
      </w:pPr>
    </w:p>
    <w:p>
      <w:pPr>
        <w:ind w:left="320" w:hanging="262"/>
        <w:spacing w:after="0"/>
        <w:tabs>
          <w:tab w:leader="none" w:pos="320" w:val="left"/>
        </w:tabs>
        <w:numPr>
          <w:ilvl w:val="0"/>
          <w:numId w:val="87"/>
        </w:numPr>
        <w:rPr>
          <w:rFonts w:ascii="Arial" w:cs="Arial" w:eastAsia="Arial" w:hAnsi="Arial"/>
          <w:sz w:val="16"/>
          <w:szCs w:val="16"/>
          <w:i w:val="1"/>
          <w:iCs w:val="1"/>
          <w:color w:val="auto"/>
        </w:rPr>
      </w:pPr>
      <w:r>
        <w:rPr>
          <w:rFonts w:ascii="Arial" w:cs="Arial" w:eastAsia="Arial" w:hAnsi="Arial"/>
          <w:sz w:val="16"/>
          <w:szCs w:val="16"/>
          <w:color w:val="auto"/>
        </w:rPr>
        <w:t>No excise tax gross-ups to any executive</w:t>
      </w:r>
    </w:p>
    <w:p>
      <w:pPr>
        <w:spacing w:after="0" w:line="86" w:lineRule="exact"/>
        <w:rPr>
          <w:rFonts w:ascii="Arial" w:cs="Arial" w:eastAsia="Arial" w:hAnsi="Arial"/>
          <w:sz w:val="16"/>
          <w:szCs w:val="16"/>
          <w:i w:val="1"/>
          <w:iCs w:val="1"/>
          <w:color w:val="auto"/>
        </w:rPr>
      </w:pPr>
    </w:p>
    <w:p>
      <w:pPr>
        <w:ind w:left="320" w:hanging="262"/>
        <w:spacing w:after="0"/>
        <w:tabs>
          <w:tab w:leader="none" w:pos="320" w:val="left"/>
        </w:tabs>
        <w:numPr>
          <w:ilvl w:val="0"/>
          <w:numId w:val="87"/>
        </w:numPr>
        <w:rPr>
          <w:rFonts w:ascii="Arial" w:cs="Arial" w:eastAsia="Arial" w:hAnsi="Arial"/>
          <w:sz w:val="16"/>
          <w:szCs w:val="16"/>
          <w:i w:val="1"/>
          <w:iCs w:val="1"/>
          <w:color w:val="auto"/>
        </w:rPr>
      </w:pPr>
      <w:r>
        <w:rPr>
          <w:rFonts w:ascii="Arial" w:cs="Arial" w:eastAsia="Arial" w:hAnsi="Arial"/>
          <w:sz w:val="16"/>
          <w:szCs w:val="16"/>
          <w:color w:val="auto"/>
        </w:rPr>
        <w:t>No repricing or cash buyout of underwater stock options</w:t>
      </w:r>
    </w:p>
    <w:p>
      <w:pPr>
        <w:spacing w:after="0" w:line="86" w:lineRule="exact"/>
        <w:rPr>
          <w:rFonts w:ascii="Arial" w:cs="Arial" w:eastAsia="Arial" w:hAnsi="Arial"/>
          <w:sz w:val="16"/>
          <w:szCs w:val="16"/>
          <w:i w:val="1"/>
          <w:iCs w:val="1"/>
          <w:color w:val="auto"/>
        </w:rPr>
      </w:pPr>
    </w:p>
    <w:p>
      <w:pPr>
        <w:ind w:left="320" w:hanging="262"/>
        <w:spacing w:after="0"/>
        <w:tabs>
          <w:tab w:leader="none" w:pos="320" w:val="left"/>
        </w:tabs>
        <w:numPr>
          <w:ilvl w:val="0"/>
          <w:numId w:val="87"/>
        </w:numPr>
        <w:rPr>
          <w:rFonts w:ascii="Arial" w:cs="Arial" w:eastAsia="Arial" w:hAnsi="Arial"/>
          <w:sz w:val="16"/>
          <w:szCs w:val="16"/>
          <w:i w:val="1"/>
          <w:iCs w:val="1"/>
          <w:color w:val="auto"/>
        </w:rPr>
      </w:pPr>
      <w:r>
        <w:rPr>
          <w:rFonts w:ascii="Arial" w:cs="Arial" w:eastAsia="Arial" w:hAnsi="Arial"/>
          <w:sz w:val="16"/>
          <w:szCs w:val="16"/>
          <w:color w:val="auto"/>
        </w:rPr>
        <w:t>No market timing in granting of equity awards</w:t>
      </w:r>
    </w:p>
    <w:p>
      <w:pPr>
        <w:spacing w:after="0" w:line="2278" w:lineRule="exact"/>
        <w:rPr>
          <w:sz w:val="20"/>
          <w:szCs w:val="20"/>
          <w:color w:val="auto"/>
        </w:rPr>
      </w:pPr>
    </w:p>
    <w:p>
      <w:pPr>
        <w:sectPr>
          <w:pgSz w:w="11900" w:h="16838" w:orient="portrait"/>
          <w:cols w:equalWidth="0" w:num="2">
            <w:col w:w="5280" w:space="720"/>
            <w:col w:w="5140"/>
          </w:cols>
          <w:pgMar w:left="320" w:top="459" w:right="439" w:bottom="1440" w:gutter="0" w:footer="0" w:header="0"/>
          <w:type w:val="continuous"/>
        </w:sectPr>
      </w:pPr>
    </w:p>
    <w:p>
      <w:pPr>
        <w:spacing w:after="0" w:line="14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Shareholder Say-on-Pay Vote for 2020 and Compensation Actions Taken</w:t>
      </w:r>
    </w:p>
    <w:p>
      <w:pPr>
        <w:spacing w:after="0" w:line="12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While not required by SEC proxy disclosure rules, last year we felt it was imperative to be timely and completely transparent to our investors not only about our 2019 pay practices, but also about the unique changes to our compensation program in 2020. Our investors were supportive of these pay actions as evidenced by the overwhelming (99%) support of our Say-on-Pay vote. The positive result of this vote is one of the many factors our Compensation Committee considers in evaluating our executive compensation program. Management and the Board intend to transition to the Company’s performance-based short- and long-term incentive programs as the business recovers, and its programs for 2021 reflect progress in this transition.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Procedures for Determining Compensation</w:t>
      </w:r>
    </w:p>
    <w:p>
      <w:pPr>
        <w:spacing w:after="0" w:line="126"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Our Compensation Committee has the overall responsibility for designing and evaluating the salaries, incentive plan compensation, policies and programs for our executive officers, including the NEOs. The Compensation Committee relies on input from an independent compensation consultant and the experience of members of the Compensation Committee to guide our compensation decisions, including compensation of our NEOs. In addition, the Compensation Committee relies on input from our Chief Executive Officer regarding an officer’s individual performance (other than himself) and an analysis of our corporate performance. By a delegation of authority from the Board of Directors, the Compensation Committee has final authority regarding the overall compensation structure for the executive officers, including the NEOs.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of our executive officers typically consists primarily of four major components:</w:t>
      </w:r>
    </w:p>
    <w:p>
      <w:pPr>
        <w:spacing w:after="0" w:line="77" w:lineRule="exact"/>
        <w:rPr>
          <w:sz w:val="20"/>
          <w:szCs w:val="20"/>
          <w:color w:val="auto"/>
        </w:rPr>
      </w:pPr>
    </w:p>
    <w:p>
      <w:pPr>
        <w:ind w:left="540" w:hanging="316"/>
        <w:spacing w:after="0"/>
        <w:tabs>
          <w:tab w:leader="none" w:pos="540" w:val="left"/>
        </w:tabs>
        <w:numPr>
          <w:ilvl w:val="0"/>
          <w:numId w:val="88"/>
        </w:numPr>
        <w:rPr>
          <w:rFonts w:ascii="Arial" w:cs="Arial" w:eastAsia="Arial" w:hAnsi="Arial"/>
          <w:sz w:val="18"/>
          <w:szCs w:val="18"/>
          <w:color w:val="003B71"/>
        </w:rPr>
      </w:pPr>
      <w:r>
        <w:rPr>
          <w:rFonts w:ascii="Arial" w:cs="Arial" w:eastAsia="Arial" w:hAnsi="Arial"/>
          <w:sz w:val="18"/>
          <w:szCs w:val="18"/>
          <w:color w:val="auto"/>
        </w:rPr>
        <w:t>base salary;</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88"/>
        </w:numPr>
        <w:rPr>
          <w:rFonts w:ascii="Arial" w:cs="Arial" w:eastAsia="Arial" w:hAnsi="Arial"/>
          <w:sz w:val="18"/>
          <w:szCs w:val="18"/>
          <w:color w:val="003B71"/>
        </w:rPr>
      </w:pPr>
      <w:r>
        <w:rPr>
          <w:rFonts w:ascii="Arial" w:cs="Arial" w:eastAsia="Arial" w:hAnsi="Arial"/>
          <w:sz w:val="18"/>
          <w:szCs w:val="18"/>
          <w:color w:val="auto"/>
        </w:rPr>
        <w:t>annual incentive awards;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88"/>
        </w:numPr>
        <w:rPr>
          <w:rFonts w:ascii="Arial" w:cs="Arial" w:eastAsia="Arial" w:hAnsi="Arial"/>
          <w:sz w:val="18"/>
          <w:szCs w:val="18"/>
          <w:color w:val="003B71"/>
        </w:rPr>
      </w:pPr>
      <w:r>
        <w:rPr>
          <w:rFonts w:ascii="Arial" w:cs="Arial" w:eastAsia="Arial" w:hAnsi="Arial"/>
          <w:sz w:val="18"/>
          <w:szCs w:val="18"/>
          <w:color w:val="auto"/>
        </w:rPr>
        <w:t>long-term incentive awards; and</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88"/>
        </w:numPr>
        <w:rPr>
          <w:rFonts w:ascii="Arial" w:cs="Arial" w:eastAsia="Arial" w:hAnsi="Arial"/>
          <w:sz w:val="18"/>
          <w:szCs w:val="18"/>
          <w:color w:val="003B71"/>
        </w:rPr>
      </w:pPr>
      <w:r>
        <w:rPr>
          <w:rFonts w:ascii="Arial" w:cs="Arial" w:eastAsia="Arial" w:hAnsi="Arial"/>
          <w:sz w:val="18"/>
          <w:szCs w:val="18"/>
          <w:color w:val="auto"/>
        </w:rPr>
        <w:t>other benefits.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these components is discussed in detail in “Elements of Compensation” below.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making compensation decisions, the Compensation Committee considers, among other things:</w:t>
      </w:r>
    </w:p>
    <w:p>
      <w:pPr>
        <w:spacing w:after="0" w:line="77" w:lineRule="exact"/>
        <w:rPr>
          <w:sz w:val="20"/>
          <w:szCs w:val="20"/>
          <w:color w:val="auto"/>
        </w:rPr>
      </w:pPr>
    </w:p>
    <w:p>
      <w:pPr>
        <w:ind w:left="540" w:hanging="316"/>
        <w:spacing w:after="0"/>
        <w:tabs>
          <w:tab w:leader="none" w:pos="540" w:val="left"/>
        </w:tabs>
        <w:numPr>
          <w:ilvl w:val="0"/>
          <w:numId w:val="89"/>
        </w:numPr>
        <w:rPr>
          <w:rFonts w:ascii="Arial" w:cs="Arial" w:eastAsia="Arial" w:hAnsi="Arial"/>
          <w:sz w:val="18"/>
          <w:szCs w:val="18"/>
          <w:color w:val="003B71"/>
        </w:rPr>
      </w:pPr>
      <w:r>
        <w:rPr>
          <w:rFonts w:ascii="Arial" w:cs="Arial" w:eastAsia="Arial" w:hAnsi="Arial"/>
          <w:sz w:val="18"/>
          <w:szCs w:val="18"/>
          <w:color w:val="auto"/>
        </w:rPr>
        <w:t>the Company’s short- and long-term performance relative to financial and strategic targets;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89"/>
        </w:numPr>
        <w:rPr>
          <w:rFonts w:ascii="Arial" w:cs="Arial" w:eastAsia="Arial" w:hAnsi="Arial"/>
          <w:sz w:val="18"/>
          <w:szCs w:val="18"/>
          <w:color w:val="003B71"/>
        </w:rPr>
      </w:pPr>
      <w:r>
        <w:rPr>
          <w:rFonts w:ascii="Arial" w:cs="Arial" w:eastAsia="Arial" w:hAnsi="Arial"/>
          <w:sz w:val="18"/>
          <w:szCs w:val="18"/>
          <w:color w:val="auto"/>
        </w:rPr>
        <w:t>the executive officer’s prior experience and sustained individual performance;</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89"/>
        </w:numPr>
        <w:rPr>
          <w:rFonts w:ascii="Arial" w:cs="Arial" w:eastAsia="Arial" w:hAnsi="Arial"/>
          <w:sz w:val="18"/>
          <w:szCs w:val="18"/>
          <w:color w:val="003B71"/>
        </w:rPr>
      </w:pPr>
      <w:r>
        <w:rPr>
          <w:rFonts w:ascii="Arial" w:cs="Arial" w:eastAsia="Arial" w:hAnsi="Arial"/>
          <w:sz w:val="18"/>
          <w:szCs w:val="18"/>
          <w:color w:val="auto"/>
        </w:rPr>
        <w:t>the significance of the executive officer’s contributions to the ongoing success of the Company;</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89"/>
        </w:numPr>
        <w:rPr>
          <w:rFonts w:ascii="Arial" w:cs="Arial" w:eastAsia="Arial" w:hAnsi="Arial"/>
          <w:sz w:val="18"/>
          <w:szCs w:val="18"/>
          <w:color w:val="003B71"/>
        </w:rPr>
      </w:pPr>
      <w:r>
        <w:rPr>
          <w:rFonts w:ascii="Arial" w:cs="Arial" w:eastAsia="Arial" w:hAnsi="Arial"/>
          <w:sz w:val="18"/>
          <w:szCs w:val="18"/>
          <w:color w:val="auto"/>
        </w:rPr>
        <w:t>the scope of the executive officer’s responsibilities;</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89"/>
        </w:numPr>
        <w:rPr>
          <w:rFonts w:ascii="Arial" w:cs="Arial" w:eastAsia="Arial" w:hAnsi="Arial"/>
          <w:sz w:val="18"/>
          <w:szCs w:val="18"/>
          <w:color w:val="003B71"/>
        </w:rPr>
      </w:pPr>
      <w:r>
        <w:rPr>
          <w:rFonts w:ascii="Arial" w:cs="Arial" w:eastAsia="Arial" w:hAnsi="Arial"/>
          <w:sz w:val="18"/>
          <w:szCs w:val="18"/>
          <w:color w:val="auto"/>
        </w:rPr>
        <w:t>the future value the executive officer is expected to bring to the Company; and</w:t>
      </w:r>
    </w:p>
    <w:p>
      <w:pPr>
        <w:spacing w:after="0" w:line="76" w:lineRule="exact"/>
        <w:rPr>
          <w:rFonts w:ascii="Arial" w:cs="Arial" w:eastAsia="Arial" w:hAnsi="Arial"/>
          <w:sz w:val="18"/>
          <w:szCs w:val="18"/>
          <w:color w:val="003B71"/>
        </w:rPr>
      </w:pPr>
    </w:p>
    <w:p>
      <w:pPr>
        <w:ind w:left="540" w:right="20" w:hanging="316"/>
        <w:spacing w:after="0" w:line="246" w:lineRule="auto"/>
        <w:tabs>
          <w:tab w:leader="none" w:pos="540" w:val="left"/>
        </w:tabs>
        <w:numPr>
          <w:ilvl w:val="0"/>
          <w:numId w:val="89"/>
        </w:numPr>
        <w:rPr>
          <w:rFonts w:ascii="Arial" w:cs="Arial" w:eastAsia="Arial" w:hAnsi="Arial"/>
          <w:sz w:val="18"/>
          <w:szCs w:val="18"/>
          <w:color w:val="003B71"/>
        </w:rPr>
      </w:pPr>
      <w:r>
        <w:rPr>
          <w:rFonts w:ascii="Arial" w:cs="Arial" w:eastAsia="Arial" w:hAnsi="Arial"/>
          <w:sz w:val="18"/>
          <w:szCs w:val="18"/>
          <w:color w:val="auto"/>
        </w:rPr>
        <w:t>the results of benchmarking studies, which illustrate value of the executive officer’s total compensation package relative to others in the industries with which we compete for talent.</w:t>
      </w:r>
    </w:p>
    <w:p>
      <w:pPr>
        <w:spacing w:after="0" w:line="121"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29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4" w:lineRule="auto"/>
        <w:rPr>
          <w:sz w:val="20"/>
          <w:szCs w:val="20"/>
          <w:color w:val="auto"/>
        </w:rPr>
      </w:pPr>
      <w:r>
        <w:rPr>
          <w:rFonts w:ascii="Arial" w:cs="Arial" w:eastAsia="Arial" w:hAnsi="Arial"/>
          <w:sz w:val="18"/>
          <w:szCs w:val="18"/>
          <w:color w:val="auto"/>
        </w:rPr>
        <w:t>Annually, the Compensation Committee engages a compensation consulting firm to conduct a benchmarking study of executive compensation programs, provide analysis and advice regarding plan design for short- and long-term incentive plans, and provide analysis and advice concerning trends and regulatory developments in executive compensation. Due to the environment created by the COVID-19 Pandemic in fiscal 2020, the Compensation Committee elected to forgo commissioning a new benchmarking study and instead used the results of the benchmarking study completed by Aon Consulting in fiscal 2019 to inform their decisions in fiscal 2020. In 2019, Aon Consulting evaluated our market competitiveness against (a) a custom peer group and (b) Aon Consulting’s Total Compensation Measurement survey of retail companies. The peer group against which we compared ourselves in fiscal 2019 and fiscal 2020 includes</w:t>
      </w:r>
    </w:p>
    <w:p>
      <w:pPr>
        <w:ind w:left="380" w:hanging="264"/>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casual dining restaurants that offer an “experience”; (ii) casual dining concepts with which we compete for leadership talent;</w:t>
      </w:r>
    </w:p>
    <w:p>
      <w:pPr>
        <w:jc w:val="both"/>
        <w:ind w:left="120" w:right="20" w:hanging="4"/>
        <w:spacing w:after="0"/>
        <w:tabs>
          <w:tab w:leader="none" w:pos="442"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companies that focus on entertainment, including casino &amp; gaming companies; (iv) hotels, resorts &amp; cruise lines; and (v) leisure facilities. At the time of comparison, all members of the peer group were publicly traded companies that had revenues between 0.3 times to 2.5 times our revenue and in aggregate, had a restaurant/entertainment mix similar to our income mix:</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480" w:type="dxa"/>
            <w:vAlign w:val="bottom"/>
            <w:tcBorders>
              <w:top w:val="single" w:sz="8" w:color="003B71"/>
            </w:tcBorders>
            <w:shd w:val="clear" w:color="auto" w:fill="E5E5E5"/>
          </w:tcPr>
          <w:p>
            <w:pPr>
              <w:ind w:left="220"/>
              <w:spacing w:after="0"/>
              <w:rPr>
                <w:sz w:val="20"/>
                <w:szCs w:val="20"/>
                <w:color w:val="auto"/>
              </w:rPr>
            </w:pPr>
            <w:r>
              <w:rPr>
                <w:rFonts w:ascii="Arial" w:cs="Arial" w:eastAsia="Arial" w:hAnsi="Arial"/>
                <w:sz w:val="16"/>
                <w:szCs w:val="16"/>
                <w:color w:val="auto"/>
              </w:rPr>
              <w:t>BJ’s Restaurants, Inc.</w:t>
            </w:r>
          </w:p>
        </w:tc>
        <w:tc>
          <w:tcPr>
            <w:tcW w:w="3740" w:type="dxa"/>
            <w:vAlign w:val="bottom"/>
            <w:tcBorders>
              <w:top w:val="single" w:sz="8" w:color="003B71"/>
            </w:tcBorders>
            <w:shd w:val="clear" w:color="auto" w:fill="E5E5E5"/>
          </w:tcPr>
          <w:p>
            <w:pPr>
              <w:ind w:left="500"/>
              <w:spacing w:after="0"/>
              <w:rPr>
                <w:sz w:val="20"/>
                <w:szCs w:val="20"/>
                <w:color w:val="auto"/>
              </w:rPr>
            </w:pPr>
            <w:r>
              <w:rPr>
                <w:rFonts w:ascii="Arial" w:cs="Arial" w:eastAsia="Arial" w:hAnsi="Arial"/>
                <w:sz w:val="16"/>
                <w:szCs w:val="16"/>
                <w:color w:val="auto"/>
              </w:rPr>
              <w:t>Cracker Barrel Old Country Store, Inc.</w:t>
            </w:r>
          </w:p>
        </w:tc>
        <w:tc>
          <w:tcPr>
            <w:tcW w:w="3800" w:type="dxa"/>
            <w:vAlign w:val="bottom"/>
            <w:tcBorders>
              <w:top w:val="single" w:sz="8" w:color="003B71"/>
            </w:tcBorders>
            <w:shd w:val="clear" w:color="auto" w:fill="E5E5E5"/>
          </w:tcPr>
          <w:p>
            <w:pPr>
              <w:ind w:left="500"/>
              <w:spacing w:after="0"/>
              <w:rPr>
                <w:sz w:val="20"/>
                <w:szCs w:val="20"/>
                <w:color w:val="auto"/>
              </w:rPr>
            </w:pPr>
            <w:r>
              <w:rPr>
                <w:rFonts w:ascii="Arial" w:cs="Arial" w:eastAsia="Arial" w:hAnsi="Arial"/>
                <w:sz w:val="16"/>
                <w:szCs w:val="16"/>
                <w:color w:val="auto"/>
              </w:rPr>
              <w:t>Red Robin Gourmet Burgers, Inc.</w:t>
            </w:r>
          </w:p>
        </w:tc>
      </w:tr>
      <w:tr>
        <w:trPr>
          <w:trHeight w:val="189"/>
        </w:trPr>
        <w:tc>
          <w:tcPr>
            <w:tcW w:w="3480" w:type="dxa"/>
            <w:vAlign w:val="bottom"/>
          </w:tcPr>
          <w:p>
            <w:pPr>
              <w:ind w:left="220"/>
              <w:spacing w:after="0"/>
              <w:rPr>
                <w:sz w:val="20"/>
                <w:szCs w:val="20"/>
                <w:color w:val="auto"/>
              </w:rPr>
            </w:pPr>
            <w:r>
              <w:rPr>
                <w:rFonts w:ascii="Arial" w:cs="Arial" w:eastAsia="Arial" w:hAnsi="Arial"/>
                <w:sz w:val="16"/>
                <w:szCs w:val="16"/>
                <w:color w:val="auto"/>
              </w:rPr>
              <w:t>Bloomin’ Brands</w:t>
            </w:r>
          </w:p>
        </w:tc>
        <w:tc>
          <w:tcPr>
            <w:tcW w:w="3740" w:type="dxa"/>
            <w:vAlign w:val="bottom"/>
          </w:tcPr>
          <w:p>
            <w:pPr>
              <w:ind w:left="500"/>
              <w:spacing w:after="0"/>
              <w:rPr>
                <w:sz w:val="20"/>
                <w:szCs w:val="20"/>
                <w:color w:val="auto"/>
              </w:rPr>
            </w:pPr>
            <w:r>
              <w:rPr>
                <w:rFonts w:ascii="Arial" w:cs="Arial" w:eastAsia="Arial" w:hAnsi="Arial"/>
                <w:sz w:val="16"/>
                <w:szCs w:val="16"/>
                <w:color w:val="auto"/>
              </w:rPr>
              <w:t>Dine Brands Global, Inc.</w:t>
            </w:r>
          </w:p>
        </w:tc>
        <w:tc>
          <w:tcPr>
            <w:tcW w:w="3800" w:type="dxa"/>
            <w:vAlign w:val="bottom"/>
          </w:tcPr>
          <w:p>
            <w:pPr>
              <w:ind w:left="500"/>
              <w:spacing w:after="0"/>
              <w:rPr>
                <w:sz w:val="20"/>
                <w:szCs w:val="20"/>
                <w:color w:val="auto"/>
              </w:rPr>
            </w:pPr>
            <w:r>
              <w:rPr>
                <w:rFonts w:ascii="Arial" w:cs="Arial" w:eastAsia="Arial" w:hAnsi="Arial"/>
                <w:sz w:val="16"/>
                <w:szCs w:val="16"/>
                <w:color w:val="auto"/>
              </w:rPr>
              <w:t>SeaWorld Entertainment, Inc.</w:t>
            </w:r>
          </w:p>
        </w:tc>
      </w:tr>
      <w:tr>
        <w:trPr>
          <w:trHeight w:val="189"/>
        </w:trPr>
        <w:tc>
          <w:tcPr>
            <w:tcW w:w="34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Brinker International, Inc.</w:t>
            </w:r>
          </w:p>
        </w:tc>
        <w:tc>
          <w:tcPr>
            <w:tcW w:w="3740" w:type="dxa"/>
            <w:vAlign w:val="bottom"/>
            <w:shd w:val="clear" w:color="auto" w:fill="E5E5E5"/>
          </w:tcPr>
          <w:p>
            <w:pPr>
              <w:ind w:left="500"/>
              <w:spacing w:after="0"/>
              <w:rPr>
                <w:sz w:val="20"/>
                <w:szCs w:val="20"/>
                <w:color w:val="auto"/>
              </w:rPr>
            </w:pPr>
            <w:r>
              <w:rPr>
                <w:rFonts w:ascii="Arial" w:cs="Arial" w:eastAsia="Arial" w:hAnsi="Arial"/>
                <w:sz w:val="16"/>
                <w:szCs w:val="16"/>
                <w:color w:val="auto"/>
              </w:rPr>
              <w:t>Eldorado Resorts, Inc.</w:t>
            </w:r>
          </w:p>
        </w:tc>
        <w:tc>
          <w:tcPr>
            <w:tcW w:w="3800" w:type="dxa"/>
            <w:vAlign w:val="bottom"/>
            <w:shd w:val="clear" w:color="auto" w:fill="E5E5E5"/>
          </w:tcPr>
          <w:p>
            <w:pPr>
              <w:ind w:left="500"/>
              <w:spacing w:after="0"/>
              <w:rPr>
                <w:sz w:val="20"/>
                <w:szCs w:val="20"/>
                <w:color w:val="auto"/>
              </w:rPr>
            </w:pPr>
            <w:r>
              <w:rPr>
                <w:rFonts w:ascii="Arial" w:cs="Arial" w:eastAsia="Arial" w:hAnsi="Arial"/>
                <w:sz w:val="16"/>
                <w:szCs w:val="16"/>
                <w:color w:val="auto"/>
              </w:rPr>
              <w:t>Six Flags Entertainment Corporation</w:t>
            </w:r>
          </w:p>
        </w:tc>
      </w:tr>
      <w:tr>
        <w:trPr>
          <w:trHeight w:val="189"/>
        </w:trPr>
        <w:tc>
          <w:tcPr>
            <w:tcW w:w="3480" w:type="dxa"/>
            <w:vAlign w:val="bottom"/>
          </w:tcPr>
          <w:p>
            <w:pPr>
              <w:ind w:left="220"/>
              <w:spacing w:after="0"/>
              <w:rPr>
                <w:sz w:val="20"/>
                <w:szCs w:val="20"/>
                <w:color w:val="auto"/>
              </w:rPr>
            </w:pPr>
            <w:r>
              <w:rPr>
                <w:rFonts w:ascii="Arial" w:cs="Arial" w:eastAsia="Arial" w:hAnsi="Arial"/>
                <w:sz w:val="16"/>
                <w:szCs w:val="16"/>
                <w:color w:val="auto"/>
              </w:rPr>
              <w:t>Cedar Fair, L.P.</w:t>
            </w:r>
          </w:p>
        </w:tc>
        <w:tc>
          <w:tcPr>
            <w:tcW w:w="3740" w:type="dxa"/>
            <w:vAlign w:val="bottom"/>
          </w:tcPr>
          <w:p>
            <w:pPr>
              <w:ind w:left="500"/>
              <w:spacing w:after="0"/>
              <w:rPr>
                <w:sz w:val="20"/>
                <w:szCs w:val="20"/>
                <w:color w:val="auto"/>
              </w:rPr>
            </w:pPr>
            <w:r>
              <w:rPr>
                <w:rFonts w:ascii="Arial" w:cs="Arial" w:eastAsia="Arial" w:hAnsi="Arial"/>
                <w:sz w:val="16"/>
                <w:szCs w:val="16"/>
                <w:color w:val="auto"/>
              </w:rPr>
              <w:t>International Speedway Corporation</w:t>
            </w:r>
          </w:p>
        </w:tc>
        <w:tc>
          <w:tcPr>
            <w:tcW w:w="3800" w:type="dxa"/>
            <w:vAlign w:val="bottom"/>
          </w:tcPr>
          <w:p>
            <w:pPr>
              <w:ind w:left="500"/>
              <w:spacing w:after="0"/>
              <w:rPr>
                <w:sz w:val="20"/>
                <w:szCs w:val="20"/>
                <w:color w:val="auto"/>
              </w:rPr>
            </w:pPr>
            <w:r>
              <w:rPr>
                <w:rFonts w:ascii="Arial" w:cs="Arial" w:eastAsia="Arial" w:hAnsi="Arial"/>
                <w:sz w:val="16"/>
                <w:szCs w:val="16"/>
                <w:color w:val="auto"/>
              </w:rPr>
              <w:t>Speedway Motorsports, Inc.</w:t>
            </w:r>
          </w:p>
        </w:tc>
      </w:tr>
      <w:tr>
        <w:trPr>
          <w:trHeight w:val="189"/>
        </w:trPr>
        <w:tc>
          <w:tcPr>
            <w:tcW w:w="34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The Cheesecake Factory Incorporated</w:t>
            </w:r>
          </w:p>
        </w:tc>
        <w:tc>
          <w:tcPr>
            <w:tcW w:w="3740" w:type="dxa"/>
            <w:vAlign w:val="bottom"/>
            <w:shd w:val="clear" w:color="auto" w:fill="E5E5E5"/>
          </w:tcPr>
          <w:p>
            <w:pPr>
              <w:ind w:left="500"/>
              <w:spacing w:after="0"/>
              <w:rPr>
                <w:sz w:val="20"/>
                <w:szCs w:val="20"/>
                <w:color w:val="auto"/>
              </w:rPr>
            </w:pPr>
            <w:r>
              <w:rPr>
                <w:rFonts w:ascii="Arial" w:cs="Arial" w:eastAsia="Arial" w:hAnsi="Arial"/>
                <w:sz w:val="16"/>
                <w:szCs w:val="16"/>
                <w:color w:val="auto"/>
              </w:rPr>
              <w:t>The Marcus Corporation</w:t>
            </w:r>
          </w:p>
        </w:tc>
        <w:tc>
          <w:tcPr>
            <w:tcW w:w="3800" w:type="dxa"/>
            <w:vAlign w:val="bottom"/>
            <w:shd w:val="clear" w:color="auto" w:fill="E5E5E5"/>
          </w:tcPr>
          <w:p>
            <w:pPr>
              <w:ind w:left="500"/>
              <w:spacing w:after="0"/>
              <w:rPr>
                <w:sz w:val="20"/>
                <w:szCs w:val="20"/>
                <w:color w:val="auto"/>
              </w:rPr>
            </w:pPr>
            <w:r>
              <w:rPr>
                <w:rFonts w:ascii="Arial" w:cs="Arial" w:eastAsia="Arial" w:hAnsi="Arial"/>
                <w:sz w:val="16"/>
                <w:szCs w:val="16"/>
                <w:color w:val="auto"/>
              </w:rPr>
              <w:t>Texas Roadhouse, Inc.</w:t>
            </w:r>
          </w:p>
        </w:tc>
      </w:tr>
      <w:tr>
        <w:trPr>
          <w:trHeight w:val="189"/>
        </w:trPr>
        <w:tc>
          <w:tcPr>
            <w:tcW w:w="3480" w:type="dxa"/>
            <w:vAlign w:val="bottom"/>
          </w:tcPr>
          <w:p>
            <w:pPr>
              <w:ind w:left="220"/>
              <w:spacing w:after="0"/>
              <w:rPr>
                <w:sz w:val="20"/>
                <w:szCs w:val="20"/>
                <w:color w:val="auto"/>
              </w:rPr>
            </w:pPr>
            <w:r>
              <w:rPr>
                <w:rFonts w:ascii="Arial" w:cs="Arial" w:eastAsia="Arial" w:hAnsi="Arial"/>
                <w:sz w:val="16"/>
                <w:szCs w:val="16"/>
                <w:color w:val="auto"/>
              </w:rPr>
              <w:t>Churchill Downs Incorporated</w:t>
            </w:r>
          </w:p>
        </w:tc>
        <w:tc>
          <w:tcPr>
            <w:tcW w:w="3740" w:type="dxa"/>
            <w:vAlign w:val="bottom"/>
          </w:tcPr>
          <w:p>
            <w:pPr>
              <w:ind w:left="500"/>
              <w:spacing w:after="0"/>
              <w:rPr>
                <w:sz w:val="20"/>
                <w:szCs w:val="20"/>
                <w:color w:val="auto"/>
              </w:rPr>
            </w:pPr>
            <w:r>
              <w:rPr>
                <w:rFonts w:ascii="Arial" w:cs="Arial" w:eastAsia="Arial" w:hAnsi="Arial"/>
                <w:sz w:val="16"/>
                <w:szCs w:val="16"/>
                <w:color w:val="auto"/>
              </w:rPr>
              <w:t>Penn National Gaming, Inc.</w:t>
            </w:r>
          </w:p>
        </w:tc>
        <w:tc>
          <w:tcPr>
            <w:tcW w:w="3800" w:type="dxa"/>
            <w:vAlign w:val="bottom"/>
          </w:tcPr>
          <w:p>
            <w:pPr>
              <w:ind w:left="500"/>
              <w:spacing w:after="0"/>
              <w:rPr>
                <w:sz w:val="20"/>
                <w:szCs w:val="20"/>
                <w:color w:val="auto"/>
              </w:rPr>
            </w:pPr>
            <w:r>
              <w:rPr>
                <w:rFonts w:ascii="Arial" w:cs="Arial" w:eastAsia="Arial" w:hAnsi="Arial"/>
                <w:sz w:val="16"/>
                <w:szCs w:val="16"/>
                <w:color w:val="auto"/>
              </w:rPr>
              <w:t>Vail Resorts, Inc.</w:t>
            </w:r>
          </w:p>
        </w:tc>
      </w:tr>
      <w:tr>
        <w:trPr>
          <w:trHeight w:val="189"/>
        </w:trPr>
        <w:tc>
          <w:tcPr>
            <w:tcW w:w="3480" w:type="dxa"/>
            <w:vAlign w:val="bottom"/>
            <w:tcBorders>
              <w:bottom w:val="single" w:sz="8" w:color="003B71"/>
            </w:tcBorders>
            <w:shd w:val="clear" w:color="auto" w:fill="E5E5E5"/>
          </w:tcPr>
          <w:p>
            <w:pPr>
              <w:ind w:left="220"/>
              <w:spacing w:after="0"/>
              <w:rPr>
                <w:sz w:val="20"/>
                <w:szCs w:val="20"/>
                <w:color w:val="auto"/>
              </w:rPr>
            </w:pPr>
            <w:r>
              <w:rPr>
                <w:rFonts w:ascii="Arial" w:cs="Arial" w:eastAsia="Arial" w:hAnsi="Arial"/>
                <w:sz w:val="16"/>
                <w:szCs w:val="16"/>
                <w:color w:val="auto"/>
              </w:rPr>
              <w:t>Cinemark Holdings, Inc.</w:t>
            </w:r>
          </w:p>
        </w:tc>
        <w:tc>
          <w:tcPr>
            <w:tcW w:w="3740" w:type="dxa"/>
            <w:vAlign w:val="bottom"/>
            <w:tcBorders>
              <w:bottom w:val="single" w:sz="8" w:color="003B71"/>
            </w:tcBorders>
            <w:shd w:val="clear" w:color="auto" w:fill="E5E5E5"/>
          </w:tcPr>
          <w:p>
            <w:pPr>
              <w:spacing w:after="0"/>
              <w:rPr>
                <w:sz w:val="16"/>
                <w:szCs w:val="16"/>
                <w:color w:val="auto"/>
              </w:rPr>
            </w:pPr>
          </w:p>
        </w:tc>
        <w:tc>
          <w:tcPr>
            <w:tcW w:w="3800" w:type="dxa"/>
            <w:vAlign w:val="bottom"/>
            <w:tcBorders>
              <w:bottom w:val="single" w:sz="8" w:color="003B71"/>
            </w:tcBorders>
            <w:shd w:val="clear" w:color="auto" w:fill="E5E5E5"/>
          </w:tcPr>
          <w:p>
            <w:pPr>
              <w:spacing w:after="0"/>
              <w:rPr>
                <w:sz w:val="16"/>
                <w:szCs w:val="16"/>
                <w:color w:val="auto"/>
              </w:rPr>
            </w:pPr>
          </w:p>
        </w:tc>
      </w:tr>
    </w:tbl>
    <w:p>
      <w:pPr>
        <w:spacing w:after="0" w:line="21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Few direct comparable peers to the Company exist among the peer group. As a result, due to the size differences among the peer group and the Company, Aon Consulting used regression analysis to size-adjust the results. Aon Consulting had no other direct business relationship with the Company and received no payments from us other than the fees and expenses for services to the Compensation Committee.</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fiscal 2021, the Compensation Committee has engaged compensation consulting firm FW Cook to conduct a new benchmarking study and provide updated analysis and advice to the Compensation Committee.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Pay for Performance Alignment</w:t>
      </w:r>
    </w:p>
    <w:p>
      <w:pPr>
        <w:spacing w:after="0" w:line="1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Typically, we work to leverage our executive compensation structure to drive outstanding Company performance and provide appropriate rewards for sustained, strong individual performance. A significant portion of each executive officer’s pay is at-risk and awarded in the form of cash- and stock-based short- and long-term incentive grants. These incentive grants, which are discussed below, link each executive officer’s annual income to the achievement of short- and long- term financial and strategic goals. As such, executive officers, including the NEOs, face a risk of forfeiture or a reduced payout if the Company fails to meet its financial and strategic objectives. Under each incentive plan, target compensation is only earned if the designated financial and strategic objectives are met. Each incentive plan offers above-target payouts for outstanding performance; alternatively, no incentive may be earned if a threshold level of performance is not achieved. Further, the Compensation Committee aims to link any adjustments to an executive officer’s base salary to his or her individual performance.</w:t>
      </w:r>
    </w:p>
    <w:p>
      <w:pPr>
        <w:spacing w:after="0" w:line="207"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evaluating whether the compensation programs appropriately link each executive officer’s compensation to Company performance, the Compensation Committee reviews and evaluates the achievements of the Company in the fiscal year. During fiscal 2020, the Company experienced declines in total revenues and comparable store sales from the COVID-19 Pandemic. The temporary shutdown of our stores resulted in the Company’s broad reduction of expenses, subsequent gradual reopening of stores and recalling of many furloughed team members, and increased liquidity by selling shares of common stock and restructuring of long-term debt. Key accomplishments are more specifically detailed in our Annual Report on Form 10-K. The COVID-19 Pandemic necessitated temporary changes to the Company’s compensation approach for the year, which the Compensation Committee anticipated and described in last year’s Proxy Statement. Those changes are summarized in more detail in the next section.</w:t>
      </w:r>
    </w:p>
    <w:p>
      <w:pPr>
        <w:spacing w:after="0" w:line="13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COVID-19 Action Plan</w:t>
      </w:r>
    </w:p>
    <w:p>
      <w:pPr>
        <w:spacing w:after="0" w:line="1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COVID-19 Pandemic has had wide-spread impact on the economy and has been particularly devastating on the restaurant and entertainment industry, with sweeping nationwide-closures of non-essential businesses as mandated by local and federal governments. To protect the health and safety of guests and employees, and in full cooperation with local authorities and health official recommendations, the Company temporarily suspended all store operations as of March 20, 2020.</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April 2020, the Company announced strategic actions to increase liquidity, reduce operating expenses, and preserve cash as it navigates through unprecedented Company and industry disruption and seeks to position its operations for accelerated recovery. These actions included decisive and deliberate changes to pay levels and pay structure for our executives in the face of great market uncertainty and industry instability. Compensation actions included:</w:t>
      </w:r>
    </w:p>
    <w:p>
      <w:pPr>
        <w:spacing w:after="0" w:line="70" w:lineRule="exact"/>
        <w:rPr>
          <w:sz w:val="20"/>
          <w:szCs w:val="20"/>
          <w:color w:val="auto"/>
        </w:rPr>
      </w:pPr>
    </w:p>
    <w:p>
      <w:pPr>
        <w:jc w:val="both"/>
        <w:ind w:left="540" w:hanging="316"/>
        <w:spacing w:after="0" w:line="238" w:lineRule="auto"/>
        <w:tabs>
          <w:tab w:leader="none" w:pos="540" w:val="left"/>
        </w:tabs>
        <w:numPr>
          <w:ilvl w:val="0"/>
          <w:numId w:val="92"/>
        </w:numPr>
        <w:rPr>
          <w:rFonts w:ascii="Arial" w:cs="Arial" w:eastAsia="Arial" w:hAnsi="Arial"/>
          <w:sz w:val="18"/>
          <w:szCs w:val="18"/>
          <w:color w:val="003B71"/>
        </w:rPr>
      </w:pPr>
      <w:r>
        <w:rPr>
          <w:rFonts w:ascii="Arial" w:cs="Arial" w:eastAsia="Arial" w:hAnsi="Arial"/>
          <w:sz w:val="18"/>
          <w:szCs w:val="18"/>
          <w:color w:val="auto"/>
        </w:rPr>
        <w:t>2019 Bonus. Certain milestones for the fiscal 2019 Executive Incentive Plan were achieved, but in light of the extraordinary impact of the COVID-19 Pandemic on the Company’s near-term liquidity, management recommended, and the Compensation Committee approved, delayed payment of the awards and payment of the awards for all named executive officers and many other plan participants in stock rather than cash.</w:t>
      </w:r>
    </w:p>
    <w:p>
      <w:pPr>
        <w:spacing w:after="0" w:line="69" w:lineRule="exact"/>
        <w:rPr>
          <w:rFonts w:ascii="Arial" w:cs="Arial" w:eastAsia="Arial" w:hAnsi="Arial"/>
          <w:sz w:val="18"/>
          <w:szCs w:val="18"/>
          <w:color w:val="003B71"/>
        </w:rPr>
      </w:pPr>
    </w:p>
    <w:p>
      <w:pPr>
        <w:jc w:val="both"/>
        <w:ind w:left="540" w:right="20" w:hanging="316"/>
        <w:spacing w:after="0"/>
        <w:tabs>
          <w:tab w:leader="none" w:pos="540" w:val="left"/>
        </w:tabs>
        <w:numPr>
          <w:ilvl w:val="0"/>
          <w:numId w:val="92"/>
        </w:numPr>
        <w:rPr>
          <w:rFonts w:ascii="Arial" w:cs="Arial" w:eastAsia="Arial" w:hAnsi="Arial"/>
          <w:sz w:val="18"/>
          <w:szCs w:val="18"/>
          <w:color w:val="003B71"/>
        </w:rPr>
      </w:pPr>
      <w:r>
        <w:rPr>
          <w:rFonts w:ascii="Arial" w:cs="Arial" w:eastAsia="Arial" w:hAnsi="Arial"/>
          <w:sz w:val="18"/>
          <w:szCs w:val="18"/>
          <w:color w:val="auto"/>
        </w:rPr>
        <w:t>2020 Base Salary. Management recommended, and the Compensation Committee approved, temporary corporate-wide base salary reductions beginning in April. This included 50% salary reductions for our Chief Executive Officer, Brian Jenkins, as well as all Senior Vice Presidents reporting to the CEO. The Company also eliminated merit-based increases in base salaries for 2020.</w:t>
      </w:r>
    </w:p>
    <w:p>
      <w:pPr>
        <w:spacing w:after="0" w:line="67" w:lineRule="exact"/>
        <w:rPr>
          <w:rFonts w:ascii="Arial" w:cs="Arial" w:eastAsia="Arial" w:hAnsi="Arial"/>
          <w:sz w:val="18"/>
          <w:szCs w:val="18"/>
          <w:color w:val="003B71"/>
        </w:rPr>
      </w:pPr>
    </w:p>
    <w:p>
      <w:pPr>
        <w:ind w:left="540" w:hanging="316"/>
        <w:spacing w:after="0" w:line="246" w:lineRule="auto"/>
        <w:tabs>
          <w:tab w:leader="none" w:pos="540" w:val="left"/>
        </w:tabs>
        <w:numPr>
          <w:ilvl w:val="0"/>
          <w:numId w:val="92"/>
        </w:numPr>
        <w:rPr>
          <w:rFonts w:ascii="Arial" w:cs="Arial" w:eastAsia="Arial" w:hAnsi="Arial"/>
          <w:sz w:val="18"/>
          <w:szCs w:val="18"/>
          <w:color w:val="003B71"/>
        </w:rPr>
      </w:pPr>
      <w:r>
        <w:rPr>
          <w:rFonts w:ascii="Arial" w:cs="Arial" w:eastAsia="Arial" w:hAnsi="Arial"/>
          <w:sz w:val="18"/>
          <w:szCs w:val="18"/>
          <w:color w:val="auto"/>
        </w:rPr>
        <w:t>Suspension of Cash Payments to Board of Directors. The Compensation Committee suspended payment of all cash components of director compensation for the last three quarters of fiscal year 2020.</w:t>
      </w:r>
    </w:p>
    <w:p>
      <w:pPr>
        <w:spacing w:after="0" w:line="61" w:lineRule="exact"/>
        <w:rPr>
          <w:rFonts w:ascii="Arial" w:cs="Arial" w:eastAsia="Arial" w:hAnsi="Arial"/>
          <w:sz w:val="18"/>
          <w:szCs w:val="18"/>
          <w:color w:val="003B71"/>
        </w:rPr>
      </w:pPr>
    </w:p>
    <w:p>
      <w:pPr>
        <w:jc w:val="both"/>
        <w:ind w:left="540" w:right="20" w:hanging="316"/>
        <w:spacing w:after="0" w:line="238" w:lineRule="auto"/>
        <w:tabs>
          <w:tab w:leader="none" w:pos="540" w:val="left"/>
        </w:tabs>
        <w:numPr>
          <w:ilvl w:val="0"/>
          <w:numId w:val="92"/>
        </w:numPr>
        <w:rPr>
          <w:rFonts w:ascii="Arial" w:cs="Arial" w:eastAsia="Arial" w:hAnsi="Arial"/>
          <w:sz w:val="18"/>
          <w:szCs w:val="18"/>
          <w:color w:val="003B71"/>
        </w:rPr>
      </w:pPr>
      <w:r>
        <w:rPr>
          <w:rFonts w:ascii="Arial" w:cs="Arial" w:eastAsia="Arial" w:hAnsi="Arial"/>
          <w:sz w:val="18"/>
          <w:szCs w:val="18"/>
          <w:color w:val="auto"/>
        </w:rPr>
        <w:t>2020 Short and Long-Term Bonus Program. The Compensation Committee suspended the fiscal 2020 annual and long-term bonus plan in efforts to preserve liquidity and due to the inability to establish long-term performance goals in light of ongoing business uncertainty, and replaced the plans with a stock-based award to support the 2020 Business Recovery and Transformation Plan described below.</w:t>
      </w:r>
    </w:p>
    <w:p>
      <w:pPr>
        <w:spacing w:after="0" w:line="69" w:lineRule="exact"/>
        <w:rPr>
          <w:rFonts w:ascii="Arial" w:cs="Arial" w:eastAsia="Arial" w:hAnsi="Arial"/>
          <w:sz w:val="18"/>
          <w:szCs w:val="18"/>
          <w:color w:val="003B71"/>
        </w:rPr>
      </w:pPr>
    </w:p>
    <w:p>
      <w:pPr>
        <w:jc w:val="both"/>
        <w:ind w:left="540" w:hanging="316"/>
        <w:spacing w:after="0" w:line="235" w:lineRule="auto"/>
        <w:tabs>
          <w:tab w:leader="none" w:pos="540" w:val="left"/>
        </w:tabs>
        <w:numPr>
          <w:ilvl w:val="0"/>
          <w:numId w:val="92"/>
        </w:numPr>
        <w:rPr>
          <w:rFonts w:ascii="Arial" w:cs="Arial" w:eastAsia="Arial" w:hAnsi="Arial"/>
          <w:sz w:val="18"/>
          <w:szCs w:val="18"/>
          <w:color w:val="003B71"/>
        </w:rPr>
      </w:pPr>
      <w:r>
        <w:rPr>
          <w:rFonts w:ascii="Arial" w:cs="Arial" w:eastAsia="Arial" w:hAnsi="Arial"/>
          <w:sz w:val="18"/>
          <w:szCs w:val="18"/>
          <w:color w:val="auto"/>
        </w:rPr>
        <w:t>2020 Business Recovery and Transformation Plan. This plan was designed to address the immediate cash liquidity needs to stabilize the business, prepare for recovery given the extraordinary impact of the COVID-19 Pandemic on our finances and business operations, and incentivize retention of key team members. The objective was to align management and investor interests and maintain business continuity through the crisis and for the long term. The 2020 Business Recovery and Transformation Plan replaced both the fiscal 2020 short-term bonus opportunity, typically paid in cash for the achievement of annual performance goals, as well as the fiscal 2020 long-term incentive grant opportunity, historically consisting of performance shares/cash and stock options. The 2020 Business Recovery and Transformation Plan was made up of two equally weighted equity-based awards, performance-based Market Stock Units (MSUs) and Restricted Stock Units (RSUs). MSUs are performance stock units, earned based on absolute stock price performance. The actual number of MSUs delivered is directly correlated to the absolute change in the Company’s stock price growth as measured on the first anniversary of grant. Given the uncertainty of the current environment, the Compensation Committee did not believe it feasible to establish long-term performance goals as was the historic practice for the Company. Instead, measuring the change in stock price was determined to be the most appropriate way to hold management accountable for the success of the 2020 Business Recovery and Transformation Plan. Any earned RSUs and MSUs are subject to 3-year pro rata vesting. This is a plan for fiscal 2020 only; management and the Board intend to transition to performance-based short- and long-term incentive programs as soon as possible following the COVID-19 Pandemic and the reopening of the Company’s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153035</wp:posOffset>
            </wp:positionV>
            <wp:extent cx="7003415" cy="8483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03415" cy="848360"/>
                    </a:xfrm>
                    <a:prstGeom prst="rect">
                      <a:avLst/>
                    </a:prstGeom>
                    <a:noFill/>
                  </pic:spPr>
                </pic:pic>
              </a:graphicData>
            </a:graphic>
          </wp:anchor>
        </w:drawing>
      </w: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Keeping Shareholders Informed</w:t>
      </w:r>
    </w:p>
    <w:p>
      <w:pPr>
        <w:spacing w:after="0" w:line="139" w:lineRule="exact"/>
        <w:rPr>
          <w:sz w:val="20"/>
          <w:szCs w:val="20"/>
          <w:color w:val="auto"/>
        </w:rPr>
      </w:pPr>
    </w:p>
    <w:p>
      <w:pPr>
        <w:jc w:val="both"/>
        <w:ind w:left="360" w:right="140"/>
        <w:spacing w:after="0" w:line="238" w:lineRule="auto"/>
        <w:rPr>
          <w:sz w:val="20"/>
          <w:szCs w:val="20"/>
          <w:color w:val="auto"/>
        </w:rPr>
      </w:pPr>
      <w:r>
        <w:rPr>
          <w:rFonts w:ascii="Arial" w:cs="Arial" w:eastAsia="Arial" w:hAnsi="Arial"/>
          <w:sz w:val="18"/>
          <w:szCs w:val="18"/>
          <w:color w:val="auto"/>
        </w:rPr>
        <w:t>The Committee acknowledges the significance of these changes but believes that these actions were necessary to stabilize, motivate and retain an experienced management team and were in the best interest of stockholders during such an unprecedented time. As such, the Committee and the management team felt it important to be fully transparent about these changes in “real-time” by describing these actions in 2020 proxy statement.</w:t>
      </w:r>
    </w:p>
    <w:p>
      <w:pPr>
        <w:spacing w:after="0" w:line="27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Elements of Compensation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2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 portion of each executive officer’s total compensation is in the form of base salary. This is a fixed cash payment, expressed as an annualized salary. The salary component was designed to provide the executive officers with consistent income and to attract and retain talented and experienced executives capable of managing our operations and strategic growth. In alignment with our compensation philosophy, the Compensation Committee believes that having base salary levels that position us appropriately relative to the market and reflect the performance and level of responsibility of each executive officer is key to providing a competitive total compensation package. Annually, the performance of each executive officer, including the NEOs, is reviewed by the Compensation Committee using information and evaluations provided by the Chief Executive Officer, taking into account our operating and financial results for the year, an assessment of the contribution of each executive officer to such results, the achievement of our strategic growth and any changes in the role and responsibility of an executive officer. In addition, the Compensation Committee considers the results of the benchmarking study and the market competitiveness of each NEO’s base salary (generally targeting the 50th percentile of the benchmark data) to determine appropriate merit- and market-based increases to each executive’s base salary. In fiscal 2020, there were no merit-based increases to base salary for any of the NEOs, as noted in the chart below.</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3460" w:type="dxa"/>
            <w:vAlign w:val="bottom"/>
            <w:tcBorders>
              <w:bottom w:val="single" w:sz="8" w:color="003B71"/>
            </w:tcBorders>
          </w:tcPr>
          <w:p>
            <w:pPr>
              <w:ind w:left="2320"/>
              <w:spacing w:after="0"/>
              <w:rPr>
                <w:sz w:val="20"/>
                <w:szCs w:val="20"/>
                <w:color w:val="auto"/>
              </w:rPr>
            </w:pPr>
            <w:r>
              <w:rPr>
                <w:rFonts w:ascii="Arial" w:cs="Arial" w:eastAsia="Arial" w:hAnsi="Arial"/>
                <w:sz w:val="14"/>
                <w:szCs w:val="14"/>
                <w:b w:val="1"/>
                <w:bCs w:val="1"/>
                <w:color w:val="003B71"/>
              </w:rPr>
              <w:t>New Base</w:t>
            </w:r>
          </w:p>
        </w:tc>
        <w:tc>
          <w:tcPr>
            <w:tcW w:w="184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Previous Base</w:t>
            </w:r>
          </w:p>
        </w:tc>
        <w:tc>
          <w:tcPr>
            <w:tcW w:w="1920" w:type="dxa"/>
            <w:vAlign w:val="bottom"/>
            <w:tcBorders>
              <w:bottom w:val="single" w:sz="8" w:color="003B71"/>
            </w:tcBorders>
          </w:tcPr>
          <w:p>
            <w:pPr>
              <w:jc w:val="right"/>
              <w:ind w:right="21"/>
              <w:spacing w:after="0"/>
              <w:rPr>
                <w:sz w:val="20"/>
                <w:szCs w:val="20"/>
                <w:color w:val="auto"/>
              </w:rPr>
            </w:pPr>
            <w:r>
              <w:rPr>
                <w:rFonts w:ascii="Arial" w:cs="Arial" w:eastAsia="Arial" w:hAnsi="Arial"/>
                <w:sz w:val="14"/>
                <w:szCs w:val="14"/>
                <w:b w:val="1"/>
                <w:bCs w:val="1"/>
                <w:color w:val="003B71"/>
              </w:rPr>
              <w:t>Percentage Increase</w:t>
            </w:r>
          </w:p>
        </w:tc>
      </w:tr>
      <w:tr>
        <w:trPr>
          <w:trHeight w:val="183"/>
        </w:trPr>
        <w:tc>
          <w:tcPr>
            <w:tcW w:w="380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3460" w:type="dxa"/>
            <w:vAlign w:val="bottom"/>
            <w:shd w:val="clear" w:color="auto" w:fill="E5E5E5"/>
          </w:tcPr>
          <w:p>
            <w:pPr>
              <w:ind w:left="2360"/>
              <w:spacing w:after="0" w:line="183" w:lineRule="exact"/>
              <w:rPr>
                <w:sz w:val="20"/>
                <w:szCs w:val="20"/>
                <w:color w:val="auto"/>
              </w:rPr>
            </w:pPr>
            <w:r>
              <w:rPr>
                <w:rFonts w:ascii="Arial" w:cs="Arial" w:eastAsia="Arial" w:hAnsi="Arial"/>
                <w:sz w:val="16"/>
                <w:szCs w:val="16"/>
                <w:color w:val="auto"/>
              </w:rPr>
              <w:t>$780,000</w:t>
            </w:r>
          </w:p>
        </w:tc>
        <w:tc>
          <w:tcPr>
            <w:tcW w:w="1840" w:type="dxa"/>
            <w:vAlign w:val="bottom"/>
            <w:shd w:val="clear" w:color="auto" w:fill="E5E5E5"/>
          </w:tcPr>
          <w:p>
            <w:pPr>
              <w:jc w:val="center"/>
              <w:spacing w:after="0" w:line="183" w:lineRule="exact"/>
              <w:rPr>
                <w:sz w:val="20"/>
                <w:szCs w:val="20"/>
                <w:color w:val="auto"/>
              </w:rPr>
            </w:pPr>
            <w:r>
              <w:rPr>
                <w:rFonts w:ascii="Arial" w:cs="Arial" w:eastAsia="Arial" w:hAnsi="Arial"/>
                <w:sz w:val="16"/>
                <w:szCs w:val="16"/>
                <w:color w:val="auto"/>
              </w:rPr>
              <w:t>$780,000</w:t>
            </w:r>
          </w:p>
        </w:tc>
        <w:tc>
          <w:tcPr>
            <w:tcW w:w="1920" w:type="dxa"/>
            <w:vAlign w:val="bottom"/>
            <w:shd w:val="clear" w:color="auto" w:fill="E5E5E5"/>
          </w:tcPr>
          <w:p>
            <w:pPr>
              <w:jc w:val="right"/>
              <w:ind w:right="401"/>
              <w:spacing w:after="0" w:line="183" w:lineRule="exact"/>
              <w:rPr>
                <w:sz w:val="20"/>
                <w:szCs w:val="20"/>
                <w:color w:val="auto"/>
              </w:rPr>
            </w:pPr>
            <w:r>
              <w:rPr>
                <w:rFonts w:ascii="Arial" w:cs="Arial" w:eastAsia="Arial" w:hAnsi="Arial"/>
                <w:sz w:val="16"/>
                <w:szCs w:val="16"/>
                <w:color w:val="auto"/>
              </w:rPr>
              <w:t>0%</w:t>
            </w:r>
          </w:p>
        </w:tc>
      </w:tr>
      <w:tr>
        <w:trPr>
          <w:trHeight w:val="189"/>
        </w:trPr>
        <w:tc>
          <w:tcPr>
            <w:tcW w:w="380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3460" w:type="dxa"/>
            <w:vAlign w:val="bottom"/>
          </w:tcPr>
          <w:p>
            <w:pPr>
              <w:ind w:left="2360"/>
              <w:spacing w:after="0"/>
              <w:rPr>
                <w:sz w:val="20"/>
                <w:szCs w:val="20"/>
                <w:color w:val="auto"/>
              </w:rPr>
            </w:pPr>
            <w:r>
              <w:rPr>
                <w:rFonts w:ascii="Arial" w:cs="Arial" w:eastAsia="Arial" w:hAnsi="Arial"/>
                <w:sz w:val="16"/>
                <w:szCs w:val="16"/>
                <w:color w:val="auto"/>
              </w:rPr>
              <w:t>$455,000</w:t>
            </w:r>
          </w:p>
        </w:tc>
        <w:tc>
          <w:tcPr>
            <w:tcW w:w="1840" w:type="dxa"/>
            <w:vAlign w:val="bottom"/>
          </w:tcPr>
          <w:p>
            <w:pPr>
              <w:jc w:val="center"/>
              <w:spacing w:after="0"/>
              <w:rPr>
                <w:sz w:val="20"/>
                <w:szCs w:val="20"/>
                <w:color w:val="auto"/>
              </w:rPr>
            </w:pPr>
            <w:r>
              <w:rPr>
                <w:rFonts w:ascii="Arial" w:cs="Arial" w:eastAsia="Arial" w:hAnsi="Arial"/>
                <w:sz w:val="16"/>
                <w:szCs w:val="16"/>
                <w:color w:val="auto"/>
              </w:rPr>
              <w:t>$455,000</w:t>
            </w:r>
          </w:p>
        </w:tc>
        <w:tc>
          <w:tcPr>
            <w:tcW w:w="1920" w:type="dxa"/>
            <w:vAlign w:val="bottom"/>
          </w:tcPr>
          <w:p>
            <w:pPr>
              <w:jc w:val="right"/>
              <w:ind w:right="401"/>
              <w:spacing w:after="0"/>
              <w:rPr>
                <w:sz w:val="20"/>
                <w:szCs w:val="20"/>
                <w:color w:val="auto"/>
              </w:rPr>
            </w:pPr>
            <w:r>
              <w:rPr>
                <w:rFonts w:ascii="Arial" w:cs="Arial" w:eastAsia="Arial" w:hAnsi="Arial"/>
                <w:sz w:val="16"/>
                <w:szCs w:val="16"/>
                <w:color w:val="auto"/>
              </w:rPr>
              <w:t>0%</w:t>
            </w:r>
          </w:p>
        </w:tc>
      </w:tr>
      <w:tr>
        <w:trPr>
          <w:trHeight w:val="189"/>
        </w:trPr>
        <w:tc>
          <w:tcPr>
            <w:tcW w:w="380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3460" w:type="dxa"/>
            <w:vAlign w:val="bottom"/>
            <w:shd w:val="clear" w:color="auto" w:fill="E5E5E5"/>
          </w:tcPr>
          <w:p>
            <w:pPr>
              <w:ind w:left="2360"/>
              <w:spacing w:after="0"/>
              <w:rPr>
                <w:sz w:val="20"/>
                <w:szCs w:val="20"/>
                <w:color w:val="auto"/>
              </w:rPr>
            </w:pPr>
            <w:r>
              <w:rPr>
                <w:rFonts w:ascii="Arial" w:cs="Arial" w:eastAsia="Arial" w:hAnsi="Arial"/>
                <w:sz w:val="16"/>
                <w:szCs w:val="16"/>
                <w:color w:val="auto"/>
              </w:rPr>
              <w:t>$465,000</w:t>
            </w:r>
          </w:p>
        </w:tc>
        <w:tc>
          <w:tcPr>
            <w:tcW w:w="1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$465,000</w:t>
            </w:r>
          </w:p>
        </w:tc>
        <w:tc>
          <w:tcPr>
            <w:tcW w:w="1920" w:type="dxa"/>
            <w:vAlign w:val="bottom"/>
            <w:shd w:val="clear" w:color="auto" w:fill="E5E5E5"/>
          </w:tcPr>
          <w:p>
            <w:pPr>
              <w:jc w:val="right"/>
              <w:ind w:right="401"/>
              <w:spacing w:after="0"/>
              <w:rPr>
                <w:sz w:val="20"/>
                <w:szCs w:val="20"/>
                <w:color w:val="auto"/>
              </w:rPr>
            </w:pPr>
            <w:r>
              <w:rPr>
                <w:rFonts w:ascii="Arial" w:cs="Arial" w:eastAsia="Arial" w:hAnsi="Arial"/>
                <w:sz w:val="16"/>
                <w:szCs w:val="16"/>
                <w:color w:val="auto"/>
              </w:rPr>
              <w:t>0%</w:t>
            </w:r>
          </w:p>
        </w:tc>
      </w:tr>
      <w:tr>
        <w:trPr>
          <w:trHeight w:val="189"/>
        </w:trPr>
        <w:tc>
          <w:tcPr>
            <w:tcW w:w="3800" w:type="dxa"/>
            <w:vAlign w:val="bottom"/>
          </w:tcPr>
          <w:p>
            <w:pPr>
              <w:ind w:left="80"/>
              <w:spacing w:after="0"/>
              <w:rPr>
                <w:sz w:val="20"/>
                <w:szCs w:val="20"/>
                <w:color w:val="auto"/>
              </w:rPr>
            </w:pPr>
            <w:r>
              <w:rPr>
                <w:rFonts w:ascii="Arial" w:cs="Arial" w:eastAsia="Arial" w:hAnsi="Arial"/>
                <w:sz w:val="16"/>
                <w:szCs w:val="16"/>
                <w:color w:val="auto"/>
              </w:rPr>
              <w:t>John B. Mulleady</w:t>
            </w:r>
          </w:p>
        </w:tc>
        <w:tc>
          <w:tcPr>
            <w:tcW w:w="3460" w:type="dxa"/>
            <w:vAlign w:val="bottom"/>
          </w:tcPr>
          <w:p>
            <w:pPr>
              <w:ind w:left="2360"/>
              <w:spacing w:after="0"/>
              <w:rPr>
                <w:sz w:val="20"/>
                <w:szCs w:val="20"/>
                <w:color w:val="auto"/>
              </w:rPr>
            </w:pPr>
            <w:r>
              <w:rPr>
                <w:rFonts w:ascii="Arial" w:cs="Arial" w:eastAsia="Arial" w:hAnsi="Arial"/>
                <w:sz w:val="16"/>
                <w:szCs w:val="16"/>
                <w:color w:val="auto"/>
              </w:rPr>
              <w:t>$412,000</w:t>
            </w:r>
          </w:p>
        </w:tc>
        <w:tc>
          <w:tcPr>
            <w:tcW w:w="1840" w:type="dxa"/>
            <w:vAlign w:val="bottom"/>
          </w:tcPr>
          <w:p>
            <w:pPr>
              <w:jc w:val="center"/>
              <w:spacing w:after="0"/>
              <w:rPr>
                <w:sz w:val="20"/>
                <w:szCs w:val="20"/>
                <w:color w:val="auto"/>
              </w:rPr>
            </w:pPr>
            <w:r>
              <w:rPr>
                <w:rFonts w:ascii="Arial" w:cs="Arial" w:eastAsia="Arial" w:hAnsi="Arial"/>
                <w:sz w:val="16"/>
                <w:szCs w:val="16"/>
                <w:color w:val="auto"/>
              </w:rPr>
              <w:t>$412,000</w:t>
            </w:r>
          </w:p>
        </w:tc>
        <w:tc>
          <w:tcPr>
            <w:tcW w:w="1920" w:type="dxa"/>
            <w:vAlign w:val="bottom"/>
          </w:tcPr>
          <w:p>
            <w:pPr>
              <w:jc w:val="right"/>
              <w:ind w:right="401"/>
              <w:spacing w:after="0"/>
              <w:rPr>
                <w:sz w:val="20"/>
                <w:szCs w:val="20"/>
                <w:color w:val="auto"/>
              </w:rPr>
            </w:pPr>
            <w:r>
              <w:rPr>
                <w:rFonts w:ascii="Arial" w:cs="Arial" w:eastAsia="Arial" w:hAnsi="Arial"/>
                <w:sz w:val="16"/>
                <w:szCs w:val="16"/>
                <w:color w:val="auto"/>
              </w:rPr>
              <w:t>0%</w:t>
            </w:r>
          </w:p>
        </w:tc>
      </w:tr>
      <w:tr>
        <w:trPr>
          <w:trHeight w:val="189"/>
        </w:trPr>
        <w:tc>
          <w:tcPr>
            <w:tcW w:w="3800" w:type="dxa"/>
            <w:vAlign w:val="bottom"/>
            <w:tcBorders>
              <w:bottom w:val="single" w:sz="8" w:color="003B71"/>
            </w:tcBorders>
            <w:shd w:val="clear" w:color="auto" w:fill="E5E5E5"/>
          </w:tcPr>
          <w:p>
            <w:pPr>
              <w:ind w:left="80"/>
              <w:spacing w:after="0"/>
              <w:rPr>
                <w:sz w:val="20"/>
                <w:szCs w:val="20"/>
                <w:color w:val="auto"/>
              </w:rPr>
            </w:pPr>
            <w:r>
              <w:rPr>
                <w:rFonts w:ascii="Arial" w:cs="Arial" w:eastAsia="Arial" w:hAnsi="Arial"/>
                <w:sz w:val="16"/>
                <w:szCs w:val="16"/>
                <w:color w:val="auto"/>
              </w:rPr>
              <w:t>Robert W. Edmund</w:t>
            </w:r>
          </w:p>
        </w:tc>
        <w:tc>
          <w:tcPr>
            <w:tcW w:w="3460" w:type="dxa"/>
            <w:vAlign w:val="bottom"/>
            <w:tcBorders>
              <w:bottom w:val="single" w:sz="8" w:color="003B71"/>
            </w:tcBorders>
            <w:shd w:val="clear" w:color="auto" w:fill="E5E5E5"/>
          </w:tcPr>
          <w:p>
            <w:pPr>
              <w:ind w:left="2360"/>
              <w:spacing w:after="0"/>
              <w:rPr>
                <w:sz w:val="20"/>
                <w:szCs w:val="20"/>
                <w:color w:val="auto"/>
              </w:rPr>
            </w:pPr>
            <w:r>
              <w:rPr>
                <w:rFonts w:ascii="Arial" w:cs="Arial" w:eastAsia="Arial" w:hAnsi="Arial"/>
                <w:sz w:val="16"/>
                <w:szCs w:val="16"/>
                <w:color w:val="auto"/>
              </w:rPr>
              <w:t>$395,000</w:t>
            </w:r>
          </w:p>
        </w:tc>
        <w:tc>
          <w:tcPr>
            <w:tcW w:w="1840" w:type="dxa"/>
            <w:vAlign w:val="bottom"/>
            <w:tcBorders>
              <w:bottom w:val="single" w:sz="8" w:color="003B71"/>
            </w:tcBorders>
            <w:shd w:val="clear" w:color="auto" w:fill="E5E5E5"/>
          </w:tcPr>
          <w:p>
            <w:pPr>
              <w:jc w:val="center"/>
              <w:spacing w:after="0"/>
              <w:rPr>
                <w:sz w:val="20"/>
                <w:szCs w:val="20"/>
                <w:color w:val="auto"/>
              </w:rPr>
            </w:pPr>
            <w:r>
              <w:rPr>
                <w:rFonts w:ascii="Arial" w:cs="Arial" w:eastAsia="Arial" w:hAnsi="Arial"/>
                <w:sz w:val="16"/>
                <w:szCs w:val="16"/>
                <w:color w:val="auto"/>
              </w:rPr>
              <w:t>$395,000</w:t>
            </w:r>
          </w:p>
        </w:tc>
        <w:tc>
          <w:tcPr>
            <w:tcW w:w="1920" w:type="dxa"/>
            <w:vAlign w:val="bottom"/>
            <w:tcBorders>
              <w:bottom w:val="single" w:sz="8" w:color="003B71"/>
            </w:tcBorders>
            <w:shd w:val="clear" w:color="auto" w:fill="E5E5E5"/>
          </w:tcPr>
          <w:p>
            <w:pPr>
              <w:jc w:val="right"/>
              <w:ind w:right="401"/>
              <w:spacing w:after="0"/>
              <w:rPr>
                <w:sz w:val="20"/>
                <w:szCs w:val="20"/>
                <w:color w:val="auto"/>
              </w:rPr>
            </w:pPr>
            <w:r>
              <w:rPr>
                <w:rFonts w:ascii="Arial" w:cs="Arial" w:eastAsia="Arial" w:hAnsi="Arial"/>
                <w:sz w:val="16"/>
                <w:szCs w:val="16"/>
                <w:color w:val="auto"/>
              </w:rPr>
              <w:t>0%</w:t>
            </w:r>
          </w:p>
        </w:tc>
      </w:tr>
    </w:tbl>
    <w:p>
      <w:pPr>
        <w:spacing w:after="0" w:line="21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fiscal 2020, to preserve liquidity, each member of the corporate team was subject to a temporary salary reduction for a twelve-week period, beginning in April 2020. This included a 50% salary reduction for our Chief Executive Officer, as well as all Senior Vice Presidents reporting to him, including all NEOs.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Incentive Awards</w:t>
      </w:r>
    </w:p>
    <w:p>
      <w:pPr>
        <w:spacing w:after="0" w:line="12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Executive Incentive Plan created under the 2014 Stock Incentive Plan (the “Executive Incentive Plan”) is designed to recognize and reward our employees for contributing towards the achievement of our annual business plan. The Compensation Committee believes the Executive Incentive Plan provides a valuable short-term incentive program that delivers a cash bonus opportunity for key employees, including the NEOs, upon achievement of targeted operating results, as determined by the Compensation Committee and the Board of Directors. The Executive Incentive Plan also supports our efforts to integrate our compensation philosophies with our annual business objectives and focus our executive officers on the fulfillment of those objectives.</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In considering and approving the annual plan design, the Compensation Committee reviews target bonus percentages for each executive officer, including the NEOs, and considers the value of the incentive award relative to the individual’s total compensation package, the value of the incentive award and total compensation package relative to benchmark data, and the degree to which the individual can influence the Company’s achievement of its short-term financial and strategic objectives. The Compensation Committee also reviews annually the financial and strategic objectives that will comprise the components of the Executive Incentive Plan, the target for each component, and the payout percentages at threshold, target, and maximum performance for each component. The Compensation Committee relies on input from its compensation consultant, the results of benchmarking data, and analysis from our Chief Executive Officer to determine the appropriateness of the target bonus percentages for each executive officer (including the NEOs), the components of the Executive Incentive Plan, the targets for each component, and the payout percentages at each level of performance.</w:t>
      </w:r>
    </w:p>
    <w:p>
      <w:pPr>
        <w:spacing w:after="0" w:line="207"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noted above, in fiscal 2020, due to the growing uncertainty around the COVID-19 Pandemic and to preserve liquidity, the Company suspended the use of an Annual Incentive Plan. Instead, as disclosed in the “COVID-19 Action Plan” described on p. 31 the Compensation Committee replaced the plan with a stock-based award to support the 2020 Business Recovery and Transformation plan described on 33.</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 Awards</w:t>
      </w:r>
    </w:p>
    <w:p>
      <w:pPr>
        <w:spacing w:after="0" w:line="12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Compensation Committee believes that it is essential to align the interests of the executive officers, including the NEOs, and other key management personnel responsible for our growth with the interests of our shareholders. The Compensation Committee has also identified the need to retain tenured, high performing executives. The Compensation Committee believes that these objectives are accomplished through the provision of cash- and stock- based incentives that align the interests of management personnel with the long-term objectives of enhancing our value, as set forth in the 2014 Stock Incentive Plan.</w:t>
      </w:r>
    </w:p>
    <w:p>
      <w:pPr>
        <w:spacing w:after="0" w:line="20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Annually, the Compensation Committee determines whether to grant long-term cash- and/or stock-based incentives to executive officers, including the NEOs, and other key management personnel. In determining whether to award grants, the Compensation Committee considers Company performance, individual performance, the significance of individuals’ contributions to the ongoing success of the Company, the valuation of the grants relative to the individual’s total compensation, value creation, and the recommendations of our Chief Executive Officer. In addition, the Compensation Committee considers the benchmarking data and additional analysis provided by the compensation consultant in determining appropriate grant levels for our executive officers, including the NEOs. Historically, annual equity awards are granted in April.</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As noted above, in fiscal 2020, due to the growing uncertainty around the COVID-19 Pandemic, the Company suspended the traditional long-term incentive awards. Instead, as disclosed in the “COVID-19 Action Plan”, the Compensation Committee replaced the plan with a stock-based award to support the 2020 Business Recovery and Transformation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Business Recovery and Transformation Plan</w:t>
      </w:r>
    </w:p>
    <w:p>
      <w:pPr>
        <w:spacing w:after="0" w:line="12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April 2020, we announced the adoption of the 2020 Business Recovery and Transformation Plan. This plan was designed to address the immediate cash liquidity needs to stabilize the business, prepare for recovery given the extraordinary impact of the COVID-19 Pandemic on our finances and business operations, and incentivize retention of key team members. The objective was to align management and investor interests and maintain business continuity through the crisis and for the long term. The 2020 Business Recovery and Transformation Plan replaced both the fiscal 2020 annual incentive plan, typically paid in cash for the achievement of annual performance goals, as well as the fiscal 2020 long-term incentive grant opportunity, historically consisting of performance shares/cash and stock options.</w:t>
      </w:r>
    </w:p>
    <w:p>
      <w:pPr>
        <w:spacing w:after="0" w:line="203"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Plan is made up of two equally weighted equity-based awards, performance-based Market Stock Units (MSUs) and Restricted Stock Units (RSUs). MSUs are performance stock units, earned based on absolute stock price performance. The actual number of MSUs delivered is directly correlated to the absolute change in the Company’s stock price growth as measured on the first anniversary of grant. Given the uncertainty of the environment at the time of the grant, the Compensation Committee did not believe it feasible to establish long-term performance goals, as was the historic practice for the Company. The design of the performance based MSUs are notably different from our traditional performance awards granted pre-pandemic, which were historically based on financial goals measured over a cumulative three-year performance period. We deliberately adopted the unique MSU design to address the near-term business priorities that would have a long-term impact on business operations and shorten the recovery period. At the time the 2020 Business Recovery and Transformation Plan was being developed, we were facing unprecedented store closings as mandated by local and federal governments. Setting quantitative financial goals for any meaningful future period was not feasible as we could not predict the timing of our complete return to service or the nature of any future regulations such as prohibitions around gathering in groups and the practice of social distancing, which have a direct impact on our business operations. In addition, the COVID-19 Pandemic’s impact on our stock price was devastating. The tremendous market volatility and the degree of disruption on us and the entire restaurant industry was unprecedented, as evidenced by the more than 100,000 U.S. restaurant closures in 2020 as reported by the National Restaurant Association. The market uncertainty placed critical emphasis on our share price recovery. We believe this program directly contributed to driving the appropriate behaviors by the management team to stabilize the business and accelerate stock price recovery for our investors. Any earned RSUs and MSUs are subject to 3-year pro rata vesting. This is a plan for fiscal 2020 only; management and the Board intend to return to performance-based short- and long-term incentive programs for fiscal 2021. The fiscal 2020 RSU and MSU grants for our NEOs are more specifically detailed in the Grants of Plan-Based Awards in Fiscal 2020 table on p.39.</w:t>
      </w:r>
    </w:p>
    <w:p>
      <w:pPr>
        <w:spacing w:after="0" w:line="13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2018 Long Term Incentive Award Payout</w:t>
      </w:r>
      <w:r>
        <w:rPr>
          <w:rFonts w:ascii="Arial" w:cs="Arial" w:eastAsia="Arial" w:hAnsi="Arial"/>
          <w:sz w:val="18"/>
          <w:szCs w:val="18"/>
          <w:color w:val="auto"/>
        </w:rPr>
        <w:t>. During fiscal 2018, the Compensation Committee awarded executive officers,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NEOs, and other key management personnel a combination of service-based Stock Options with gradual vesting schedules, and Performance RSUs (“PSUs”) and Performance Cash that would vest upon the attainment of pre-established cumulative performance targets during the 2018, 2019, and 2020 fiscal years.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0" w:type="dxa"/>
            <w:vAlign w:val="bottom"/>
            <w:gridSpan w:val="5"/>
          </w:tcPr>
          <w:p>
            <w:pPr>
              <w:jc w:val="right"/>
              <w:ind w:right="1284"/>
              <w:spacing w:after="0"/>
              <w:rPr>
                <w:sz w:val="20"/>
                <w:szCs w:val="20"/>
                <w:color w:val="auto"/>
              </w:rPr>
            </w:pPr>
            <w:r>
              <w:rPr>
                <w:rFonts w:ascii="Arial" w:cs="Arial" w:eastAsia="Arial" w:hAnsi="Arial"/>
                <w:sz w:val="14"/>
                <w:szCs w:val="14"/>
                <w:b w:val="1"/>
                <w:bCs w:val="1"/>
                <w:color w:val="003B71"/>
              </w:rPr>
              <w:t>2018-2020 PSU and Performance Cash Grant</w:t>
            </w:r>
          </w:p>
        </w:tc>
        <w:tc>
          <w:tcPr>
            <w:tcW w:w="1200" w:type="dxa"/>
            <w:vAlign w:val="bottom"/>
          </w:tcPr>
          <w:p>
            <w:pPr>
              <w:spacing w:after="0"/>
              <w:rPr>
                <w:sz w:val="14"/>
                <w:szCs w:val="14"/>
                <w:color w:val="auto"/>
              </w:rPr>
            </w:pPr>
          </w:p>
        </w:tc>
      </w:tr>
      <w:tr>
        <w:trPr>
          <w:trHeight w:val="175"/>
        </w:trPr>
        <w:tc>
          <w:tcPr>
            <w:tcW w:w="2700" w:type="dxa"/>
            <w:vAlign w:val="bottom"/>
          </w:tcPr>
          <w:p>
            <w:pPr>
              <w:spacing w:after="0"/>
              <w:rPr>
                <w:sz w:val="15"/>
                <w:szCs w:val="15"/>
                <w:color w:val="auto"/>
              </w:rPr>
            </w:pPr>
          </w:p>
        </w:tc>
        <w:tc>
          <w:tcPr>
            <w:tcW w:w="860" w:type="dxa"/>
            <w:vAlign w:val="bottom"/>
            <w:tcBorders>
              <w:bottom w:val="single" w:sz="8" w:color="003B71"/>
            </w:tcBorders>
          </w:tcPr>
          <w:p>
            <w:pPr>
              <w:spacing w:after="0"/>
              <w:rPr>
                <w:sz w:val="15"/>
                <w:szCs w:val="15"/>
                <w:color w:val="auto"/>
              </w:rPr>
            </w:pPr>
          </w:p>
        </w:tc>
        <w:tc>
          <w:tcPr>
            <w:tcW w:w="2040" w:type="dxa"/>
            <w:vAlign w:val="bottom"/>
            <w:tcBorders>
              <w:bottom w:val="single" w:sz="8" w:color="003B71"/>
            </w:tcBorders>
            <w:gridSpan w:val="2"/>
          </w:tcPr>
          <w:p>
            <w:pPr>
              <w:jc w:val="right"/>
              <w:spacing w:after="0"/>
              <w:rPr>
                <w:sz w:val="20"/>
                <w:szCs w:val="20"/>
                <w:color w:val="auto"/>
              </w:rPr>
            </w:pPr>
            <w:r>
              <w:rPr>
                <w:rFonts w:ascii="Arial" w:cs="Arial" w:eastAsia="Arial" w:hAnsi="Arial"/>
                <w:sz w:val="14"/>
                <w:szCs w:val="14"/>
                <w:b w:val="1"/>
                <w:bCs w:val="1"/>
                <w:color w:val="003B71"/>
              </w:rPr>
              <w:t>3-Year Cumulative EBITDA</w:t>
            </w:r>
          </w:p>
        </w:tc>
        <w:tc>
          <w:tcPr>
            <w:tcW w:w="840" w:type="dxa"/>
            <w:vAlign w:val="bottom"/>
            <w:tcBorders>
              <w:bottom w:val="single" w:sz="8" w:color="003B71"/>
            </w:tcBorders>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Borders>
              <w:bottom w:val="single" w:sz="8" w:color="003B71"/>
            </w:tcBorders>
          </w:tcPr>
          <w:p>
            <w:pPr>
              <w:spacing w:after="0"/>
              <w:rPr>
                <w:sz w:val="15"/>
                <w:szCs w:val="15"/>
                <w:color w:val="auto"/>
              </w:rPr>
            </w:pPr>
          </w:p>
        </w:tc>
        <w:tc>
          <w:tcPr>
            <w:tcW w:w="1720" w:type="dxa"/>
            <w:vAlign w:val="bottom"/>
            <w:tcBorders>
              <w:bottom w:val="single" w:sz="8" w:color="003B71"/>
            </w:tcBorders>
          </w:tcPr>
          <w:p>
            <w:pPr>
              <w:jc w:val="right"/>
              <w:spacing w:after="0"/>
              <w:rPr>
                <w:sz w:val="20"/>
                <w:szCs w:val="20"/>
                <w:color w:val="auto"/>
              </w:rPr>
            </w:pPr>
            <w:r>
              <w:rPr>
                <w:rFonts w:ascii="Arial" w:cs="Arial" w:eastAsia="Arial" w:hAnsi="Arial"/>
                <w:sz w:val="14"/>
                <w:szCs w:val="14"/>
                <w:b w:val="1"/>
                <w:bCs w:val="1"/>
                <w:color w:val="003B71"/>
              </w:rPr>
              <w:t>3-Year Cumulative ROIC</w:t>
            </w:r>
          </w:p>
        </w:tc>
        <w:tc>
          <w:tcPr>
            <w:tcW w:w="1200" w:type="dxa"/>
            <w:vAlign w:val="bottom"/>
            <w:tcBorders>
              <w:bottom w:val="single" w:sz="8" w:color="003B71"/>
            </w:tcBorders>
          </w:tcPr>
          <w:p>
            <w:pPr>
              <w:spacing w:after="0"/>
              <w:rPr>
                <w:sz w:val="15"/>
                <w:szCs w:val="15"/>
                <w:color w:val="auto"/>
              </w:rPr>
            </w:pPr>
          </w:p>
        </w:tc>
      </w:tr>
      <w:tr>
        <w:trPr>
          <w:trHeight w:val="142"/>
        </w:trPr>
        <w:tc>
          <w:tcPr>
            <w:tcW w:w="2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Arial" w:cs="Arial" w:eastAsia="Arial" w:hAnsi="Arial"/>
                <w:sz w:val="14"/>
                <w:szCs w:val="14"/>
                <w:b w:val="1"/>
                <w:bCs w:val="1"/>
                <w:color w:val="003B71"/>
              </w:rPr>
              <w:t>Performance</w:t>
            </w:r>
          </w:p>
        </w:tc>
        <w:tc>
          <w:tcPr>
            <w:tcW w:w="11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003B71"/>
              </w:rPr>
              <w:t>Payout as a</w:t>
            </w:r>
          </w:p>
        </w:tc>
        <w:tc>
          <w:tcPr>
            <w:tcW w:w="1320" w:type="dxa"/>
            <w:vAlign w:val="bottom"/>
          </w:tcPr>
          <w:p>
            <w:pPr>
              <w:spacing w:after="0"/>
              <w:rPr>
                <w:sz w:val="12"/>
                <w:szCs w:val="12"/>
                <w:color w:val="auto"/>
              </w:rPr>
            </w:pPr>
          </w:p>
        </w:tc>
        <w:tc>
          <w:tcPr>
            <w:tcW w:w="1720" w:type="dxa"/>
            <w:vAlign w:val="bottom"/>
          </w:tcPr>
          <w:p>
            <w:pPr>
              <w:jc w:val="center"/>
              <w:ind w:right="204"/>
              <w:spacing w:after="0" w:line="143" w:lineRule="exact"/>
              <w:rPr>
                <w:sz w:val="20"/>
                <w:szCs w:val="20"/>
                <w:color w:val="auto"/>
              </w:rPr>
            </w:pPr>
            <w:r>
              <w:rPr>
                <w:rFonts w:ascii="Arial" w:cs="Arial" w:eastAsia="Arial" w:hAnsi="Arial"/>
                <w:sz w:val="14"/>
                <w:szCs w:val="14"/>
                <w:b w:val="1"/>
                <w:bCs w:val="1"/>
                <w:color w:val="003B71"/>
              </w:rPr>
              <w:t>Performance</w:t>
            </w:r>
          </w:p>
        </w:tc>
        <w:tc>
          <w:tcPr>
            <w:tcW w:w="1200" w:type="dxa"/>
            <w:vAlign w:val="bottom"/>
          </w:tcPr>
          <w:p>
            <w:pPr>
              <w:jc w:val="right"/>
              <w:ind w:right="303"/>
              <w:spacing w:after="0" w:line="143" w:lineRule="exact"/>
              <w:rPr>
                <w:sz w:val="20"/>
                <w:szCs w:val="20"/>
                <w:color w:val="auto"/>
              </w:rPr>
            </w:pPr>
            <w:r>
              <w:rPr>
                <w:rFonts w:ascii="Arial" w:cs="Arial" w:eastAsia="Arial" w:hAnsi="Arial"/>
                <w:sz w:val="14"/>
                <w:szCs w:val="14"/>
                <w:b w:val="1"/>
                <w:bCs w:val="1"/>
                <w:color w:val="003B71"/>
              </w:rPr>
              <w:t>Payout as a</w:t>
            </w:r>
          </w:p>
        </w:tc>
      </w:tr>
      <w:tr>
        <w:trPr>
          <w:trHeight w:val="162"/>
        </w:trPr>
        <w:tc>
          <w:tcPr>
            <w:tcW w:w="2700" w:type="dxa"/>
            <w:vAlign w:val="bottom"/>
          </w:tcPr>
          <w:p>
            <w:pPr>
              <w:spacing w:after="0"/>
              <w:rPr>
                <w:sz w:val="14"/>
                <w:szCs w:val="14"/>
                <w:color w:val="auto"/>
              </w:rPr>
            </w:pPr>
          </w:p>
        </w:tc>
        <w:tc>
          <w:tcPr>
            <w:tcW w:w="1520" w:type="dxa"/>
            <w:vAlign w:val="bottom"/>
            <w:gridSpan w:val="2"/>
          </w:tcPr>
          <w:p>
            <w:pPr>
              <w:jc w:val="center"/>
              <w:ind w:left="42"/>
              <w:spacing w:after="0"/>
              <w:rPr>
                <w:sz w:val="20"/>
                <w:szCs w:val="20"/>
                <w:color w:val="auto"/>
              </w:rPr>
            </w:pPr>
            <w:r>
              <w:rPr>
                <w:rFonts w:ascii="Arial" w:cs="Arial" w:eastAsia="Arial" w:hAnsi="Arial"/>
                <w:sz w:val="14"/>
                <w:szCs w:val="14"/>
                <w:b w:val="1"/>
                <w:bCs w:val="1"/>
                <w:color w:val="003B71"/>
              </w:rPr>
              <w:t>Performance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003B71"/>
              </w:rPr>
              <w:t>as a Percentage</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003B71"/>
              </w:rPr>
              <w:t>Percentage</w:t>
            </w:r>
          </w:p>
        </w:tc>
        <w:tc>
          <w:tcPr>
            <w:tcW w:w="1320" w:type="dxa"/>
            <w:vAlign w:val="bottom"/>
          </w:tcPr>
          <w:p>
            <w:pPr>
              <w:spacing w:after="0"/>
              <w:rPr>
                <w:sz w:val="14"/>
                <w:szCs w:val="14"/>
                <w:color w:val="auto"/>
              </w:rPr>
            </w:pPr>
          </w:p>
        </w:tc>
        <w:tc>
          <w:tcPr>
            <w:tcW w:w="1720" w:type="dxa"/>
            <w:vAlign w:val="bottom"/>
          </w:tcPr>
          <w:p>
            <w:pPr>
              <w:jc w:val="center"/>
              <w:ind w:right="204"/>
              <w:spacing w:after="0"/>
              <w:rPr>
                <w:sz w:val="20"/>
                <w:szCs w:val="20"/>
                <w:color w:val="auto"/>
              </w:rPr>
            </w:pPr>
            <w:r>
              <w:rPr>
                <w:rFonts w:ascii="Arial" w:cs="Arial" w:eastAsia="Arial" w:hAnsi="Arial"/>
                <w:sz w:val="14"/>
                <w:szCs w:val="14"/>
                <w:b w:val="1"/>
                <w:bCs w:val="1"/>
                <w:color w:val="003B71"/>
              </w:rPr>
              <w:t>as a Percentage</w:t>
            </w:r>
          </w:p>
        </w:tc>
        <w:tc>
          <w:tcPr>
            <w:tcW w:w="1200" w:type="dxa"/>
            <w:vAlign w:val="bottom"/>
          </w:tcPr>
          <w:p>
            <w:pPr>
              <w:jc w:val="right"/>
              <w:ind w:right="303"/>
              <w:spacing w:after="0"/>
              <w:rPr>
                <w:sz w:val="20"/>
                <w:szCs w:val="20"/>
                <w:color w:val="auto"/>
              </w:rPr>
            </w:pPr>
            <w:r>
              <w:rPr>
                <w:rFonts w:ascii="Arial" w:cs="Arial" w:eastAsia="Arial" w:hAnsi="Arial"/>
                <w:sz w:val="14"/>
                <w:szCs w:val="14"/>
                <w:b w:val="1"/>
                <w:bCs w:val="1"/>
                <w:color w:val="003B71"/>
              </w:rPr>
              <w:t>Percentage</w:t>
            </w:r>
          </w:p>
        </w:tc>
      </w:tr>
      <w:tr>
        <w:trPr>
          <w:trHeight w:val="189"/>
        </w:trPr>
        <w:tc>
          <w:tcPr>
            <w:tcW w:w="2700" w:type="dxa"/>
            <w:vAlign w:val="bottom"/>
            <w:tcBorders>
              <w:bottom w:val="single" w:sz="8" w:color="003B71"/>
            </w:tcBorders>
          </w:tcPr>
          <w:p>
            <w:pPr>
              <w:spacing w:after="0"/>
              <w:rPr>
                <w:sz w:val="16"/>
                <w:szCs w:val="16"/>
                <w:color w:val="auto"/>
              </w:rPr>
            </w:pPr>
          </w:p>
        </w:tc>
        <w:tc>
          <w:tcPr>
            <w:tcW w:w="1520" w:type="dxa"/>
            <w:vAlign w:val="bottom"/>
            <w:tcBorders>
              <w:bottom w:val="single" w:sz="8" w:color="003B71"/>
            </w:tcBorders>
            <w:gridSpan w:val="2"/>
          </w:tcPr>
          <w:p>
            <w:pPr>
              <w:jc w:val="center"/>
              <w:ind w:left="22"/>
              <w:spacing w:after="0"/>
              <w:rPr>
                <w:sz w:val="20"/>
                <w:szCs w:val="20"/>
                <w:color w:val="auto"/>
              </w:rPr>
            </w:pPr>
            <w:r>
              <w:rPr>
                <w:rFonts w:ascii="Arial" w:cs="Arial" w:eastAsia="Arial" w:hAnsi="Arial"/>
                <w:sz w:val="14"/>
                <w:szCs w:val="14"/>
                <w:b w:val="1"/>
                <w:bCs w:val="1"/>
                <w:color w:val="003B71"/>
              </w:rPr>
              <w:t>(in millions)</w:t>
            </w:r>
          </w:p>
        </w:tc>
        <w:tc>
          <w:tcPr>
            <w:tcW w:w="138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of Target</w:t>
            </w:r>
          </w:p>
        </w:tc>
        <w:tc>
          <w:tcPr>
            <w:tcW w:w="1180" w:type="dxa"/>
            <w:vAlign w:val="bottom"/>
            <w:tcBorders>
              <w:bottom w:val="single" w:sz="8" w:color="003B71"/>
            </w:tcBorders>
            <w:gridSpan w:val="2"/>
          </w:tcPr>
          <w:p>
            <w:pPr>
              <w:ind w:left="40"/>
              <w:spacing w:after="0"/>
              <w:rPr>
                <w:sz w:val="20"/>
                <w:szCs w:val="20"/>
                <w:color w:val="auto"/>
              </w:rPr>
            </w:pPr>
            <w:r>
              <w:rPr>
                <w:rFonts w:ascii="Arial" w:cs="Arial" w:eastAsia="Arial" w:hAnsi="Arial"/>
                <w:sz w:val="14"/>
                <w:szCs w:val="14"/>
                <w:b w:val="1"/>
                <w:bCs w:val="1"/>
                <w:color w:val="003B71"/>
              </w:rPr>
              <w:t>of Target(1)</w:t>
            </w:r>
          </w:p>
        </w:tc>
        <w:tc>
          <w:tcPr>
            <w:tcW w:w="1320" w:type="dxa"/>
            <w:vAlign w:val="bottom"/>
            <w:tcBorders>
              <w:bottom w:val="single" w:sz="8" w:color="003B71"/>
            </w:tcBorders>
          </w:tcPr>
          <w:p>
            <w:pPr>
              <w:jc w:val="right"/>
              <w:spacing w:after="0"/>
              <w:rPr>
                <w:sz w:val="20"/>
                <w:szCs w:val="20"/>
                <w:color w:val="auto"/>
              </w:rPr>
            </w:pPr>
            <w:r>
              <w:rPr>
                <w:rFonts w:ascii="Arial" w:cs="Arial" w:eastAsia="Arial" w:hAnsi="Arial"/>
                <w:sz w:val="14"/>
                <w:szCs w:val="14"/>
                <w:b w:val="1"/>
                <w:bCs w:val="1"/>
                <w:color w:val="003B71"/>
              </w:rPr>
              <w:t>Performance(2)</w:t>
            </w:r>
          </w:p>
        </w:tc>
        <w:tc>
          <w:tcPr>
            <w:tcW w:w="1720" w:type="dxa"/>
            <w:vAlign w:val="bottom"/>
            <w:tcBorders>
              <w:bottom w:val="single" w:sz="8" w:color="003B71"/>
            </w:tcBorders>
          </w:tcPr>
          <w:p>
            <w:pPr>
              <w:jc w:val="center"/>
              <w:ind w:right="204"/>
              <w:spacing w:after="0"/>
              <w:rPr>
                <w:sz w:val="20"/>
                <w:szCs w:val="20"/>
                <w:color w:val="auto"/>
              </w:rPr>
            </w:pPr>
            <w:r>
              <w:rPr>
                <w:rFonts w:ascii="Arial" w:cs="Arial" w:eastAsia="Arial" w:hAnsi="Arial"/>
                <w:sz w:val="14"/>
                <w:szCs w:val="14"/>
                <w:b w:val="1"/>
                <w:bCs w:val="1"/>
                <w:color w:val="003B71"/>
              </w:rPr>
              <w:t>of Target</w:t>
            </w:r>
          </w:p>
        </w:tc>
        <w:tc>
          <w:tcPr>
            <w:tcW w:w="1200" w:type="dxa"/>
            <w:vAlign w:val="bottom"/>
            <w:tcBorders>
              <w:bottom w:val="single" w:sz="8" w:color="003B71"/>
            </w:tcBorders>
          </w:tcPr>
          <w:p>
            <w:pPr>
              <w:jc w:val="right"/>
              <w:ind w:right="303"/>
              <w:spacing w:after="0"/>
              <w:rPr>
                <w:sz w:val="20"/>
                <w:szCs w:val="20"/>
                <w:color w:val="auto"/>
              </w:rPr>
            </w:pPr>
            <w:r>
              <w:rPr>
                <w:rFonts w:ascii="Arial" w:cs="Arial" w:eastAsia="Arial" w:hAnsi="Arial"/>
                <w:sz w:val="14"/>
                <w:szCs w:val="14"/>
                <w:b w:val="1"/>
                <w:bCs w:val="1"/>
                <w:color w:val="003B71"/>
              </w:rPr>
              <w:t>of Target(1)</w:t>
            </w:r>
          </w:p>
        </w:tc>
      </w:tr>
      <w:tr>
        <w:trPr>
          <w:trHeight w:val="183"/>
        </w:trPr>
        <w:tc>
          <w:tcPr>
            <w:tcW w:w="270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Below Threshold</w:t>
            </w:r>
          </w:p>
        </w:tc>
        <w:tc>
          <w:tcPr>
            <w:tcW w:w="860" w:type="dxa"/>
            <w:vAlign w:val="bottom"/>
            <w:shd w:val="clear" w:color="auto" w:fill="E5E5E5"/>
          </w:tcPr>
          <w:p>
            <w:pPr>
              <w:ind w:left="280"/>
              <w:spacing w:after="0" w:line="183" w:lineRule="exact"/>
              <w:rPr>
                <w:sz w:val="20"/>
                <w:szCs w:val="20"/>
                <w:color w:val="auto"/>
              </w:rPr>
            </w:pPr>
            <w:r>
              <w:rPr>
                <w:rFonts w:ascii="Arial" w:cs="Arial" w:eastAsia="Arial" w:hAnsi="Arial"/>
                <w:sz w:val="16"/>
                <w:szCs w:val="16"/>
                <w:color w:val="auto"/>
                <w:w w:val="98"/>
              </w:rPr>
              <w:t>Below $</w:t>
            </w:r>
          </w:p>
        </w:tc>
        <w:tc>
          <w:tcPr>
            <w:tcW w:w="660" w:type="dxa"/>
            <w:vAlign w:val="bottom"/>
            <w:shd w:val="clear" w:color="auto" w:fill="E5E5E5"/>
          </w:tcPr>
          <w:p>
            <w:pPr>
              <w:jc w:val="right"/>
              <w:ind w:right="41"/>
              <w:spacing w:after="0" w:line="183" w:lineRule="exact"/>
              <w:rPr>
                <w:sz w:val="20"/>
                <w:szCs w:val="20"/>
                <w:color w:val="auto"/>
              </w:rPr>
            </w:pPr>
            <w:r>
              <w:rPr>
                <w:rFonts w:ascii="Arial" w:cs="Arial" w:eastAsia="Arial" w:hAnsi="Arial"/>
                <w:sz w:val="16"/>
                <w:szCs w:val="16"/>
                <w:color w:val="auto"/>
              </w:rPr>
              <w:t>730.9</w:t>
            </w:r>
          </w:p>
        </w:tc>
        <w:tc>
          <w:tcPr>
            <w:tcW w:w="1380" w:type="dxa"/>
            <w:vAlign w:val="bottom"/>
            <w:shd w:val="clear" w:color="auto" w:fill="E5E5E5"/>
          </w:tcPr>
          <w:p>
            <w:pPr>
              <w:jc w:val="right"/>
              <w:ind w:right="124"/>
              <w:spacing w:after="0" w:line="183" w:lineRule="exact"/>
              <w:rPr>
                <w:sz w:val="20"/>
                <w:szCs w:val="20"/>
                <w:color w:val="auto"/>
              </w:rPr>
            </w:pPr>
            <w:r>
              <w:rPr>
                <w:rFonts w:ascii="Arial" w:cs="Arial" w:eastAsia="Arial" w:hAnsi="Arial"/>
                <w:sz w:val="16"/>
                <w:szCs w:val="16"/>
                <w:color w:val="auto"/>
              </w:rPr>
              <w:t>Below 85.0%</w:t>
            </w:r>
          </w:p>
        </w:tc>
        <w:tc>
          <w:tcPr>
            <w:tcW w:w="84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0.0%</w:t>
            </w:r>
          </w:p>
        </w:tc>
        <w:tc>
          <w:tcPr>
            <w:tcW w:w="340" w:type="dxa"/>
            <w:vAlign w:val="bottom"/>
            <w:shd w:val="clear" w:color="auto" w:fill="E5E5E5"/>
          </w:tcPr>
          <w:p>
            <w:pPr>
              <w:spacing w:after="0"/>
              <w:rPr>
                <w:sz w:val="15"/>
                <w:szCs w:val="15"/>
                <w:color w:val="auto"/>
              </w:rPr>
            </w:pPr>
          </w:p>
        </w:tc>
        <w:tc>
          <w:tcPr>
            <w:tcW w:w="1320" w:type="dxa"/>
            <w:vAlign w:val="bottom"/>
            <w:shd w:val="clear" w:color="auto" w:fill="E5E5E5"/>
          </w:tcPr>
          <w:p>
            <w:pPr>
              <w:jc w:val="right"/>
              <w:ind w:right="1"/>
              <w:spacing w:after="0" w:line="183" w:lineRule="exact"/>
              <w:rPr>
                <w:sz w:val="20"/>
                <w:szCs w:val="20"/>
                <w:color w:val="auto"/>
              </w:rPr>
            </w:pPr>
            <w:r>
              <w:rPr>
                <w:rFonts w:ascii="Arial" w:cs="Arial" w:eastAsia="Arial" w:hAnsi="Arial"/>
                <w:sz w:val="16"/>
                <w:szCs w:val="16"/>
                <w:color w:val="auto"/>
              </w:rPr>
              <w:t>Below 2.38%</w:t>
            </w:r>
          </w:p>
        </w:tc>
        <w:tc>
          <w:tcPr>
            <w:tcW w:w="1720" w:type="dxa"/>
            <w:vAlign w:val="bottom"/>
            <w:shd w:val="clear" w:color="auto" w:fill="E5E5E5"/>
          </w:tcPr>
          <w:p>
            <w:pPr>
              <w:jc w:val="right"/>
              <w:ind w:right="424"/>
              <w:spacing w:after="0" w:line="183" w:lineRule="exact"/>
              <w:rPr>
                <w:sz w:val="20"/>
                <w:szCs w:val="20"/>
                <w:color w:val="auto"/>
              </w:rPr>
            </w:pPr>
            <w:r>
              <w:rPr>
                <w:rFonts w:ascii="Arial" w:cs="Arial" w:eastAsia="Arial" w:hAnsi="Arial"/>
                <w:sz w:val="16"/>
                <w:szCs w:val="16"/>
                <w:color w:val="auto"/>
              </w:rPr>
              <w:t>Below 85.0%</w:t>
            </w:r>
          </w:p>
        </w:tc>
        <w:tc>
          <w:tcPr>
            <w:tcW w:w="1200" w:type="dxa"/>
            <w:vAlign w:val="bottom"/>
            <w:shd w:val="clear" w:color="auto" w:fill="E5E5E5"/>
          </w:tcPr>
          <w:p>
            <w:pPr>
              <w:jc w:val="right"/>
              <w:ind w:right="403"/>
              <w:spacing w:after="0" w:line="183" w:lineRule="exact"/>
              <w:rPr>
                <w:sz w:val="20"/>
                <w:szCs w:val="20"/>
                <w:color w:val="auto"/>
              </w:rPr>
            </w:pPr>
            <w:r>
              <w:rPr>
                <w:rFonts w:ascii="Arial" w:cs="Arial" w:eastAsia="Arial" w:hAnsi="Arial"/>
                <w:sz w:val="16"/>
                <w:szCs w:val="16"/>
                <w:color w:val="auto"/>
              </w:rPr>
              <w:t>0.0%</w:t>
            </w:r>
          </w:p>
        </w:tc>
      </w:tr>
      <w:tr>
        <w:trPr>
          <w:trHeight w:val="189"/>
        </w:trPr>
        <w:tc>
          <w:tcPr>
            <w:tcW w:w="2700" w:type="dxa"/>
            <w:vAlign w:val="bottom"/>
          </w:tcPr>
          <w:p>
            <w:pPr>
              <w:ind w:left="80"/>
              <w:spacing w:after="0"/>
              <w:rPr>
                <w:sz w:val="20"/>
                <w:szCs w:val="20"/>
                <w:color w:val="auto"/>
              </w:rPr>
            </w:pPr>
            <w:r>
              <w:rPr>
                <w:rFonts w:ascii="Arial" w:cs="Arial" w:eastAsia="Arial" w:hAnsi="Arial"/>
                <w:sz w:val="16"/>
                <w:szCs w:val="16"/>
                <w:color w:val="auto"/>
              </w:rPr>
              <w:t>Threshold</w:t>
            </w:r>
          </w:p>
        </w:tc>
        <w:tc>
          <w:tcPr>
            <w:tcW w:w="860" w:type="dxa"/>
            <w:vAlign w:val="bottom"/>
          </w:tcPr>
          <w:p>
            <w:pPr>
              <w:jc w:val="center"/>
              <w:ind w:left="6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730.9</w:t>
            </w:r>
          </w:p>
        </w:tc>
        <w:tc>
          <w:tcPr>
            <w:tcW w:w="1380" w:type="dxa"/>
            <w:vAlign w:val="bottom"/>
          </w:tcPr>
          <w:p>
            <w:pPr>
              <w:jc w:val="right"/>
              <w:ind w:right="124"/>
              <w:spacing w:after="0"/>
              <w:rPr>
                <w:sz w:val="20"/>
                <w:szCs w:val="20"/>
                <w:color w:val="auto"/>
              </w:rPr>
            </w:pPr>
            <w:r>
              <w:rPr>
                <w:rFonts w:ascii="Arial" w:cs="Arial" w:eastAsia="Arial" w:hAnsi="Arial"/>
                <w:sz w:val="16"/>
                <w:szCs w:val="16"/>
                <w:color w:val="auto"/>
              </w:rPr>
              <w:t>85.0%</w:t>
            </w: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c>
          <w:tcPr>
            <w:tcW w:w="340" w:type="dxa"/>
            <w:vAlign w:val="bottom"/>
          </w:tcPr>
          <w:p>
            <w:pPr>
              <w:spacing w:after="0"/>
              <w:rPr>
                <w:sz w:val="16"/>
                <w:szCs w:val="16"/>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2.38%</w:t>
            </w:r>
          </w:p>
        </w:tc>
        <w:tc>
          <w:tcPr>
            <w:tcW w:w="1720" w:type="dxa"/>
            <w:vAlign w:val="bottom"/>
          </w:tcPr>
          <w:p>
            <w:pPr>
              <w:jc w:val="right"/>
              <w:ind w:right="424"/>
              <w:spacing w:after="0"/>
              <w:rPr>
                <w:sz w:val="20"/>
                <w:szCs w:val="20"/>
                <w:color w:val="auto"/>
              </w:rPr>
            </w:pPr>
            <w:r>
              <w:rPr>
                <w:rFonts w:ascii="Arial" w:cs="Arial" w:eastAsia="Arial" w:hAnsi="Arial"/>
                <w:sz w:val="16"/>
                <w:szCs w:val="16"/>
                <w:color w:val="auto"/>
              </w:rPr>
              <w:t>85.0%</w:t>
            </w:r>
          </w:p>
        </w:tc>
        <w:tc>
          <w:tcPr>
            <w:tcW w:w="1200" w:type="dxa"/>
            <w:vAlign w:val="bottom"/>
          </w:tcPr>
          <w:p>
            <w:pPr>
              <w:jc w:val="right"/>
              <w:ind w:right="403"/>
              <w:spacing w:after="0"/>
              <w:rPr>
                <w:sz w:val="20"/>
                <w:szCs w:val="20"/>
                <w:color w:val="auto"/>
              </w:rPr>
            </w:pPr>
            <w:r>
              <w:rPr>
                <w:rFonts w:ascii="Arial" w:cs="Arial" w:eastAsia="Arial" w:hAnsi="Arial"/>
                <w:sz w:val="16"/>
                <w:szCs w:val="16"/>
                <w:color w:val="auto"/>
              </w:rPr>
              <w:t>50.0%</w:t>
            </w:r>
          </w:p>
        </w:tc>
      </w:tr>
      <w:tr>
        <w:trPr>
          <w:trHeight w:val="189"/>
        </w:trPr>
        <w:tc>
          <w:tcPr>
            <w:tcW w:w="2700" w:type="dxa"/>
            <w:vAlign w:val="bottom"/>
            <w:shd w:val="clear" w:color="auto" w:fill="E5E5E5"/>
          </w:tcPr>
          <w:p>
            <w:pPr>
              <w:ind w:left="80"/>
              <w:spacing w:after="0"/>
              <w:rPr>
                <w:sz w:val="20"/>
                <w:szCs w:val="20"/>
                <w:color w:val="auto"/>
              </w:rPr>
            </w:pPr>
            <w:r>
              <w:rPr>
                <w:rFonts w:ascii="Arial" w:cs="Arial" w:eastAsia="Arial" w:hAnsi="Arial"/>
                <w:sz w:val="16"/>
                <w:szCs w:val="16"/>
                <w:color w:val="auto"/>
              </w:rPr>
              <w:t>Target</w:t>
            </w:r>
          </w:p>
        </w:tc>
        <w:tc>
          <w:tcPr>
            <w:tcW w:w="860" w:type="dxa"/>
            <w:vAlign w:val="bottom"/>
            <w:shd w:val="clear" w:color="auto" w:fill="E5E5E5"/>
          </w:tcPr>
          <w:p>
            <w:pPr>
              <w:jc w:val="center"/>
              <w:ind w:left="682"/>
              <w:spacing w:after="0"/>
              <w:rPr>
                <w:sz w:val="20"/>
                <w:szCs w:val="20"/>
                <w:color w:val="auto"/>
              </w:rPr>
            </w:pPr>
            <w:r>
              <w:rPr>
                <w:rFonts w:ascii="Arial" w:cs="Arial" w:eastAsia="Arial" w:hAnsi="Arial"/>
                <w:sz w:val="16"/>
                <w:szCs w:val="16"/>
                <w:color w:val="auto"/>
              </w:rPr>
              <w:t>$</w:t>
            </w:r>
          </w:p>
        </w:tc>
        <w:tc>
          <w:tcPr>
            <w:tcW w:w="66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859.9</w:t>
            </w:r>
          </w:p>
        </w:tc>
        <w:tc>
          <w:tcPr>
            <w:tcW w:w="1380" w:type="dxa"/>
            <w:vAlign w:val="bottom"/>
            <w:shd w:val="clear" w:color="auto" w:fill="E5E5E5"/>
          </w:tcPr>
          <w:p>
            <w:pPr>
              <w:jc w:val="right"/>
              <w:ind w:right="124"/>
              <w:spacing w:after="0"/>
              <w:rPr>
                <w:sz w:val="20"/>
                <w:szCs w:val="20"/>
                <w:color w:val="auto"/>
              </w:rPr>
            </w:pPr>
            <w:r>
              <w:rPr>
                <w:rFonts w:ascii="Arial" w:cs="Arial" w:eastAsia="Arial" w:hAnsi="Arial"/>
                <w:sz w:val="16"/>
                <w:szCs w:val="16"/>
                <w:color w:val="auto"/>
              </w:rPr>
              <w:t>100.0%</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100.0%</w:t>
            </w:r>
          </w:p>
        </w:tc>
        <w:tc>
          <w:tcPr>
            <w:tcW w:w="340" w:type="dxa"/>
            <w:vAlign w:val="bottom"/>
            <w:shd w:val="clear" w:color="auto" w:fill="E5E5E5"/>
          </w:tcPr>
          <w:p>
            <w:pPr>
              <w:spacing w:after="0"/>
              <w:rPr>
                <w:sz w:val="16"/>
                <w:szCs w:val="16"/>
                <w:color w:val="auto"/>
              </w:rPr>
            </w:pPr>
          </w:p>
        </w:tc>
        <w:tc>
          <w:tcPr>
            <w:tcW w:w="132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2.80%</w:t>
            </w:r>
          </w:p>
        </w:tc>
        <w:tc>
          <w:tcPr>
            <w:tcW w:w="1720" w:type="dxa"/>
            <w:vAlign w:val="bottom"/>
            <w:shd w:val="clear" w:color="auto" w:fill="E5E5E5"/>
          </w:tcPr>
          <w:p>
            <w:pPr>
              <w:jc w:val="right"/>
              <w:ind w:right="424"/>
              <w:spacing w:after="0"/>
              <w:rPr>
                <w:sz w:val="20"/>
                <w:szCs w:val="20"/>
                <w:color w:val="auto"/>
              </w:rPr>
            </w:pPr>
            <w:r>
              <w:rPr>
                <w:rFonts w:ascii="Arial" w:cs="Arial" w:eastAsia="Arial" w:hAnsi="Arial"/>
                <w:sz w:val="16"/>
                <w:szCs w:val="16"/>
                <w:color w:val="auto"/>
              </w:rPr>
              <w:t>100.0%</w:t>
            </w:r>
          </w:p>
        </w:tc>
        <w:tc>
          <w:tcPr>
            <w:tcW w:w="1200" w:type="dxa"/>
            <w:vAlign w:val="bottom"/>
            <w:shd w:val="clear" w:color="auto" w:fill="E5E5E5"/>
          </w:tcPr>
          <w:p>
            <w:pPr>
              <w:jc w:val="right"/>
              <w:ind w:right="403"/>
              <w:spacing w:after="0"/>
              <w:rPr>
                <w:sz w:val="20"/>
                <w:szCs w:val="20"/>
                <w:color w:val="auto"/>
              </w:rPr>
            </w:pPr>
            <w:r>
              <w:rPr>
                <w:rFonts w:ascii="Arial" w:cs="Arial" w:eastAsia="Arial" w:hAnsi="Arial"/>
                <w:sz w:val="16"/>
                <w:szCs w:val="16"/>
                <w:color w:val="auto"/>
              </w:rPr>
              <w:t>100.0%</w:t>
            </w:r>
          </w:p>
        </w:tc>
      </w:tr>
      <w:tr>
        <w:trPr>
          <w:trHeight w:val="189"/>
        </w:trPr>
        <w:tc>
          <w:tcPr>
            <w:tcW w:w="270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Maximum</w:t>
            </w:r>
          </w:p>
        </w:tc>
        <w:tc>
          <w:tcPr>
            <w:tcW w:w="860" w:type="dxa"/>
            <w:vAlign w:val="bottom"/>
            <w:tcBorders>
              <w:bottom w:val="single" w:sz="8" w:color="003B71"/>
            </w:tcBorders>
          </w:tcPr>
          <w:p>
            <w:pPr>
              <w:jc w:val="center"/>
              <w:ind w:left="6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3B71"/>
            </w:tcBorders>
          </w:tcPr>
          <w:p>
            <w:pPr>
              <w:jc w:val="right"/>
              <w:ind w:right="41"/>
              <w:spacing w:after="0"/>
              <w:rPr>
                <w:sz w:val="20"/>
                <w:szCs w:val="20"/>
                <w:color w:val="auto"/>
              </w:rPr>
            </w:pPr>
            <w:r>
              <w:rPr>
                <w:rFonts w:ascii="Arial" w:cs="Arial" w:eastAsia="Arial" w:hAnsi="Arial"/>
                <w:sz w:val="16"/>
                <w:szCs w:val="16"/>
                <w:color w:val="auto"/>
                <w:w w:val="97"/>
              </w:rPr>
              <w:t>1,031.8</w:t>
            </w:r>
          </w:p>
        </w:tc>
        <w:tc>
          <w:tcPr>
            <w:tcW w:w="1380" w:type="dxa"/>
            <w:vAlign w:val="bottom"/>
            <w:tcBorders>
              <w:bottom w:val="single" w:sz="8" w:color="003B71"/>
            </w:tcBorders>
          </w:tcPr>
          <w:p>
            <w:pPr>
              <w:jc w:val="right"/>
              <w:ind w:right="124"/>
              <w:spacing w:after="0"/>
              <w:rPr>
                <w:sz w:val="20"/>
                <w:szCs w:val="20"/>
                <w:color w:val="auto"/>
              </w:rPr>
            </w:pPr>
            <w:r>
              <w:rPr>
                <w:rFonts w:ascii="Arial" w:cs="Arial" w:eastAsia="Arial" w:hAnsi="Arial"/>
                <w:sz w:val="16"/>
                <w:szCs w:val="16"/>
                <w:color w:val="auto"/>
              </w:rPr>
              <w:t>120.0%</w:t>
            </w:r>
          </w:p>
        </w:tc>
        <w:tc>
          <w:tcPr>
            <w:tcW w:w="840" w:type="dxa"/>
            <w:vAlign w:val="bottom"/>
            <w:tcBorders>
              <w:bottom w:val="single" w:sz="8" w:color="003B71"/>
            </w:tcBorders>
          </w:tcPr>
          <w:p>
            <w:pPr>
              <w:jc w:val="right"/>
              <w:spacing w:after="0"/>
              <w:rPr>
                <w:sz w:val="20"/>
                <w:szCs w:val="20"/>
                <w:color w:val="auto"/>
              </w:rPr>
            </w:pPr>
            <w:r>
              <w:rPr>
                <w:rFonts w:ascii="Arial" w:cs="Arial" w:eastAsia="Arial" w:hAnsi="Arial"/>
                <w:sz w:val="16"/>
                <w:szCs w:val="16"/>
                <w:color w:val="auto"/>
              </w:rPr>
              <w:t>200.0%</w:t>
            </w:r>
          </w:p>
        </w:tc>
        <w:tc>
          <w:tcPr>
            <w:tcW w:w="340" w:type="dxa"/>
            <w:vAlign w:val="bottom"/>
            <w:tcBorders>
              <w:bottom w:val="single" w:sz="8" w:color="003B71"/>
            </w:tcBorders>
          </w:tcPr>
          <w:p>
            <w:pPr>
              <w:spacing w:after="0"/>
              <w:rPr>
                <w:sz w:val="16"/>
                <w:szCs w:val="16"/>
                <w:color w:val="auto"/>
              </w:rPr>
            </w:pPr>
          </w:p>
        </w:tc>
        <w:tc>
          <w:tcPr>
            <w:tcW w:w="1320" w:type="dxa"/>
            <w:vAlign w:val="bottom"/>
            <w:tcBorders>
              <w:bottom w:val="single" w:sz="8" w:color="003B71"/>
            </w:tcBorders>
          </w:tcPr>
          <w:p>
            <w:pPr>
              <w:jc w:val="right"/>
              <w:ind w:right="1"/>
              <w:spacing w:after="0"/>
              <w:rPr>
                <w:sz w:val="20"/>
                <w:szCs w:val="20"/>
                <w:color w:val="auto"/>
              </w:rPr>
            </w:pPr>
            <w:r>
              <w:rPr>
                <w:rFonts w:ascii="Arial" w:cs="Arial" w:eastAsia="Arial" w:hAnsi="Arial"/>
                <w:sz w:val="16"/>
                <w:szCs w:val="16"/>
                <w:color w:val="auto"/>
              </w:rPr>
              <w:t>4.25%</w:t>
            </w:r>
          </w:p>
        </w:tc>
        <w:tc>
          <w:tcPr>
            <w:tcW w:w="1720" w:type="dxa"/>
            <w:vAlign w:val="bottom"/>
            <w:tcBorders>
              <w:bottom w:val="single" w:sz="8" w:color="003B71"/>
            </w:tcBorders>
          </w:tcPr>
          <w:p>
            <w:pPr>
              <w:jc w:val="right"/>
              <w:ind w:right="424"/>
              <w:spacing w:after="0"/>
              <w:rPr>
                <w:sz w:val="20"/>
                <w:szCs w:val="20"/>
                <w:color w:val="auto"/>
              </w:rPr>
            </w:pPr>
            <w:r>
              <w:rPr>
                <w:rFonts w:ascii="Arial" w:cs="Arial" w:eastAsia="Arial" w:hAnsi="Arial"/>
                <w:sz w:val="16"/>
                <w:szCs w:val="16"/>
                <w:color w:val="auto"/>
              </w:rPr>
              <w:t>151.8%</w:t>
            </w:r>
          </w:p>
        </w:tc>
        <w:tc>
          <w:tcPr>
            <w:tcW w:w="1200" w:type="dxa"/>
            <w:vAlign w:val="bottom"/>
            <w:tcBorders>
              <w:bottom w:val="single" w:sz="8" w:color="003B71"/>
            </w:tcBorders>
          </w:tcPr>
          <w:p>
            <w:pPr>
              <w:jc w:val="right"/>
              <w:ind w:right="403"/>
              <w:spacing w:after="0"/>
              <w:rPr>
                <w:sz w:val="20"/>
                <w:szCs w:val="20"/>
                <w:color w:val="auto"/>
              </w:rPr>
            </w:pPr>
            <w:r>
              <w:rPr>
                <w:rFonts w:ascii="Arial" w:cs="Arial" w:eastAsia="Arial" w:hAnsi="Arial"/>
                <w:sz w:val="16"/>
                <w:szCs w:val="16"/>
                <w:color w:val="auto"/>
              </w:rPr>
              <w:t>200.0%</w:t>
            </w:r>
          </w:p>
        </w:tc>
      </w:tr>
    </w:tbl>
    <w:p>
      <w:pPr>
        <w:spacing w:after="0" w:line="83"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Performance and payouts are subject to straight-line interpolation between points.</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Monthly ROIC for new stores opening during the three-year performance period.</w:t>
      </w:r>
    </w:p>
    <w:p>
      <w:pPr>
        <w:spacing w:after="0" w:line="21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Prior to the COVID-19 Pandemic, the 2018-2020 performance awards were on pace to payout more than 110% of target value. At the close of the performance period, the audited 3-year Cumulative EBITDA and 3-Year Cumulative ROIC performance did not meet the performance thresholds originally established in 2018. The Compensation Committee considered the punitive impact of the COVID-19 Pandemic on the 2018-2020 performance awards, but ultimately decided not to make any adjustments to the original goals or the financial results on account of the COVID-19 Pandemic. As such there was no payout associated with the 2018-2020 LTI awards. The tables below outline the performance results.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2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Component</w:t>
            </w:r>
          </w:p>
        </w:tc>
        <w:tc>
          <w:tcPr>
            <w:tcW w:w="3220" w:type="dxa"/>
            <w:vAlign w:val="bottom"/>
            <w:tcBorders>
              <w:bottom w:val="single" w:sz="8" w:color="003B71"/>
            </w:tcBorders>
          </w:tcPr>
          <w:p>
            <w:pPr>
              <w:jc w:val="right"/>
              <w:ind w:right="142"/>
              <w:spacing w:after="0"/>
              <w:rPr>
                <w:sz w:val="20"/>
                <w:szCs w:val="20"/>
                <w:color w:val="auto"/>
              </w:rPr>
            </w:pPr>
            <w:r>
              <w:rPr>
                <w:rFonts w:ascii="Arial" w:cs="Arial" w:eastAsia="Arial" w:hAnsi="Arial"/>
                <w:sz w:val="14"/>
                <w:szCs w:val="14"/>
                <w:b w:val="1"/>
                <w:bCs w:val="1"/>
                <w:color w:val="003B71"/>
              </w:rPr>
              <w:t>Target</w:t>
            </w:r>
          </w:p>
        </w:tc>
        <w:tc>
          <w:tcPr>
            <w:tcW w:w="840" w:type="dxa"/>
            <w:vAlign w:val="bottom"/>
            <w:tcBorders>
              <w:bottom w:val="single" w:sz="8" w:color="003B71"/>
            </w:tcBorders>
          </w:tcPr>
          <w:p>
            <w:pPr>
              <w:jc w:val="right"/>
              <w:ind w:right="162"/>
              <w:spacing w:after="0"/>
              <w:rPr>
                <w:sz w:val="20"/>
                <w:szCs w:val="20"/>
                <w:color w:val="auto"/>
              </w:rPr>
            </w:pPr>
            <w:r>
              <w:rPr>
                <w:rFonts w:ascii="Arial" w:cs="Arial" w:eastAsia="Arial" w:hAnsi="Arial"/>
                <w:sz w:val="14"/>
                <w:szCs w:val="14"/>
                <w:b w:val="1"/>
                <w:bCs w:val="1"/>
                <w:color w:val="003B71"/>
              </w:rPr>
              <w:t>Actual</w:t>
            </w:r>
          </w:p>
        </w:tc>
        <w:tc>
          <w:tcPr>
            <w:tcW w:w="1300" w:type="dxa"/>
            <w:vAlign w:val="bottom"/>
            <w:tcBorders>
              <w:bottom w:val="single" w:sz="8" w:color="003B71"/>
            </w:tcBorders>
          </w:tcPr>
          <w:p>
            <w:pPr>
              <w:jc w:val="right"/>
              <w:ind w:right="222"/>
              <w:spacing w:after="0"/>
              <w:rPr>
                <w:sz w:val="20"/>
                <w:szCs w:val="20"/>
                <w:color w:val="auto"/>
              </w:rPr>
            </w:pPr>
            <w:r>
              <w:rPr>
                <w:rFonts w:ascii="Arial" w:cs="Arial" w:eastAsia="Arial" w:hAnsi="Arial"/>
                <w:sz w:val="14"/>
                <w:szCs w:val="14"/>
                <w:b w:val="1"/>
                <w:bCs w:val="1"/>
                <w:color w:val="003B71"/>
              </w:rPr>
              <w:t>% of Target</w:t>
            </w:r>
          </w:p>
        </w:tc>
        <w:tc>
          <w:tcPr>
            <w:tcW w:w="1240" w:type="dxa"/>
            <w:vAlign w:val="bottom"/>
            <w:tcBorders>
              <w:bottom w:val="single" w:sz="8" w:color="003B71"/>
            </w:tcBorders>
          </w:tcPr>
          <w:p>
            <w:pPr>
              <w:jc w:val="right"/>
              <w:ind w:right="202"/>
              <w:spacing w:after="0"/>
              <w:rPr>
                <w:sz w:val="20"/>
                <w:szCs w:val="20"/>
                <w:color w:val="auto"/>
              </w:rPr>
            </w:pPr>
            <w:r>
              <w:rPr>
                <w:rFonts w:ascii="Arial" w:cs="Arial" w:eastAsia="Arial" w:hAnsi="Arial"/>
                <w:sz w:val="14"/>
                <w:szCs w:val="14"/>
                <w:b w:val="1"/>
                <w:bCs w:val="1"/>
                <w:color w:val="003B71"/>
              </w:rPr>
              <w:t>Payout %</w:t>
            </w:r>
          </w:p>
        </w:tc>
      </w:tr>
      <w:tr>
        <w:trPr>
          <w:trHeight w:val="183"/>
        </w:trPr>
        <w:tc>
          <w:tcPr>
            <w:tcW w:w="442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Cumulative EBITDA(1)</w:t>
            </w:r>
          </w:p>
        </w:tc>
        <w:tc>
          <w:tcPr>
            <w:tcW w:w="3220" w:type="dxa"/>
            <w:vAlign w:val="bottom"/>
            <w:shd w:val="clear" w:color="auto" w:fill="E5E5E5"/>
          </w:tcPr>
          <w:p>
            <w:pPr>
              <w:jc w:val="right"/>
              <w:ind w:right="82"/>
              <w:spacing w:after="0" w:line="183" w:lineRule="exact"/>
              <w:rPr>
                <w:sz w:val="20"/>
                <w:szCs w:val="20"/>
                <w:color w:val="auto"/>
              </w:rPr>
            </w:pPr>
            <w:r>
              <w:rPr>
                <w:rFonts w:ascii="Arial" w:cs="Arial" w:eastAsia="Arial" w:hAnsi="Arial"/>
                <w:sz w:val="16"/>
                <w:szCs w:val="16"/>
                <w:color w:val="auto"/>
              </w:rPr>
              <w:t>$859.9</w:t>
            </w:r>
          </w:p>
        </w:tc>
        <w:tc>
          <w:tcPr>
            <w:tcW w:w="840" w:type="dxa"/>
            <w:vAlign w:val="bottom"/>
            <w:shd w:val="clear" w:color="auto" w:fill="E5E5E5"/>
          </w:tcPr>
          <w:p>
            <w:pPr>
              <w:jc w:val="right"/>
              <w:ind w:right="142"/>
              <w:spacing w:after="0" w:line="183" w:lineRule="exact"/>
              <w:rPr>
                <w:sz w:val="20"/>
                <w:szCs w:val="20"/>
                <w:color w:val="auto"/>
              </w:rPr>
            </w:pPr>
            <w:r>
              <w:rPr>
                <w:rFonts w:ascii="Arial" w:cs="Arial" w:eastAsia="Arial" w:hAnsi="Arial"/>
                <w:sz w:val="16"/>
                <w:szCs w:val="16"/>
                <w:color w:val="auto"/>
              </w:rPr>
              <w:t>446.0</w:t>
            </w:r>
          </w:p>
        </w:tc>
        <w:tc>
          <w:tcPr>
            <w:tcW w:w="1300" w:type="dxa"/>
            <w:vAlign w:val="bottom"/>
            <w:shd w:val="clear" w:color="auto" w:fill="E5E5E5"/>
          </w:tcPr>
          <w:p>
            <w:pPr>
              <w:jc w:val="right"/>
              <w:ind w:right="342"/>
              <w:spacing w:after="0" w:line="183" w:lineRule="exact"/>
              <w:rPr>
                <w:sz w:val="20"/>
                <w:szCs w:val="20"/>
                <w:color w:val="auto"/>
              </w:rPr>
            </w:pPr>
            <w:r>
              <w:rPr>
                <w:rFonts w:ascii="Arial" w:cs="Arial" w:eastAsia="Arial" w:hAnsi="Arial"/>
                <w:sz w:val="16"/>
                <w:szCs w:val="16"/>
                <w:color w:val="auto"/>
              </w:rPr>
              <w:t>51.9%</w:t>
            </w:r>
          </w:p>
        </w:tc>
        <w:tc>
          <w:tcPr>
            <w:tcW w:w="1240" w:type="dxa"/>
            <w:vAlign w:val="bottom"/>
            <w:shd w:val="clear" w:color="auto" w:fill="E5E5E5"/>
          </w:tcPr>
          <w:p>
            <w:pPr>
              <w:jc w:val="right"/>
              <w:ind w:right="322"/>
              <w:spacing w:after="0" w:line="183" w:lineRule="exact"/>
              <w:rPr>
                <w:sz w:val="20"/>
                <w:szCs w:val="20"/>
                <w:color w:val="auto"/>
              </w:rPr>
            </w:pPr>
            <w:r>
              <w:rPr>
                <w:rFonts w:ascii="Arial" w:cs="Arial" w:eastAsia="Arial" w:hAnsi="Arial"/>
                <w:sz w:val="16"/>
                <w:szCs w:val="16"/>
                <w:color w:val="auto"/>
              </w:rPr>
              <w:t>0.0%</w:t>
            </w:r>
          </w:p>
        </w:tc>
      </w:tr>
      <w:tr>
        <w:trPr>
          <w:trHeight w:val="189"/>
        </w:trPr>
        <w:tc>
          <w:tcPr>
            <w:tcW w:w="4420" w:type="dxa"/>
            <w:vAlign w:val="bottom"/>
            <w:tcBorders>
              <w:bottom w:val="single" w:sz="8" w:color="003B71"/>
            </w:tcBorders>
          </w:tcPr>
          <w:p>
            <w:pPr>
              <w:ind w:left="80"/>
              <w:spacing w:after="0"/>
              <w:rPr>
                <w:sz w:val="20"/>
                <w:szCs w:val="20"/>
                <w:color w:val="auto"/>
              </w:rPr>
            </w:pPr>
            <w:r>
              <w:rPr>
                <w:rFonts w:ascii="Arial" w:cs="Arial" w:eastAsia="Arial" w:hAnsi="Arial"/>
                <w:sz w:val="16"/>
                <w:szCs w:val="16"/>
                <w:color w:val="auto"/>
              </w:rPr>
              <w:t>3-Year Cumulative ROIC</w:t>
            </w:r>
          </w:p>
        </w:tc>
        <w:tc>
          <w:tcPr>
            <w:tcW w:w="3220" w:type="dxa"/>
            <w:vAlign w:val="bottom"/>
            <w:tcBorders>
              <w:bottom w:val="single" w:sz="8" w:color="003B71"/>
            </w:tcBorders>
          </w:tcPr>
          <w:p>
            <w:pPr>
              <w:jc w:val="right"/>
              <w:ind w:right="82"/>
              <w:spacing w:after="0"/>
              <w:rPr>
                <w:sz w:val="20"/>
                <w:szCs w:val="20"/>
                <w:color w:val="auto"/>
              </w:rPr>
            </w:pPr>
            <w:r>
              <w:rPr>
                <w:rFonts w:ascii="Arial" w:cs="Arial" w:eastAsia="Arial" w:hAnsi="Arial"/>
                <w:sz w:val="16"/>
                <w:szCs w:val="16"/>
                <w:color w:val="auto"/>
              </w:rPr>
              <w:t>2.8%</w:t>
            </w:r>
          </w:p>
        </w:tc>
        <w:tc>
          <w:tcPr>
            <w:tcW w:w="840" w:type="dxa"/>
            <w:vAlign w:val="bottom"/>
            <w:tcBorders>
              <w:bottom w:val="single" w:sz="8" w:color="003B71"/>
            </w:tcBorders>
          </w:tcPr>
          <w:p>
            <w:pPr>
              <w:jc w:val="right"/>
              <w:ind w:right="142"/>
              <w:spacing w:after="0"/>
              <w:rPr>
                <w:sz w:val="20"/>
                <w:szCs w:val="20"/>
                <w:color w:val="auto"/>
              </w:rPr>
            </w:pPr>
            <w:r>
              <w:rPr>
                <w:rFonts w:ascii="Arial" w:cs="Arial" w:eastAsia="Arial" w:hAnsi="Arial"/>
                <w:sz w:val="16"/>
                <w:szCs w:val="16"/>
                <w:color w:val="auto"/>
              </w:rPr>
              <w:t>1.7%</w:t>
            </w:r>
          </w:p>
        </w:tc>
        <w:tc>
          <w:tcPr>
            <w:tcW w:w="1300" w:type="dxa"/>
            <w:vAlign w:val="bottom"/>
            <w:tcBorders>
              <w:bottom w:val="single" w:sz="8" w:color="003B71"/>
            </w:tcBorders>
          </w:tcPr>
          <w:p>
            <w:pPr>
              <w:jc w:val="right"/>
              <w:ind w:right="342"/>
              <w:spacing w:after="0"/>
              <w:rPr>
                <w:sz w:val="20"/>
                <w:szCs w:val="20"/>
                <w:color w:val="auto"/>
              </w:rPr>
            </w:pPr>
            <w:r>
              <w:rPr>
                <w:rFonts w:ascii="Arial" w:cs="Arial" w:eastAsia="Arial" w:hAnsi="Arial"/>
                <w:sz w:val="16"/>
                <w:szCs w:val="16"/>
                <w:color w:val="auto"/>
              </w:rPr>
              <w:t>60.7%</w:t>
            </w:r>
          </w:p>
        </w:tc>
        <w:tc>
          <w:tcPr>
            <w:tcW w:w="1240" w:type="dxa"/>
            <w:vAlign w:val="bottom"/>
            <w:tcBorders>
              <w:bottom w:val="single" w:sz="8" w:color="003B71"/>
            </w:tcBorders>
          </w:tcPr>
          <w:p>
            <w:pPr>
              <w:jc w:val="right"/>
              <w:ind w:right="322"/>
              <w:spacing w:after="0"/>
              <w:rPr>
                <w:sz w:val="20"/>
                <w:szCs w:val="20"/>
                <w:color w:val="auto"/>
              </w:rPr>
            </w:pPr>
            <w:r>
              <w:rPr>
                <w:rFonts w:ascii="Arial" w:cs="Arial" w:eastAsia="Arial" w:hAnsi="Arial"/>
                <w:sz w:val="16"/>
                <w:szCs w:val="16"/>
                <w:color w:val="auto"/>
              </w:rPr>
              <w:t>0.0%</w:t>
            </w:r>
          </w:p>
        </w:tc>
      </w:tr>
    </w:tbl>
    <w:p>
      <w:pPr>
        <w:spacing w:after="0" w:line="83"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Dollar amounts are represented in millions and include allowable pre-established adjustments for non-recurring items.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Benefits</w:t>
      </w:r>
    </w:p>
    <w:p>
      <w:pPr>
        <w:spacing w:after="0" w:line="104"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Retirement Benefits</w:t>
      </w:r>
      <w:r>
        <w:rPr>
          <w:rFonts w:ascii="Arial" w:cs="Arial" w:eastAsia="Arial" w:hAnsi="Arial"/>
          <w:sz w:val="18"/>
          <w:szCs w:val="18"/>
          <w:color w:val="auto"/>
        </w:rPr>
        <w:t>. Our employees, including our NEOs, are eligible to participate in the 401(k)-retirement plan on the same basis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 employees. However, tax regulations impose a limit on the amount of compensation that may be deferred for purposes of retirement savings. As a result, we established the Select Executive Retirement Plan (the “SERP”). See “</w:t>
      </w:r>
      <w:r>
        <w:rPr>
          <w:rFonts w:ascii="Arial" w:cs="Arial" w:eastAsia="Arial" w:hAnsi="Arial"/>
          <w:sz w:val="18"/>
          <w:szCs w:val="18"/>
          <w:i w:val="1"/>
          <w:iCs w:val="1"/>
          <w:color w:val="auto"/>
        </w:rPr>
        <w:t>2020 Nonqualified Deferred Compensation</w:t>
      </w:r>
      <w:r>
        <w:rPr>
          <w:rFonts w:ascii="Arial" w:cs="Arial" w:eastAsia="Arial" w:hAnsi="Arial"/>
          <w:sz w:val="18"/>
          <w:szCs w:val="18"/>
          <w:color w:val="auto"/>
        </w:rPr>
        <w:t>” for a discussion of the SERP.</w:t>
      </w:r>
    </w:p>
    <w:p>
      <w:pPr>
        <w:spacing w:after="0" w:line="181"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Perquisites and Other Benefits</w:t>
      </w:r>
      <w:r>
        <w:rPr>
          <w:rFonts w:ascii="Arial" w:cs="Arial" w:eastAsia="Arial" w:hAnsi="Arial"/>
          <w:sz w:val="18"/>
          <w:szCs w:val="18"/>
          <w:color w:val="auto"/>
        </w:rPr>
        <w:t>. We offer our NEOs a modest perquisite allowance and an annual executive physical. We believe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perquisites, which comprise less than 5% of each NEO’s total compensation, are reasonable and round out a competitive compensation program that enhances our ability to attract and retain executive talent. See “</w:t>
      </w:r>
      <w:r>
        <w:rPr>
          <w:rFonts w:ascii="Arial" w:cs="Arial" w:eastAsia="Arial" w:hAnsi="Arial"/>
          <w:sz w:val="18"/>
          <w:szCs w:val="18"/>
          <w:i w:val="1"/>
          <w:iCs w:val="1"/>
          <w:color w:val="auto"/>
        </w:rPr>
        <w:t>2020 Summary Compensation Table</w:t>
      </w:r>
      <w:r>
        <w:rPr>
          <w:rFonts w:ascii="Arial" w:cs="Arial" w:eastAsia="Arial" w:hAnsi="Arial"/>
          <w:sz w:val="18"/>
          <w:szCs w:val="18"/>
          <w:color w:val="auto"/>
        </w:rPr>
        <w:t>.”</w:t>
      </w:r>
    </w:p>
    <w:p>
      <w:pPr>
        <w:spacing w:after="0" w:line="177"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Severance Benefits</w:t>
      </w:r>
      <w:r>
        <w:rPr>
          <w:rFonts w:ascii="Arial" w:cs="Arial" w:eastAsia="Arial" w:hAnsi="Arial"/>
          <w:sz w:val="18"/>
          <w:szCs w:val="18"/>
          <w:color w:val="auto"/>
        </w:rPr>
        <w:t>. We have entered into employment agreements with each of our NEOs. These agreements provide our NEOs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severance benefits in the event of involuntary termination or adverse job changes and are key to attracting and retaining key executives. See “</w:t>
      </w:r>
      <w:r>
        <w:rPr>
          <w:rFonts w:ascii="Arial" w:cs="Arial" w:eastAsia="Arial" w:hAnsi="Arial"/>
          <w:sz w:val="18"/>
          <w:szCs w:val="18"/>
          <w:i w:val="1"/>
          <w:iCs w:val="1"/>
          <w:color w:val="auto"/>
        </w:rPr>
        <w:t>Employment Agreements</w:t>
      </w:r>
      <w:r>
        <w:rPr>
          <w:rFonts w:ascii="Arial" w:cs="Arial" w:eastAsia="Arial" w:hAnsi="Arial"/>
          <w:sz w:val="18"/>
          <w:szCs w:val="18"/>
          <w:color w:val="auto"/>
        </w:rPr>
        <w: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Deductibility of Executive Compensation</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consider objectives such as attracting, retaining and motivating leaders when we design our executive compensation programs. We also consider the tax-deductibility of compensation, but it is not our sole consideration. U.S. tax reform which became effective in 2017 expanded the types of compensation included in determining tax deduction limits, consequently, we expect that tax deductibility will have less of an impact on our program design for our named executive officers in the future. For federal income taxes, compensation is an expense that is fully tax- deductible for almost all our U.S. employees.</w:t>
      </w:r>
    </w:p>
    <w:p>
      <w:pPr>
        <w:spacing w:after="0" w:line="12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34</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CEO Pay Ratio</w:t>
      </w:r>
    </w:p>
    <w:p>
      <w:pPr>
        <w:spacing w:after="0" w:line="12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The Compensation Committee reviewed a comparison of our Chief Executive Officer’s annual total compensation in fiscal 2020 to that of all other Company employees for the same period. Our calculations included employees who were active as of November 9, 2020. As Canadian employees account for less than 5% of our total employee population, we excluded Canadian employees from the median calculation. Our total employee population was 9,622 and our total employee population without our Canadian employees was 9,318. The median employee was identified using all earnings for fiscal 2020, as reported in our payroll system. Compensation was annualized for all employees including Mr. Jenkins, other than seasonal or temporary employees, based on the number of days employed during fiscal 2020. Payments which were not expected to be repeated throughout the year were not annualized. Mr. Jenkins had fiscal 2020 annual total compensation of $3,260,946 as reflected in the Summary Compensation Table included in this Proxy Statement. Our median employee’s annual total compensation for fiscal 2020 was $17,559 (based on the same methodology used for the Summary Compensation Table). Mr. Jenkins’s annual total compensation was approximately 185.7 times that of our median employee.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Stock Ownership Guidelines for Officers</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ownership guidelines were established to further align the interests of our Chief Executive Officer, NEOs and senior executive officers with shareholders and encourage each such executive officer to maintain a long-term equity stake in the Company. The guidelines provide that each such executive officer must hold a multiple of his or her annual base salary in the Company’s stock and include the following holding requirement:</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4560" w:type="dxa"/>
            <w:vAlign w:val="bottom"/>
          </w:tcPr>
          <w:p>
            <w:pPr>
              <w:ind w:left="2800"/>
              <w:spacing w:after="0"/>
              <w:rPr>
                <w:sz w:val="20"/>
                <w:szCs w:val="20"/>
                <w:color w:val="auto"/>
              </w:rPr>
            </w:pPr>
            <w:r>
              <w:rPr>
                <w:rFonts w:ascii="Arial" w:cs="Arial" w:eastAsia="Arial" w:hAnsi="Arial"/>
                <w:sz w:val="14"/>
                <w:szCs w:val="14"/>
                <w:b w:val="1"/>
                <w:bCs w:val="1"/>
                <w:color w:val="003B71"/>
              </w:rPr>
              <w:t>Ownership Requirement</w:t>
            </w:r>
          </w:p>
        </w:tc>
      </w:tr>
      <w:tr>
        <w:trPr>
          <w:trHeight w:val="189"/>
        </w:trPr>
        <w:tc>
          <w:tcPr>
            <w:tcW w:w="646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Position</w:t>
            </w:r>
          </w:p>
        </w:tc>
        <w:tc>
          <w:tcPr>
            <w:tcW w:w="4560" w:type="dxa"/>
            <w:vAlign w:val="bottom"/>
            <w:tcBorders>
              <w:bottom w:val="single" w:sz="8" w:color="003B71"/>
            </w:tcBorders>
          </w:tcPr>
          <w:p>
            <w:pPr>
              <w:ind w:left="2820"/>
              <w:spacing w:after="0"/>
              <w:rPr>
                <w:sz w:val="20"/>
                <w:szCs w:val="20"/>
                <w:color w:val="auto"/>
              </w:rPr>
            </w:pPr>
            <w:r>
              <w:rPr>
                <w:rFonts w:ascii="Arial" w:cs="Arial" w:eastAsia="Arial" w:hAnsi="Arial"/>
                <w:sz w:val="14"/>
                <w:szCs w:val="14"/>
                <w:b w:val="1"/>
                <w:bCs w:val="1"/>
                <w:color w:val="003B71"/>
              </w:rPr>
              <w:t>(multiple of base salary)</w:t>
            </w:r>
          </w:p>
        </w:tc>
      </w:tr>
      <w:tr>
        <w:trPr>
          <w:trHeight w:val="183"/>
        </w:trPr>
        <w:tc>
          <w:tcPr>
            <w:tcW w:w="646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Chief Executive Officer</w:t>
            </w:r>
          </w:p>
        </w:tc>
        <w:tc>
          <w:tcPr>
            <w:tcW w:w="4560" w:type="dxa"/>
            <w:vAlign w:val="bottom"/>
            <w:shd w:val="clear" w:color="auto" w:fill="E5E5E5"/>
          </w:tcPr>
          <w:p>
            <w:pPr>
              <w:ind w:left="3420"/>
              <w:spacing w:after="0" w:line="183" w:lineRule="exact"/>
              <w:rPr>
                <w:sz w:val="20"/>
                <w:szCs w:val="20"/>
                <w:color w:val="auto"/>
              </w:rPr>
            </w:pPr>
            <w:r>
              <w:rPr>
                <w:rFonts w:ascii="Arial" w:cs="Arial" w:eastAsia="Arial" w:hAnsi="Arial"/>
                <w:sz w:val="16"/>
                <w:szCs w:val="16"/>
                <w:color w:val="auto"/>
              </w:rPr>
              <w:t>6 times</w:t>
            </w:r>
          </w:p>
        </w:tc>
      </w:tr>
      <w:tr>
        <w:trPr>
          <w:trHeight w:val="189"/>
        </w:trPr>
        <w:tc>
          <w:tcPr>
            <w:tcW w:w="6460" w:type="dxa"/>
            <w:vAlign w:val="bottom"/>
          </w:tcPr>
          <w:p>
            <w:pPr>
              <w:ind w:left="60"/>
              <w:spacing w:after="0"/>
              <w:rPr>
                <w:sz w:val="20"/>
                <w:szCs w:val="20"/>
                <w:color w:val="auto"/>
              </w:rPr>
            </w:pPr>
            <w:r>
              <w:rPr>
                <w:rFonts w:ascii="Arial" w:cs="Arial" w:eastAsia="Arial" w:hAnsi="Arial"/>
                <w:sz w:val="16"/>
                <w:szCs w:val="16"/>
                <w:color w:val="auto"/>
              </w:rPr>
              <w:t>Chief Financial Officer and Chief Operating Officer</w:t>
            </w:r>
          </w:p>
        </w:tc>
        <w:tc>
          <w:tcPr>
            <w:tcW w:w="4560" w:type="dxa"/>
            <w:vAlign w:val="bottom"/>
          </w:tcPr>
          <w:p>
            <w:pPr>
              <w:ind w:left="3420"/>
              <w:spacing w:after="0"/>
              <w:rPr>
                <w:sz w:val="20"/>
                <w:szCs w:val="20"/>
                <w:color w:val="auto"/>
              </w:rPr>
            </w:pPr>
            <w:r>
              <w:rPr>
                <w:rFonts w:ascii="Arial" w:cs="Arial" w:eastAsia="Arial" w:hAnsi="Arial"/>
                <w:sz w:val="16"/>
                <w:szCs w:val="16"/>
                <w:color w:val="auto"/>
              </w:rPr>
              <w:t>3 times</w:t>
            </w:r>
          </w:p>
        </w:tc>
      </w:tr>
      <w:tr>
        <w:trPr>
          <w:trHeight w:val="189"/>
        </w:trPr>
        <w:tc>
          <w:tcPr>
            <w:tcW w:w="6460" w:type="dxa"/>
            <w:vAlign w:val="bottom"/>
            <w:tcBorders>
              <w:bottom w:val="single" w:sz="8" w:color="003B71"/>
            </w:tcBorders>
            <w:shd w:val="clear" w:color="auto" w:fill="E5E5E5"/>
          </w:tcPr>
          <w:p>
            <w:pPr>
              <w:ind w:left="60"/>
              <w:spacing w:after="0"/>
              <w:rPr>
                <w:sz w:val="20"/>
                <w:szCs w:val="20"/>
                <w:color w:val="auto"/>
              </w:rPr>
            </w:pPr>
            <w:r>
              <w:rPr>
                <w:rFonts w:ascii="Arial" w:cs="Arial" w:eastAsia="Arial" w:hAnsi="Arial"/>
                <w:sz w:val="16"/>
                <w:szCs w:val="16"/>
                <w:color w:val="auto"/>
              </w:rPr>
              <w:t>Other Senior Vice Presidents</w:t>
            </w:r>
          </w:p>
        </w:tc>
        <w:tc>
          <w:tcPr>
            <w:tcW w:w="4560" w:type="dxa"/>
            <w:vAlign w:val="bottom"/>
            <w:tcBorders>
              <w:bottom w:val="single" w:sz="8" w:color="003B71"/>
            </w:tcBorders>
            <w:shd w:val="clear" w:color="auto" w:fill="E5E5E5"/>
          </w:tcPr>
          <w:p>
            <w:pPr>
              <w:ind w:left="3420"/>
              <w:spacing w:after="0"/>
              <w:rPr>
                <w:sz w:val="20"/>
                <w:szCs w:val="20"/>
                <w:color w:val="auto"/>
              </w:rPr>
            </w:pPr>
            <w:r>
              <w:rPr>
                <w:rFonts w:ascii="Arial" w:cs="Arial" w:eastAsia="Arial" w:hAnsi="Arial"/>
                <w:sz w:val="16"/>
                <w:szCs w:val="16"/>
                <w:color w:val="auto"/>
              </w:rPr>
              <w:t>2 times</w:t>
            </w:r>
          </w:p>
        </w:tc>
      </w:tr>
    </w:tbl>
    <w:p>
      <w:pPr>
        <w:spacing w:after="0" w:line="21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Equity counted toward the ownership requirement includes stock ownership, vested and unexercised stock options, time-based restricted stock or other similar plan holdings, and stock beneficially owned in a trust. Any executives hired or promoted into a senior executive officer role has five years from the date of hire or promotion to achieve the requirement. If at time of measurement, a senior executive officer is not in compliance with this guideline, such officer is prohibited from selling 50% of any new equity award issued to them (net of taxes) until such time as they come into compliance.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Clawback Policy</w:t>
      </w:r>
    </w:p>
    <w:p>
      <w:pPr>
        <w:spacing w:after="0" w:line="126"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Company has adopted a clawback policy providing for the adjustment or recovery of compensation in certain circumstances. If the Board of Directors, upon recommendation of the Compensation Committee, determines that, as a result of a restatement of our financial statements because of material noncompliance with any financial reporting requirement under the securities laws, an executive officer has received more compensation than would have been paid absent the incorrect financial statements, within the three-year period immediately preceding the date on which the Company is required to prepare the restatement, the Board of Directors, in its discretion, shall take such action as it deems necessary or appropriate to address the events that gave rise to the restatement and to prevent its recurrence. In certain cases, such action may include, to the extent permitted by applicable law: (i) requiring partial or full reimbursement of any bonus or other incentive compensation paid to the executive officer; (ii) causing the partial or full cancellation of MSUs, RSUs, PSUs, Performance Cash, and Stock Options; (iii) adjusting the future compensation of such executive officer; and (iv) dismissing or taking legal action against the executive officer, in each case as the Board, upon recommendation of the Compensation Committee, determines to be in the Company’s best interests and that of our shareholders. These remedies would be in addition to, and not in lieu of, any penalties imposed by law enforcement agencies, regulators or other authorities. Any incentive-based awards or payments or other compensation paid to current and former executive officers under employment agreements or any other agreement or arrangement with the Company which is subject to recovery under any law, government regulation, or stock exchange listing requirement (including compliance with the Dodd-Frank Act), will be subject to the deductions and clawback as may be required by law, government regulation or stock exchange listing requirement.</w:t>
      </w:r>
    </w:p>
    <w:p>
      <w:pPr>
        <w:spacing w:after="0" w:line="13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Risk Assessment Disclosure</w:t>
      </w:r>
    </w:p>
    <w:p>
      <w:pPr>
        <w:spacing w:after="0" w:line="126"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Our Compensation Committee assessed the risk associated with our compensation practices and policies for employees, including a consideration of the balance between risk-taking incentives and risk-mitigating factors in our practices and policies. The assessment determined that any risks arising from our compensation practices and policies are not reasonably likely to have a material adverse effect on our business or financial condition.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Compensation Committee has reviewed and discussed the Compensation Discussion and Analysis (“CD&amp;A”) with the management of the Company. Based on that review and discussion, on April 14, 2021 the Compensation Committee recommended to the Board of Directors that the CD&amp;A be included in this Proxy Statement.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Michael J. Griffith, Chair</w:t>
      </w:r>
    </w:p>
    <w:p>
      <w:pPr>
        <w:ind w:left="6740"/>
        <w:spacing w:after="0" w:line="234" w:lineRule="auto"/>
        <w:rPr>
          <w:sz w:val="20"/>
          <w:szCs w:val="20"/>
          <w:color w:val="auto"/>
        </w:rPr>
      </w:pPr>
      <w:r>
        <w:rPr>
          <w:rFonts w:ascii="Arial" w:cs="Arial" w:eastAsia="Arial" w:hAnsi="Arial"/>
          <w:sz w:val="18"/>
          <w:szCs w:val="18"/>
          <w:color w:val="auto"/>
        </w:rPr>
        <w:t>James P. Chambers</w:t>
      </w:r>
    </w:p>
    <w:p>
      <w:pPr>
        <w:ind w:left="6740"/>
        <w:spacing w:after="0" w:line="235" w:lineRule="auto"/>
        <w:rPr>
          <w:sz w:val="20"/>
          <w:szCs w:val="20"/>
          <w:color w:val="auto"/>
        </w:rPr>
      </w:pPr>
      <w:r>
        <w:rPr>
          <w:rFonts w:ascii="Arial" w:cs="Arial" w:eastAsia="Arial" w:hAnsi="Arial"/>
          <w:sz w:val="18"/>
          <w:szCs w:val="18"/>
          <w:color w:val="auto"/>
        </w:rPr>
        <w:t>John C. Hockin</w:t>
      </w:r>
    </w:p>
    <w:p>
      <w:pPr>
        <w:ind w:left="6740"/>
        <w:spacing w:after="0" w:line="235" w:lineRule="auto"/>
        <w:rPr>
          <w:sz w:val="20"/>
          <w:szCs w:val="20"/>
          <w:color w:val="auto"/>
        </w:rPr>
      </w:pPr>
      <w:r>
        <w:rPr>
          <w:rFonts w:ascii="Arial" w:cs="Arial" w:eastAsia="Arial" w:hAnsi="Arial"/>
          <w:sz w:val="18"/>
          <w:szCs w:val="18"/>
          <w:color w:val="auto"/>
        </w:rPr>
        <w:t>Patricia H. Mueller</w:t>
      </w:r>
    </w:p>
    <w:p>
      <w:pPr>
        <w:ind w:left="6740"/>
        <w:spacing w:after="0"/>
        <w:rPr>
          <w:sz w:val="20"/>
          <w:szCs w:val="20"/>
          <w:color w:val="auto"/>
        </w:rPr>
      </w:pPr>
      <w:r>
        <w:rPr>
          <w:rFonts w:ascii="Arial" w:cs="Arial" w:eastAsia="Arial" w:hAnsi="Arial"/>
          <w:sz w:val="18"/>
          <w:szCs w:val="18"/>
          <w:color w:val="auto"/>
        </w:rPr>
        <w:t>Jennifer Storms</w:t>
      </w:r>
    </w:p>
    <w:p>
      <w:pPr>
        <w:spacing w:after="0" w:line="13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99"/>
        <w:spacing w:after="0"/>
        <w:rPr>
          <w:sz w:val="20"/>
          <w:szCs w:val="20"/>
          <w:color w:val="auto"/>
        </w:rPr>
      </w:pPr>
      <w:r>
        <w:rPr>
          <w:rFonts w:ascii="Arial" w:cs="Arial" w:eastAsia="Arial" w:hAnsi="Arial"/>
          <w:sz w:val="40"/>
          <w:szCs w:val="40"/>
          <w:color w:val="003B71"/>
        </w:rPr>
        <w:t>2020 Summary Compensation Table</w:t>
      </w:r>
    </w:p>
    <w:p>
      <w:pPr>
        <w:spacing w:after="0" w:line="208"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sets forth information concerning all compensation that we paid or accrued during fiscal 2020, 2019, and 2018 to or for each of our NEOs.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center"/>
              <w:ind w:right="41"/>
              <w:spacing w:after="0"/>
              <w:rPr>
                <w:sz w:val="20"/>
                <w:szCs w:val="20"/>
                <w:color w:val="auto"/>
              </w:rPr>
            </w:pPr>
            <w:r>
              <w:rPr>
                <w:rFonts w:ascii="Arial" w:cs="Arial" w:eastAsia="Arial" w:hAnsi="Arial"/>
                <w:sz w:val="14"/>
                <w:szCs w:val="14"/>
                <w:b w:val="1"/>
                <w:bCs w:val="1"/>
                <w:color w:val="003B71"/>
              </w:rPr>
              <w:t>Non-Equity</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center"/>
              <w:ind w:right="41"/>
              <w:spacing w:after="0"/>
              <w:rPr>
                <w:sz w:val="20"/>
                <w:szCs w:val="20"/>
                <w:color w:val="auto"/>
              </w:rPr>
            </w:pPr>
            <w:r>
              <w:rPr>
                <w:rFonts w:ascii="Arial" w:cs="Arial" w:eastAsia="Arial" w:hAnsi="Arial"/>
                <w:sz w:val="14"/>
                <w:szCs w:val="14"/>
                <w:b w:val="1"/>
                <w:bCs w:val="1"/>
                <w:color w:val="003B71"/>
              </w:rPr>
              <w:t>Incentive</w:t>
            </w: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003B71"/>
                <w:w w:val="99"/>
              </w:rPr>
              <w:t>Stock</w:t>
            </w: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003B71"/>
              </w:rPr>
              <w:t>Option</w:t>
            </w:r>
          </w:p>
        </w:tc>
        <w:tc>
          <w:tcPr>
            <w:tcW w:w="1460" w:type="dxa"/>
            <w:vAlign w:val="bottom"/>
          </w:tcPr>
          <w:p>
            <w:pPr>
              <w:jc w:val="center"/>
              <w:ind w:right="41"/>
              <w:spacing w:after="0"/>
              <w:rPr>
                <w:sz w:val="20"/>
                <w:szCs w:val="20"/>
                <w:color w:val="auto"/>
              </w:rPr>
            </w:pPr>
            <w:r>
              <w:rPr>
                <w:rFonts w:ascii="Arial" w:cs="Arial" w:eastAsia="Arial" w:hAnsi="Arial"/>
                <w:sz w:val="14"/>
                <w:szCs w:val="14"/>
                <w:b w:val="1"/>
                <w:bCs w:val="1"/>
                <w:color w:val="003B71"/>
              </w:rPr>
              <w:t>Plan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3B71"/>
              </w:rPr>
              <w:t>All Other</w:t>
            </w:r>
          </w:p>
        </w:tc>
        <w:tc>
          <w:tcPr>
            <w:tcW w:w="98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003B71"/>
              </w:rPr>
              <w:t>Salary</w:t>
            </w:r>
          </w:p>
        </w:tc>
        <w:tc>
          <w:tcPr>
            <w:tcW w:w="800" w:type="dxa"/>
            <w:vAlign w:val="bottom"/>
          </w:tcPr>
          <w:p>
            <w:pPr>
              <w:jc w:val="right"/>
              <w:ind w:right="160"/>
              <w:spacing w:after="0"/>
              <w:rPr>
                <w:sz w:val="20"/>
                <w:szCs w:val="20"/>
                <w:color w:val="auto"/>
              </w:rPr>
            </w:pPr>
            <w:r>
              <w:rPr>
                <w:rFonts w:ascii="Arial" w:cs="Arial" w:eastAsia="Arial" w:hAnsi="Arial"/>
                <w:sz w:val="14"/>
                <w:szCs w:val="14"/>
                <w:b w:val="1"/>
                <w:bCs w:val="1"/>
                <w:color w:val="003B71"/>
              </w:rPr>
              <w:t>Bonus</w:t>
            </w:r>
          </w:p>
        </w:tc>
        <w:tc>
          <w:tcPr>
            <w:tcW w:w="940" w:type="dxa"/>
            <w:vAlign w:val="bottom"/>
          </w:tcPr>
          <w:p>
            <w:pPr>
              <w:jc w:val="center"/>
              <w:ind w:right="21"/>
              <w:spacing w:after="0"/>
              <w:rPr>
                <w:sz w:val="20"/>
                <w:szCs w:val="20"/>
                <w:color w:val="auto"/>
              </w:rPr>
            </w:pPr>
            <w:r>
              <w:rPr>
                <w:rFonts w:ascii="Arial" w:cs="Arial" w:eastAsia="Arial" w:hAnsi="Arial"/>
                <w:sz w:val="14"/>
                <w:szCs w:val="14"/>
                <w:b w:val="1"/>
                <w:bCs w:val="1"/>
                <w:color w:val="003B71"/>
              </w:rPr>
              <w:t>Awards</w:t>
            </w: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003B71"/>
              </w:rPr>
              <w:t>Awards</w:t>
            </w:r>
          </w:p>
        </w:tc>
        <w:tc>
          <w:tcPr>
            <w:tcW w:w="1460" w:type="dxa"/>
            <w:vAlign w:val="bottom"/>
          </w:tcPr>
          <w:p>
            <w:pPr>
              <w:jc w:val="center"/>
              <w:ind w:right="21"/>
              <w:spacing w:after="0"/>
              <w:rPr>
                <w:sz w:val="20"/>
                <w:szCs w:val="20"/>
                <w:color w:val="auto"/>
              </w:rPr>
            </w:pPr>
            <w:r>
              <w:rPr>
                <w:rFonts w:ascii="Arial" w:cs="Arial" w:eastAsia="Arial" w:hAnsi="Arial"/>
                <w:sz w:val="14"/>
                <w:szCs w:val="14"/>
                <w:b w:val="1"/>
                <w:bCs w:val="1"/>
                <w:color w:val="003B71"/>
              </w:rPr>
              <w:t>Compensation</w:t>
            </w:r>
          </w:p>
        </w:tc>
        <w:tc>
          <w:tcPr>
            <w:tcW w:w="1480" w:type="dxa"/>
            <w:vAlign w:val="bottom"/>
          </w:tcPr>
          <w:p>
            <w:pPr>
              <w:jc w:val="center"/>
              <w:ind w:left="1"/>
              <w:spacing w:after="0"/>
              <w:rPr>
                <w:sz w:val="20"/>
                <w:szCs w:val="20"/>
                <w:color w:val="auto"/>
              </w:rPr>
            </w:pPr>
            <w:r>
              <w:rPr>
                <w:rFonts w:ascii="Arial" w:cs="Arial" w:eastAsia="Arial" w:hAnsi="Arial"/>
                <w:sz w:val="14"/>
                <w:szCs w:val="14"/>
                <w:b w:val="1"/>
                <w:bCs w:val="1"/>
                <w:color w:val="003B71"/>
              </w:rPr>
              <w:t>Compensation</w:t>
            </w:r>
          </w:p>
        </w:tc>
        <w:tc>
          <w:tcPr>
            <w:tcW w:w="980" w:type="dxa"/>
            <w:vAlign w:val="bottom"/>
          </w:tcPr>
          <w:p>
            <w:pPr>
              <w:jc w:val="right"/>
              <w:ind w:right="240"/>
              <w:spacing w:after="0"/>
              <w:rPr>
                <w:sz w:val="20"/>
                <w:szCs w:val="20"/>
                <w:color w:val="auto"/>
              </w:rPr>
            </w:pPr>
            <w:r>
              <w:rPr>
                <w:rFonts w:ascii="Arial" w:cs="Arial" w:eastAsia="Arial" w:hAnsi="Arial"/>
                <w:sz w:val="14"/>
                <w:szCs w:val="14"/>
                <w:b w:val="1"/>
                <w:bCs w:val="1"/>
                <w:color w:val="003B71"/>
              </w:rPr>
              <w:t>Total</w:t>
            </w:r>
          </w:p>
        </w:tc>
      </w:tr>
      <w:tr>
        <w:trPr>
          <w:trHeight w:val="189"/>
        </w:trPr>
        <w:tc>
          <w:tcPr>
            <w:tcW w:w="288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 and Principal Position</w:t>
            </w:r>
          </w:p>
        </w:tc>
        <w:tc>
          <w:tcPr>
            <w:tcW w:w="680" w:type="dxa"/>
            <w:vAlign w:val="bottom"/>
            <w:tcBorders>
              <w:bottom w:val="single" w:sz="8" w:color="003B71"/>
            </w:tcBorders>
          </w:tcPr>
          <w:p>
            <w:pPr>
              <w:jc w:val="right"/>
              <w:ind w:right="120"/>
              <w:spacing w:after="0"/>
              <w:rPr>
                <w:sz w:val="20"/>
                <w:szCs w:val="20"/>
                <w:color w:val="auto"/>
              </w:rPr>
            </w:pPr>
            <w:r>
              <w:rPr>
                <w:rFonts w:ascii="Arial" w:cs="Arial" w:eastAsia="Arial" w:hAnsi="Arial"/>
                <w:sz w:val="14"/>
                <w:szCs w:val="14"/>
                <w:b w:val="1"/>
                <w:bCs w:val="1"/>
                <w:color w:val="003B71"/>
              </w:rPr>
              <w:t>Year</w:t>
            </w:r>
          </w:p>
        </w:tc>
        <w:tc>
          <w:tcPr>
            <w:tcW w:w="800" w:type="dxa"/>
            <w:vAlign w:val="bottom"/>
            <w:tcBorders>
              <w:bottom w:val="single" w:sz="8" w:color="003B71"/>
            </w:tcBorders>
          </w:tcPr>
          <w:p>
            <w:pPr>
              <w:ind w:left="160"/>
              <w:spacing w:after="0"/>
              <w:rPr>
                <w:sz w:val="20"/>
                <w:szCs w:val="20"/>
                <w:color w:val="auto"/>
              </w:rPr>
            </w:pPr>
            <w:r>
              <w:rPr>
                <w:rFonts w:ascii="Arial" w:cs="Arial" w:eastAsia="Arial" w:hAnsi="Arial"/>
                <w:sz w:val="14"/>
                <w:szCs w:val="14"/>
                <w:b w:val="1"/>
                <w:bCs w:val="1"/>
                <w:color w:val="003B71"/>
              </w:rPr>
              <w:t>($)(1)</w:t>
            </w:r>
          </w:p>
        </w:tc>
        <w:tc>
          <w:tcPr>
            <w:tcW w:w="800" w:type="dxa"/>
            <w:vAlign w:val="bottom"/>
            <w:tcBorders>
              <w:bottom w:val="single" w:sz="8" w:color="003B71"/>
            </w:tcBorders>
          </w:tcPr>
          <w:p>
            <w:pPr>
              <w:jc w:val="right"/>
              <w:ind w:right="300"/>
              <w:spacing w:after="0"/>
              <w:rPr>
                <w:sz w:val="20"/>
                <w:szCs w:val="20"/>
                <w:color w:val="auto"/>
              </w:rPr>
            </w:pPr>
            <w:r>
              <w:rPr>
                <w:rFonts w:ascii="Arial" w:cs="Arial" w:eastAsia="Arial" w:hAnsi="Arial"/>
                <w:sz w:val="14"/>
                <w:szCs w:val="14"/>
                <w:b w:val="1"/>
                <w:bCs w:val="1"/>
                <w:color w:val="003B71"/>
              </w:rPr>
              <w:t>($)</w:t>
            </w:r>
          </w:p>
        </w:tc>
        <w:tc>
          <w:tcPr>
            <w:tcW w:w="940" w:type="dxa"/>
            <w:vAlign w:val="bottom"/>
            <w:tcBorders>
              <w:bottom w:val="single" w:sz="8" w:color="003B71"/>
            </w:tcBorders>
          </w:tcPr>
          <w:p>
            <w:pPr>
              <w:jc w:val="center"/>
              <w:ind w:right="41"/>
              <w:spacing w:after="0"/>
              <w:rPr>
                <w:sz w:val="20"/>
                <w:szCs w:val="20"/>
                <w:color w:val="auto"/>
              </w:rPr>
            </w:pPr>
            <w:r>
              <w:rPr>
                <w:rFonts w:ascii="Arial" w:cs="Arial" w:eastAsia="Arial" w:hAnsi="Arial"/>
                <w:sz w:val="14"/>
                <w:szCs w:val="14"/>
                <w:b w:val="1"/>
                <w:bCs w:val="1"/>
                <w:color w:val="003B71"/>
                <w:w w:val="99"/>
              </w:rPr>
              <w:t>($)(2)</w:t>
            </w:r>
          </w:p>
        </w:tc>
        <w:tc>
          <w:tcPr>
            <w:tcW w:w="1000" w:type="dxa"/>
            <w:vAlign w:val="bottom"/>
            <w:tcBorders>
              <w:bottom w:val="single" w:sz="8" w:color="003B71"/>
            </w:tcBorders>
          </w:tcPr>
          <w:p>
            <w:pPr>
              <w:jc w:val="center"/>
              <w:ind w:right="121"/>
              <w:spacing w:after="0"/>
              <w:rPr>
                <w:sz w:val="20"/>
                <w:szCs w:val="20"/>
                <w:color w:val="auto"/>
              </w:rPr>
            </w:pPr>
            <w:r>
              <w:rPr>
                <w:rFonts w:ascii="Arial" w:cs="Arial" w:eastAsia="Arial" w:hAnsi="Arial"/>
                <w:sz w:val="14"/>
                <w:szCs w:val="14"/>
                <w:b w:val="1"/>
                <w:bCs w:val="1"/>
                <w:color w:val="003B71"/>
              </w:rPr>
              <w:t>($)(3)</w:t>
            </w:r>
          </w:p>
        </w:tc>
        <w:tc>
          <w:tcPr>
            <w:tcW w:w="1460" w:type="dxa"/>
            <w:vAlign w:val="bottom"/>
            <w:tcBorders>
              <w:bottom w:val="single" w:sz="8" w:color="003B71"/>
            </w:tcBorders>
          </w:tcPr>
          <w:p>
            <w:pPr>
              <w:jc w:val="center"/>
              <w:ind w:right="41"/>
              <w:spacing w:after="0"/>
              <w:rPr>
                <w:sz w:val="20"/>
                <w:szCs w:val="20"/>
                <w:color w:val="auto"/>
              </w:rPr>
            </w:pPr>
            <w:r>
              <w:rPr>
                <w:rFonts w:ascii="Arial" w:cs="Arial" w:eastAsia="Arial" w:hAnsi="Arial"/>
                <w:sz w:val="14"/>
                <w:szCs w:val="14"/>
                <w:b w:val="1"/>
                <w:bCs w:val="1"/>
                <w:color w:val="003B71"/>
                <w:w w:val="99"/>
              </w:rPr>
              <w:t>($)(4)</w:t>
            </w:r>
          </w:p>
        </w:tc>
        <w:tc>
          <w:tcPr>
            <w:tcW w:w="148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w w:val="99"/>
              </w:rPr>
              <w:t>($)(5)</w:t>
            </w:r>
          </w:p>
        </w:tc>
        <w:tc>
          <w:tcPr>
            <w:tcW w:w="980" w:type="dxa"/>
            <w:vAlign w:val="bottom"/>
            <w:tcBorders>
              <w:bottom w:val="single" w:sz="8" w:color="003B71"/>
            </w:tcBorders>
          </w:tcPr>
          <w:p>
            <w:pPr>
              <w:jc w:val="right"/>
              <w:ind w:right="320"/>
              <w:spacing w:after="0"/>
              <w:rPr>
                <w:sz w:val="20"/>
                <w:szCs w:val="20"/>
                <w:color w:val="auto"/>
              </w:rPr>
            </w:pPr>
            <w:r>
              <w:rPr>
                <w:rFonts w:ascii="Arial" w:cs="Arial" w:eastAsia="Arial" w:hAnsi="Arial"/>
                <w:sz w:val="14"/>
                <w:szCs w:val="14"/>
                <w:b w:val="1"/>
                <w:bCs w:val="1"/>
                <w:color w:val="003B71"/>
              </w:rPr>
              <w:t>($)</w:t>
            </w:r>
          </w:p>
        </w:tc>
      </w:tr>
      <w:tr>
        <w:trPr>
          <w:trHeight w:val="183"/>
        </w:trPr>
        <w:tc>
          <w:tcPr>
            <w:tcW w:w="288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b w:val="1"/>
                <w:bCs w:val="1"/>
                <w:color w:val="auto"/>
              </w:rPr>
              <w:t>Brian A. Jenkins</w:t>
            </w:r>
          </w:p>
        </w:tc>
        <w:tc>
          <w:tcPr>
            <w:tcW w:w="680" w:type="dxa"/>
            <w:vAlign w:val="bottom"/>
            <w:shd w:val="clear" w:color="auto" w:fill="E5E5E5"/>
          </w:tcPr>
          <w:p>
            <w:pPr>
              <w:jc w:val="right"/>
              <w:ind w:right="20"/>
              <w:spacing w:after="0" w:line="183" w:lineRule="exact"/>
              <w:rPr>
                <w:sz w:val="20"/>
                <w:szCs w:val="20"/>
                <w:color w:val="auto"/>
              </w:rPr>
            </w:pPr>
            <w:r>
              <w:rPr>
                <w:rFonts w:ascii="Arial" w:cs="Arial" w:eastAsia="Arial" w:hAnsi="Arial"/>
                <w:sz w:val="16"/>
                <w:szCs w:val="16"/>
                <w:color w:val="auto"/>
              </w:rPr>
              <w:t>2020</w:t>
            </w:r>
          </w:p>
        </w:tc>
        <w:tc>
          <w:tcPr>
            <w:tcW w:w="800" w:type="dxa"/>
            <w:vAlign w:val="bottom"/>
            <w:shd w:val="clear" w:color="auto" w:fill="E5E5E5"/>
          </w:tcPr>
          <w:p>
            <w:pPr>
              <w:ind w:left="100"/>
              <w:spacing w:after="0" w:line="183" w:lineRule="exact"/>
              <w:rPr>
                <w:sz w:val="20"/>
                <w:szCs w:val="20"/>
                <w:color w:val="auto"/>
              </w:rPr>
            </w:pPr>
            <w:r>
              <w:rPr>
                <w:rFonts w:ascii="Arial" w:cs="Arial" w:eastAsia="Arial" w:hAnsi="Arial"/>
                <w:sz w:val="16"/>
                <w:szCs w:val="16"/>
                <w:color w:val="auto"/>
              </w:rPr>
              <w:t>690,000</w:t>
            </w:r>
          </w:p>
        </w:tc>
        <w:tc>
          <w:tcPr>
            <w:tcW w:w="800" w:type="dxa"/>
            <w:vAlign w:val="bottom"/>
            <w:shd w:val="clear" w:color="auto" w:fill="E5E5E5"/>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1"/>
              <w:spacing w:after="0" w:line="183" w:lineRule="exact"/>
              <w:rPr>
                <w:sz w:val="20"/>
                <w:szCs w:val="20"/>
                <w:color w:val="auto"/>
              </w:rPr>
            </w:pPr>
            <w:r>
              <w:rPr>
                <w:rFonts w:ascii="Arial" w:cs="Arial" w:eastAsia="Arial" w:hAnsi="Arial"/>
                <w:sz w:val="16"/>
                <w:szCs w:val="16"/>
                <w:color w:val="auto"/>
              </w:rPr>
              <w:t>2,539,146</w:t>
            </w:r>
          </w:p>
        </w:tc>
        <w:tc>
          <w:tcPr>
            <w:tcW w:w="1000" w:type="dxa"/>
            <w:vAlign w:val="bottom"/>
            <w:shd w:val="clear" w:color="auto" w:fill="E5E5E5"/>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381"/>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E5E5E5"/>
          </w:tcPr>
          <w:p>
            <w:pPr>
              <w:jc w:val="right"/>
              <w:ind w:right="361"/>
              <w:spacing w:after="0" w:line="183" w:lineRule="exact"/>
              <w:rPr>
                <w:sz w:val="20"/>
                <w:szCs w:val="20"/>
                <w:color w:val="auto"/>
              </w:rPr>
            </w:pPr>
            <w:r>
              <w:rPr>
                <w:rFonts w:ascii="Arial" w:cs="Arial" w:eastAsia="Arial" w:hAnsi="Arial"/>
                <w:sz w:val="16"/>
                <w:szCs w:val="16"/>
                <w:color w:val="auto"/>
              </w:rPr>
              <w:t>31,800</w:t>
            </w:r>
          </w:p>
        </w:tc>
        <w:tc>
          <w:tcPr>
            <w:tcW w:w="98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3,260,946</w:t>
            </w:r>
          </w:p>
        </w:tc>
      </w:tr>
      <w:tr>
        <w:trPr>
          <w:trHeight w:val="189"/>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(CEO)</w:t>
            </w:r>
          </w:p>
        </w:tc>
        <w:tc>
          <w:tcPr>
            <w:tcW w:w="6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2019</w:t>
            </w:r>
          </w:p>
        </w:tc>
        <w:tc>
          <w:tcPr>
            <w:tcW w:w="8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772,500</w:t>
            </w:r>
          </w:p>
        </w:tc>
        <w:tc>
          <w:tcPr>
            <w:tcW w:w="8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721,866</w:t>
            </w:r>
          </w:p>
        </w:tc>
        <w:tc>
          <w:tcPr>
            <w:tcW w:w="100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1,031,242</w:t>
            </w:r>
          </w:p>
        </w:tc>
        <w:tc>
          <w:tcPr>
            <w:tcW w:w="14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475,578</w:t>
            </w:r>
          </w:p>
        </w:tc>
        <w:tc>
          <w:tcPr>
            <w:tcW w:w="148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42,982</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3,044,168</w:t>
            </w:r>
          </w:p>
        </w:tc>
      </w:tr>
      <w:tr>
        <w:trPr>
          <w:trHeight w:val="189"/>
        </w:trPr>
        <w:tc>
          <w:tcPr>
            <w:tcW w:w="2880" w:type="dxa"/>
            <w:vAlign w:val="bottom"/>
            <w:shd w:val="clear" w:color="auto" w:fill="E5E5E5"/>
          </w:tcPr>
          <w:p>
            <w:pPr>
              <w:spacing w:after="0"/>
              <w:rPr>
                <w:sz w:val="16"/>
                <w:szCs w:val="16"/>
                <w:color w:val="auto"/>
              </w:rPr>
            </w:pPr>
          </w:p>
        </w:tc>
        <w:tc>
          <w:tcPr>
            <w:tcW w:w="6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2018</w:t>
            </w:r>
          </w:p>
        </w:tc>
        <w:tc>
          <w:tcPr>
            <w:tcW w:w="8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610,281</w:t>
            </w:r>
          </w:p>
        </w:tc>
        <w:tc>
          <w:tcPr>
            <w:tcW w:w="8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2,224,979</w:t>
            </w:r>
          </w:p>
        </w:tc>
        <w:tc>
          <w:tcPr>
            <w:tcW w:w="100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499,999</w:t>
            </w:r>
          </w:p>
        </w:tc>
        <w:tc>
          <w:tcPr>
            <w:tcW w:w="14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720,667</w:t>
            </w:r>
          </w:p>
        </w:tc>
        <w:tc>
          <w:tcPr>
            <w:tcW w:w="148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42,234</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4,098,160</w:t>
            </w:r>
          </w:p>
        </w:tc>
      </w:tr>
      <w:tr>
        <w:trPr>
          <w:trHeight w:val="191"/>
        </w:trPr>
        <w:tc>
          <w:tcPr>
            <w:tcW w:w="2880" w:type="dxa"/>
            <w:vAlign w:val="bottom"/>
          </w:tcPr>
          <w:p>
            <w:pPr>
              <w:ind w:left="60"/>
              <w:spacing w:after="0"/>
              <w:rPr>
                <w:sz w:val="20"/>
                <w:szCs w:val="20"/>
                <w:color w:val="auto"/>
              </w:rPr>
            </w:pPr>
            <w:r>
              <w:rPr>
                <w:rFonts w:ascii="Arial" w:cs="Arial" w:eastAsia="Arial" w:hAnsi="Arial"/>
                <w:sz w:val="16"/>
                <w:szCs w:val="16"/>
                <w:b w:val="1"/>
                <w:bCs w:val="1"/>
                <w:color w:val="auto"/>
              </w:rPr>
              <w:t>Scott Bowman</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2020</w:t>
            </w:r>
          </w:p>
        </w:tc>
        <w:tc>
          <w:tcPr>
            <w:tcW w:w="800" w:type="dxa"/>
            <w:vAlign w:val="bottom"/>
          </w:tcPr>
          <w:p>
            <w:pPr>
              <w:ind w:left="100"/>
              <w:spacing w:after="0"/>
              <w:rPr>
                <w:sz w:val="20"/>
                <w:szCs w:val="20"/>
                <w:color w:val="auto"/>
              </w:rPr>
            </w:pPr>
            <w:r>
              <w:rPr>
                <w:rFonts w:ascii="Arial" w:cs="Arial" w:eastAsia="Arial" w:hAnsi="Arial"/>
                <w:sz w:val="16"/>
                <w:szCs w:val="16"/>
                <w:color w:val="auto"/>
              </w:rPr>
              <w:t>402,500</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784,705</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61"/>
              <w:spacing w:after="0"/>
              <w:rPr>
                <w:sz w:val="20"/>
                <w:szCs w:val="20"/>
                <w:color w:val="auto"/>
              </w:rPr>
            </w:pPr>
            <w:r>
              <w:rPr>
                <w:rFonts w:ascii="Arial" w:cs="Arial" w:eastAsia="Arial" w:hAnsi="Arial"/>
                <w:sz w:val="16"/>
                <w:szCs w:val="16"/>
                <w:color w:val="auto"/>
              </w:rPr>
              <w:t>78,534</w:t>
            </w:r>
          </w:p>
        </w:tc>
        <w:tc>
          <w:tcPr>
            <w:tcW w:w="980" w:type="dxa"/>
            <w:vAlign w:val="bottom"/>
          </w:tcPr>
          <w:p>
            <w:pPr>
              <w:jc w:val="right"/>
              <w:spacing w:after="0"/>
              <w:rPr>
                <w:sz w:val="20"/>
                <w:szCs w:val="20"/>
                <w:color w:val="auto"/>
              </w:rPr>
            </w:pPr>
            <w:r>
              <w:rPr>
                <w:rFonts w:ascii="Arial" w:cs="Arial" w:eastAsia="Arial" w:hAnsi="Arial"/>
                <w:sz w:val="16"/>
                <w:szCs w:val="16"/>
                <w:color w:val="auto"/>
              </w:rPr>
              <w:t>1,265,739</w:t>
            </w:r>
          </w:p>
        </w:tc>
      </w:tr>
      <w:tr>
        <w:trPr>
          <w:trHeight w:val="198"/>
        </w:trPr>
        <w:tc>
          <w:tcPr>
            <w:tcW w:w="2880" w:type="dxa"/>
            <w:vAlign w:val="bottom"/>
          </w:tcPr>
          <w:p>
            <w:pPr>
              <w:ind w:left="60"/>
              <w:spacing w:after="0"/>
              <w:rPr>
                <w:sz w:val="20"/>
                <w:szCs w:val="20"/>
                <w:color w:val="auto"/>
              </w:rPr>
            </w:pPr>
            <w:r>
              <w:rPr>
                <w:rFonts w:ascii="Arial" w:cs="Arial" w:eastAsia="Arial" w:hAnsi="Arial"/>
                <w:sz w:val="16"/>
                <w:szCs w:val="16"/>
                <w:color w:val="auto"/>
              </w:rPr>
              <w:t>(CFO)</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2019</w:t>
            </w:r>
          </w:p>
        </w:tc>
        <w:tc>
          <w:tcPr>
            <w:tcW w:w="800" w:type="dxa"/>
            <w:vAlign w:val="bottom"/>
          </w:tcPr>
          <w:p>
            <w:pPr>
              <w:ind w:left="100"/>
              <w:spacing w:after="0"/>
              <w:rPr>
                <w:sz w:val="20"/>
                <w:szCs w:val="20"/>
                <w:color w:val="auto"/>
              </w:rPr>
            </w:pPr>
            <w:r>
              <w:rPr>
                <w:rFonts w:ascii="Arial" w:cs="Arial" w:eastAsia="Arial" w:hAnsi="Arial"/>
                <w:sz w:val="16"/>
                <w:szCs w:val="16"/>
                <w:color w:val="auto"/>
              </w:rPr>
              <w:t>341,250</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50,000</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259,212</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227,486</w:t>
            </w:r>
          </w:p>
        </w:tc>
        <w:tc>
          <w:tcPr>
            <w:tcW w:w="1460" w:type="dxa"/>
            <w:vAlign w:val="bottom"/>
          </w:tcPr>
          <w:p>
            <w:pPr>
              <w:jc w:val="right"/>
              <w:ind w:right="381"/>
              <w:spacing w:after="0"/>
              <w:rPr>
                <w:sz w:val="20"/>
                <w:szCs w:val="20"/>
                <w:color w:val="auto"/>
              </w:rPr>
            </w:pPr>
            <w:r>
              <w:rPr>
                <w:rFonts w:ascii="Arial" w:cs="Arial" w:eastAsia="Arial" w:hAnsi="Arial"/>
                <w:sz w:val="16"/>
                <w:szCs w:val="16"/>
                <w:color w:val="auto"/>
              </w:rPr>
              <w:t>129,973</w:t>
            </w:r>
          </w:p>
        </w:tc>
        <w:tc>
          <w:tcPr>
            <w:tcW w:w="1480" w:type="dxa"/>
            <w:vAlign w:val="bottom"/>
          </w:tcPr>
          <w:p>
            <w:pPr>
              <w:jc w:val="right"/>
              <w:ind w:right="361"/>
              <w:spacing w:after="0"/>
              <w:rPr>
                <w:sz w:val="20"/>
                <w:szCs w:val="20"/>
                <w:color w:val="auto"/>
              </w:rPr>
            </w:pPr>
            <w:r>
              <w:rPr>
                <w:rFonts w:ascii="Arial" w:cs="Arial" w:eastAsia="Arial" w:hAnsi="Arial"/>
                <w:sz w:val="16"/>
                <w:szCs w:val="16"/>
                <w:color w:val="auto"/>
              </w:rPr>
              <w:t>55,038</w:t>
            </w:r>
          </w:p>
        </w:tc>
        <w:tc>
          <w:tcPr>
            <w:tcW w:w="980" w:type="dxa"/>
            <w:vAlign w:val="bottom"/>
          </w:tcPr>
          <w:p>
            <w:pPr>
              <w:jc w:val="right"/>
              <w:spacing w:after="0"/>
              <w:rPr>
                <w:sz w:val="20"/>
                <w:szCs w:val="20"/>
                <w:color w:val="auto"/>
              </w:rPr>
            </w:pPr>
            <w:r>
              <w:rPr>
                <w:rFonts w:ascii="Arial" w:cs="Arial" w:eastAsia="Arial" w:hAnsi="Arial"/>
                <w:sz w:val="16"/>
                <w:szCs w:val="16"/>
                <w:color w:val="auto"/>
              </w:rPr>
              <w:t>1,062,959</w:t>
            </w:r>
          </w:p>
        </w:tc>
      </w:tr>
      <w:tr>
        <w:trPr>
          <w:trHeight w:val="192"/>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Margo L. Manning</w:t>
            </w:r>
          </w:p>
        </w:tc>
        <w:tc>
          <w:tcPr>
            <w:tcW w:w="6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2020</w:t>
            </w:r>
          </w:p>
        </w:tc>
        <w:tc>
          <w:tcPr>
            <w:tcW w:w="8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411,346</w:t>
            </w:r>
          </w:p>
        </w:tc>
        <w:tc>
          <w:tcPr>
            <w:tcW w:w="8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1,053,158</w:t>
            </w:r>
          </w:p>
        </w:tc>
        <w:tc>
          <w:tcPr>
            <w:tcW w:w="100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26,073</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1,490,577</w:t>
            </w:r>
          </w:p>
        </w:tc>
      </w:tr>
      <w:tr>
        <w:trPr>
          <w:trHeight w:val="189"/>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(SVP and COO)</w:t>
            </w:r>
          </w:p>
        </w:tc>
        <w:tc>
          <w:tcPr>
            <w:tcW w:w="6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2019</w:t>
            </w:r>
          </w:p>
        </w:tc>
        <w:tc>
          <w:tcPr>
            <w:tcW w:w="8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458,750</w:t>
            </w:r>
          </w:p>
        </w:tc>
        <w:tc>
          <w:tcPr>
            <w:tcW w:w="8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246,359</w:t>
            </w:r>
          </w:p>
        </w:tc>
        <w:tc>
          <w:tcPr>
            <w:tcW w:w="100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351,986</w:t>
            </w:r>
          </w:p>
        </w:tc>
        <w:tc>
          <w:tcPr>
            <w:tcW w:w="14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282,687</w:t>
            </w:r>
          </w:p>
        </w:tc>
        <w:tc>
          <w:tcPr>
            <w:tcW w:w="148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33,276</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1,373,058</w:t>
            </w:r>
          </w:p>
        </w:tc>
      </w:tr>
      <w:tr>
        <w:trPr>
          <w:trHeight w:val="189"/>
        </w:trPr>
        <w:tc>
          <w:tcPr>
            <w:tcW w:w="2880" w:type="dxa"/>
            <w:vAlign w:val="bottom"/>
            <w:shd w:val="clear" w:color="auto" w:fill="E5E5E5"/>
          </w:tcPr>
          <w:p>
            <w:pPr>
              <w:spacing w:after="0"/>
              <w:rPr>
                <w:sz w:val="16"/>
                <w:szCs w:val="16"/>
                <w:color w:val="auto"/>
              </w:rPr>
            </w:pPr>
          </w:p>
        </w:tc>
        <w:tc>
          <w:tcPr>
            <w:tcW w:w="6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2018</w:t>
            </w:r>
          </w:p>
        </w:tc>
        <w:tc>
          <w:tcPr>
            <w:tcW w:w="8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433,750</w:t>
            </w:r>
          </w:p>
        </w:tc>
        <w:tc>
          <w:tcPr>
            <w:tcW w:w="8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262,478</w:t>
            </w:r>
          </w:p>
        </w:tc>
        <w:tc>
          <w:tcPr>
            <w:tcW w:w="100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374,999</w:t>
            </w:r>
          </w:p>
        </w:tc>
        <w:tc>
          <w:tcPr>
            <w:tcW w:w="14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320,767</w:t>
            </w:r>
          </w:p>
        </w:tc>
        <w:tc>
          <w:tcPr>
            <w:tcW w:w="148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32,896</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1,424,890</w:t>
            </w:r>
          </w:p>
        </w:tc>
      </w:tr>
      <w:tr>
        <w:trPr>
          <w:trHeight w:val="191"/>
        </w:trPr>
        <w:tc>
          <w:tcPr>
            <w:tcW w:w="2880" w:type="dxa"/>
            <w:vAlign w:val="bottom"/>
          </w:tcPr>
          <w:p>
            <w:pPr>
              <w:ind w:left="60"/>
              <w:spacing w:after="0"/>
              <w:rPr>
                <w:sz w:val="20"/>
                <w:szCs w:val="20"/>
                <w:color w:val="auto"/>
              </w:rPr>
            </w:pPr>
            <w:r>
              <w:rPr>
                <w:rFonts w:ascii="Arial" w:cs="Arial" w:eastAsia="Arial" w:hAnsi="Arial"/>
                <w:sz w:val="16"/>
                <w:szCs w:val="16"/>
                <w:b w:val="1"/>
                <w:bCs w:val="1"/>
                <w:color w:val="auto"/>
              </w:rPr>
              <w:t>John B. Mulleady</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2020</w:t>
            </w:r>
          </w:p>
        </w:tc>
        <w:tc>
          <w:tcPr>
            <w:tcW w:w="800" w:type="dxa"/>
            <w:vAlign w:val="bottom"/>
          </w:tcPr>
          <w:p>
            <w:pPr>
              <w:ind w:left="100"/>
              <w:spacing w:after="0"/>
              <w:rPr>
                <w:sz w:val="20"/>
                <w:szCs w:val="20"/>
                <w:color w:val="auto"/>
              </w:rPr>
            </w:pPr>
            <w:r>
              <w:rPr>
                <w:rFonts w:ascii="Arial" w:cs="Arial" w:eastAsia="Arial" w:hAnsi="Arial"/>
                <w:sz w:val="16"/>
                <w:szCs w:val="16"/>
                <w:color w:val="auto"/>
              </w:rPr>
              <w:t>364,461</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710,532</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61"/>
              <w:spacing w:after="0"/>
              <w:rPr>
                <w:sz w:val="20"/>
                <w:szCs w:val="20"/>
                <w:color w:val="auto"/>
              </w:rPr>
            </w:pPr>
            <w:r>
              <w:rPr>
                <w:rFonts w:ascii="Arial" w:cs="Arial" w:eastAsia="Arial" w:hAnsi="Arial"/>
                <w:sz w:val="16"/>
                <w:szCs w:val="16"/>
                <w:color w:val="auto"/>
              </w:rPr>
              <w:t>25,238</w:t>
            </w:r>
          </w:p>
        </w:tc>
        <w:tc>
          <w:tcPr>
            <w:tcW w:w="980" w:type="dxa"/>
            <w:vAlign w:val="bottom"/>
          </w:tcPr>
          <w:p>
            <w:pPr>
              <w:jc w:val="right"/>
              <w:spacing w:after="0"/>
              <w:rPr>
                <w:sz w:val="20"/>
                <w:szCs w:val="20"/>
                <w:color w:val="auto"/>
              </w:rPr>
            </w:pPr>
            <w:r>
              <w:rPr>
                <w:rFonts w:ascii="Arial" w:cs="Arial" w:eastAsia="Arial" w:hAnsi="Arial"/>
                <w:sz w:val="16"/>
                <w:szCs w:val="16"/>
                <w:color w:val="auto"/>
              </w:rPr>
              <w:t>1,100,231</w:t>
            </w:r>
          </w:p>
        </w:tc>
      </w:tr>
      <w:tr>
        <w:trPr>
          <w:trHeight w:val="189"/>
        </w:trPr>
        <w:tc>
          <w:tcPr>
            <w:tcW w:w="2880" w:type="dxa"/>
            <w:vAlign w:val="bottom"/>
          </w:tcPr>
          <w:p>
            <w:pPr>
              <w:ind w:left="60"/>
              <w:spacing w:after="0"/>
              <w:rPr>
                <w:sz w:val="20"/>
                <w:szCs w:val="20"/>
                <w:color w:val="auto"/>
              </w:rPr>
            </w:pPr>
            <w:r>
              <w:rPr>
                <w:rFonts w:ascii="Arial" w:cs="Arial" w:eastAsia="Arial" w:hAnsi="Arial"/>
                <w:sz w:val="16"/>
                <w:szCs w:val="16"/>
                <w:color w:val="auto"/>
              </w:rPr>
              <w:t>(SVP of Real Estate and</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2019</w:t>
            </w:r>
          </w:p>
        </w:tc>
        <w:tc>
          <w:tcPr>
            <w:tcW w:w="800" w:type="dxa"/>
            <w:vAlign w:val="bottom"/>
          </w:tcPr>
          <w:p>
            <w:pPr>
              <w:ind w:left="100"/>
              <w:spacing w:after="0"/>
              <w:rPr>
                <w:sz w:val="20"/>
                <w:szCs w:val="20"/>
                <w:color w:val="auto"/>
              </w:rPr>
            </w:pPr>
            <w:r>
              <w:rPr>
                <w:rFonts w:ascii="Arial" w:cs="Arial" w:eastAsia="Arial" w:hAnsi="Arial"/>
                <w:sz w:val="16"/>
                <w:szCs w:val="16"/>
                <w:color w:val="auto"/>
              </w:rPr>
              <w:t>412,000</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173,025</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247,199</w:t>
            </w:r>
          </w:p>
        </w:tc>
        <w:tc>
          <w:tcPr>
            <w:tcW w:w="1460" w:type="dxa"/>
            <w:vAlign w:val="bottom"/>
          </w:tcPr>
          <w:p>
            <w:pPr>
              <w:jc w:val="right"/>
              <w:ind w:right="381"/>
              <w:spacing w:after="0"/>
              <w:rPr>
                <w:sz w:val="20"/>
                <w:szCs w:val="20"/>
                <w:color w:val="auto"/>
              </w:rPr>
            </w:pPr>
            <w:r>
              <w:rPr>
                <w:rFonts w:ascii="Arial" w:cs="Arial" w:eastAsia="Arial" w:hAnsi="Arial"/>
                <w:sz w:val="16"/>
                <w:szCs w:val="16"/>
                <w:color w:val="auto"/>
              </w:rPr>
              <w:t>316,657</w:t>
            </w:r>
          </w:p>
        </w:tc>
        <w:tc>
          <w:tcPr>
            <w:tcW w:w="1480" w:type="dxa"/>
            <w:vAlign w:val="bottom"/>
          </w:tcPr>
          <w:p>
            <w:pPr>
              <w:jc w:val="right"/>
              <w:ind w:right="361"/>
              <w:spacing w:after="0"/>
              <w:rPr>
                <w:sz w:val="20"/>
                <w:szCs w:val="20"/>
                <w:color w:val="auto"/>
              </w:rPr>
            </w:pPr>
            <w:r>
              <w:rPr>
                <w:rFonts w:ascii="Arial" w:cs="Arial" w:eastAsia="Arial" w:hAnsi="Arial"/>
                <w:sz w:val="16"/>
                <w:szCs w:val="16"/>
                <w:color w:val="auto"/>
              </w:rPr>
              <w:t>26,400</w:t>
            </w:r>
          </w:p>
        </w:tc>
        <w:tc>
          <w:tcPr>
            <w:tcW w:w="980" w:type="dxa"/>
            <w:vAlign w:val="bottom"/>
          </w:tcPr>
          <w:p>
            <w:pPr>
              <w:jc w:val="right"/>
              <w:spacing w:after="0"/>
              <w:rPr>
                <w:sz w:val="20"/>
                <w:szCs w:val="20"/>
                <w:color w:val="auto"/>
              </w:rPr>
            </w:pPr>
            <w:r>
              <w:rPr>
                <w:rFonts w:ascii="Arial" w:cs="Arial" w:eastAsia="Arial" w:hAnsi="Arial"/>
                <w:sz w:val="16"/>
                <w:szCs w:val="16"/>
                <w:color w:val="auto"/>
              </w:rPr>
              <w:t>1,175,281</w:t>
            </w:r>
          </w:p>
        </w:tc>
      </w:tr>
      <w:tr>
        <w:trPr>
          <w:trHeight w:val="198"/>
        </w:trPr>
        <w:tc>
          <w:tcPr>
            <w:tcW w:w="2880" w:type="dxa"/>
            <w:vAlign w:val="bottom"/>
          </w:tcPr>
          <w:p>
            <w:pPr>
              <w:ind w:left="60"/>
              <w:spacing w:after="0"/>
              <w:rPr>
                <w:sz w:val="20"/>
                <w:szCs w:val="20"/>
                <w:color w:val="auto"/>
              </w:rPr>
            </w:pPr>
            <w:r>
              <w:rPr>
                <w:rFonts w:ascii="Arial" w:cs="Arial" w:eastAsia="Arial" w:hAnsi="Arial"/>
                <w:sz w:val="16"/>
                <w:szCs w:val="16"/>
                <w:color w:val="auto"/>
              </w:rPr>
              <w:t>Development)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2018</w:t>
            </w:r>
          </w:p>
        </w:tc>
        <w:tc>
          <w:tcPr>
            <w:tcW w:w="800" w:type="dxa"/>
            <w:vAlign w:val="bottom"/>
          </w:tcPr>
          <w:p>
            <w:pPr>
              <w:ind w:left="100"/>
              <w:spacing w:after="0"/>
              <w:rPr>
                <w:sz w:val="20"/>
                <w:szCs w:val="20"/>
                <w:color w:val="auto"/>
              </w:rPr>
            </w:pPr>
            <w:r>
              <w:rPr>
                <w:rFonts w:ascii="Arial" w:cs="Arial" w:eastAsia="Arial" w:hAnsi="Arial"/>
                <w:sz w:val="16"/>
                <w:szCs w:val="16"/>
                <w:color w:val="auto"/>
              </w:rPr>
              <w:t>409,001</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139,986</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199,987</w:t>
            </w:r>
          </w:p>
        </w:tc>
        <w:tc>
          <w:tcPr>
            <w:tcW w:w="1460" w:type="dxa"/>
            <w:vAlign w:val="bottom"/>
          </w:tcPr>
          <w:p>
            <w:pPr>
              <w:jc w:val="right"/>
              <w:ind w:right="381"/>
              <w:spacing w:after="0"/>
              <w:rPr>
                <w:sz w:val="20"/>
                <w:szCs w:val="20"/>
                <w:color w:val="auto"/>
              </w:rPr>
            </w:pPr>
            <w:r>
              <w:rPr>
                <w:rFonts w:ascii="Arial" w:cs="Arial" w:eastAsia="Arial" w:hAnsi="Arial"/>
                <w:sz w:val="16"/>
                <w:szCs w:val="16"/>
                <w:color w:val="auto"/>
              </w:rPr>
              <w:t>355,910</w:t>
            </w:r>
          </w:p>
        </w:tc>
        <w:tc>
          <w:tcPr>
            <w:tcW w:w="1480" w:type="dxa"/>
            <w:vAlign w:val="bottom"/>
          </w:tcPr>
          <w:p>
            <w:pPr>
              <w:jc w:val="right"/>
              <w:ind w:right="361"/>
              <w:spacing w:after="0"/>
              <w:rPr>
                <w:sz w:val="20"/>
                <w:szCs w:val="20"/>
                <w:color w:val="auto"/>
              </w:rPr>
            </w:pPr>
            <w:r>
              <w:rPr>
                <w:rFonts w:ascii="Arial" w:cs="Arial" w:eastAsia="Arial" w:hAnsi="Arial"/>
                <w:sz w:val="16"/>
                <w:szCs w:val="16"/>
                <w:color w:val="auto"/>
              </w:rPr>
              <w:t>26,382</w:t>
            </w:r>
          </w:p>
        </w:tc>
        <w:tc>
          <w:tcPr>
            <w:tcW w:w="980" w:type="dxa"/>
            <w:vAlign w:val="bottom"/>
          </w:tcPr>
          <w:p>
            <w:pPr>
              <w:jc w:val="right"/>
              <w:spacing w:after="0"/>
              <w:rPr>
                <w:sz w:val="20"/>
                <w:szCs w:val="20"/>
                <w:color w:val="auto"/>
              </w:rPr>
            </w:pPr>
            <w:r>
              <w:rPr>
                <w:rFonts w:ascii="Arial" w:cs="Arial" w:eastAsia="Arial" w:hAnsi="Arial"/>
                <w:sz w:val="16"/>
                <w:szCs w:val="16"/>
                <w:color w:val="auto"/>
              </w:rPr>
              <w:t>1,131,266</w:t>
            </w:r>
          </w:p>
        </w:tc>
      </w:tr>
      <w:tr>
        <w:trPr>
          <w:trHeight w:val="192"/>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b w:val="1"/>
                <w:bCs w:val="1"/>
                <w:color w:val="auto"/>
              </w:rPr>
              <w:t>Robert W. Edmund</w:t>
            </w:r>
          </w:p>
        </w:tc>
        <w:tc>
          <w:tcPr>
            <w:tcW w:w="6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2020</w:t>
            </w:r>
          </w:p>
        </w:tc>
        <w:tc>
          <w:tcPr>
            <w:tcW w:w="8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349,423</w:t>
            </w:r>
          </w:p>
        </w:tc>
        <w:tc>
          <w:tcPr>
            <w:tcW w:w="8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610,083</w:t>
            </w:r>
          </w:p>
        </w:tc>
        <w:tc>
          <w:tcPr>
            <w:tcW w:w="100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25,228</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984,734</w:t>
            </w:r>
          </w:p>
        </w:tc>
      </w:tr>
      <w:tr>
        <w:trPr>
          <w:trHeight w:val="189"/>
        </w:trPr>
        <w:tc>
          <w:tcPr>
            <w:tcW w:w="2880" w:type="dxa"/>
            <w:vAlign w:val="bottom"/>
            <w:shd w:val="clear" w:color="auto" w:fill="E5E5E5"/>
          </w:tcPr>
          <w:p>
            <w:pPr>
              <w:ind w:left="60"/>
              <w:spacing w:after="0"/>
              <w:rPr>
                <w:sz w:val="20"/>
                <w:szCs w:val="20"/>
                <w:color w:val="auto"/>
              </w:rPr>
            </w:pPr>
            <w:r>
              <w:rPr>
                <w:rFonts w:ascii="Arial" w:cs="Arial" w:eastAsia="Arial" w:hAnsi="Arial"/>
                <w:sz w:val="16"/>
                <w:szCs w:val="16"/>
                <w:color w:val="auto"/>
              </w:rPr>
              <w:t>(General Counsel, Secretary</w:t>
            </w:r>
          </w:p>
        </w:tc>
        <w:tc>
          <w:tcPr>
            <w:tcW w:w="68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2019</w:t>
            </w:r>
          </w:p>
        </w:tc>
        <w:tc>
          <w:tcPr>
            <w:tcW w:w="800" w:type="dxa"/>
            <w:vAlign w:val="bottom"/>
            <w:shd w:val="clear" w:color="auto" w:fill="E5E5E5"/>
          </w:tcPr>
          <w:p>
            <w:pPr>
              <w:ind w:left="100"/>
              <w:spacing w:after="0"/>
              <w:rPr>
                <w:sz w:val="20"/>
                <w:szCs w:val="20"/>
                <w:color w:val="auto"/>
              </w:rPr>
            </w:pPr>
            <w:r>
              <w:rPr>
                <w:rFonts w:ascii="Arial" w:cs="Arial" w:eastAsia="Arial" w:hAnsi="Arial"/>
                <w:sz w:val="16"/>
                <w:szCs w:val="16"/>
                <w:color w:val="auto"/>
              </w:rPr>
              <w:t>391,250</w:t>
            </w:r>
          </w:p>
        </w:tc>
        <w:tc>
          <w:tcPr>
            <w:tcW w:w="8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381"/>
              <w:spacing w:after="0"/>
              <w:rPr>
                <w:sz w:val="20"/>
                <w:szCs w:val="20"/>
                <w:color w:val="auto"/>
              </w:rPr>
            </w:pPr>
            <w:r>
              <w:rPr>
                <w:rFonts w:ascii="Arial" w:cs="Arial" w:eastAsia="Arial" w:hAnsi="Arial"/>
                <w:sz w:val="16"/>
                <w:szCs w:val="16"/>
                <w:color w:val="auto"/>
              </w:rPr>
              <w:t>112,833</w:t>
            </w:r>
          </w:p>
        </w:tc>
        <w:tc>
          <w:tcPr>
            <w:tcW w:w="1480" w:type="dxa"/>
            <w:vAlign w:val="bottom"/>
            <w:shd w:val="clear" w:color="auto" w:fill="E5E5E5"/>
          </w:tcPr>
          <w:p>
            <w:pPr>
              <w:jc w:val="right"/>
              <w:ind w:right="361"/>
              <w:spacing w:after="0"/>
              <w:rPr>
                <w:sz w:val="20"/>
                <w:szCs w:val="20"/>
                <w:color w:val="auto"/>
              </w:rPr>
            </w:pPr>
            <w:r>
              <w:rPr>
                <w:rFonts w:ascii="Arial" w:cs="Arial" w:eastAsia="Arial" w:hAnsi="Arial"/>
                <w:sz w:val="16"/>
                <w:szCs w:val="16"/>
                <w:color w:val="auto"/>
              </w:rPr>
              <w:t>26,040</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530,124</w:t>
            </w:r>
          </w:p>
        </w:tc>
      </w:tr>
      <w:tr>
        <w:trPr>
          <w:trHeight w:val="203"/>
        </w:trPr>
        <w:tc>
          <w:tcPr>
            <w:tcW w:w="2880" w:type="dxa"/>
            <w:vAlign w:val="bottom"/>
            <w:tcBorders>
              <w:bottom w:val="single" w:sz="8" w:color="003B71"/>
            </w:tcBorders>
            <w:shd w:val="clear" w:color="auto" w:fill="E5E5E5"/>
          </w:tcPr>
          <w:p>
            <w:pPr>
              <w:ind w:left="60"/>
              <w:spacing w:after="0"/>
              <w:rPr>
                <w:sz w:val="20"/>
                <w:szCs w:val="20"/>
                <w:color w:val="auto"/>
              </w:rPr>
            </w:pPr>
            <w:r>
              <w:rPr>
                <w:rFonts w:ascii="Arial" w:cs="Arial" w:eastAsia="Arial" w:hAnsi="Arial"/>
                <w:sz w:val="16"/>
                <w:szCs w:val="16"/>
                <w:color w:val="auto"/>
              </w:rPr>
              <w:t>and SVP of Human Resources)</w:t>
            </w:r>
          </w:p>
        </w:tc>
        <w:tc>
          <w:tcPr>
            <w:tcW w:w="680" w:type="dxa"/>
            <w:vAlign w:val="bottom"/>
            <w:tcBorders>
              <w:bottom w:val="single" w:sz="8" w:color="003B71"/>
            </w:tcBorders>
            <w:shd w:val="clear" w:color="auto" w:fill="E5E5E5"/>
          </w:tcPr>
          <w:p>
            <w:pPr>
              <w:jc w:val="right"/>
              <w:ind w:right="20"/>
              <w:spacing w:after="0"/>
              <w:rPr>
                <w:sz w:val="20"/>
                <w:szCs w:val="20"/>
                <w:color w:val="auto"/>
              </w:rPr>
            </w:pPr>
            <w:r>
              <w:rPr>
                <w:rFonts w:ascii="Arial" w:cs="Arial" w:eastAsia="Arial" w:hAnsi="Arial"/>
                <w:sz w:val="16"/>
                <w:szCs w:val="16"/>
                <w:color w:val="auto"/>
              </w:rPr>
              <w:t>2018</w:t>
            </w:r>
          </w:p>
        </w:tc>
        <w:tc>
          <w:tcPr>
            <w:tcW w:w="800" w:type="dxa"/>
            <w:vAlign w:val="bottom"/>
            <w:tcBorders>
              <w:bottom w:val="single" w:sz="8" w:color="003B71"/>
            </w:tcBorders>
            <w:shd w:val="clear" w:color="auto" w:fill="E5E5E5"/>
          </w:tcPr>
          <w:p>
            <w:pPr>
              <w:ind w:left="100"/>
              <w:spacing w:after="0"/>
              <w:rPr>
                <w:sz w:val="20"/>
                <w:szCs w:val="20"/>
                <w:color w:val="auto"/>
              </w:rPr>
            </w:pPr>
            <w:r>
              <w:rPr>
                <w:rFonts w:ascii="Arial" w:cs="Arial" w:eastAsia="Arial" w:hAnsi="Arial"/>
                <w:sz w:val="16"/>
                <w:szCs w:val="16"/>
                <w:color w:val="auto"/>
              </w:rPr>
              <w:t>131,539</w:t>
            </w:r>
          </w:p>
        </w:tc>
        <w:tc>
          <w:tcPr>
            <w:tcW w:w="800" w:type="dxa"/>
            <w:vAlign w:val="bottom"/>
            <w:tcBorders>
              <w:bottom w:val="single" w:sz="8" w:color="003B71"/>
            </w:tcBorders>
            <w:shd w:val="clear" w:color="auto" w:fill="E5E5E5"/>
          </w:tcPr>
          <w:p>
            <w:pPr>
              <w:jc w:val="right"/>
              <w:ind w:right="40"/>
              <w:spacing w:after="0"/>
              <w:rPr>
                <w:sz w:val="20"/>
                <w:szCs w:val="20"/>
                <w:color w:val="auto"/>
              </w:rPr>
            </w:pPr>
            <w:r>
              <w:rPr>
                <w:rFonts w:ascii="Arial" w:cs="Arial" w:eastAsia="Arial" w:hAnsi="Arial"/>
                <w:sz w:val="16"/>
                <w:szCs w:val="16"/>
                <w:color w:val="auto"/>
              </w:rPr>
              <w:t>150,000</w:t>
            </w:r>
          </w:p>
        </w:tc>
        <w:tc>
          <w:tcPr>
            <w:tcW w:w="940" w:type="dxa"/>
            <w:vAlign w:val="bottom"/>
            <w:tcBorders>
              <w:bottom w:val="single" w:sz="8" w:color="003B71"/>
            </w:tcBorders>
            <w:shd w:val="clear" w:color="auto" w:fill="E5E5E5"/>
          </w:tcPr>
          <w:p>
            <w:pPr>
              <w:jc w:val="right"/>
              <w:ind w:right="21"/>
              <w:spacing w:after="0"/>
              <w:rPr>
                <w:sz w:val="20"/>
                <w:szCs w:val="20"/>
                <w:color w:val="auto"/>
              </w:rPr>
            </w:pPr>
            <w:r>
              <w:rPr>
                <w:rFonts w:ascii="Arial" w:cs="Arial" w:eastAsia="Arial" w:hAnsi="Arial"/>
                <w:sz w:val="16"/>
                <w:szCs w:val="16"/>
                <w:color w:val="auto"/>
              </w:rPr>
              <w:t>150,000</w:t>
            </w:r>
          </w:p>
        </w:tc>
        <w:tc>
          <w:tcPr>
            <w:tcW w:w="1000" w:type="dxa"/>
            <w:vAlign w:val="bottom"/>
            <w:tcBorders>
              <w:bottom w:val="single" w:sz="8" w:color="003B71"/>
            </w:tcBorders>
            <w:shd w:val="clear" w:color="auto" w:fill="E5E5E5"/>
          </w:tcPr>
          <w:p>
            <w:pPr>
              <w:jc w:val="right"/>
              <w:ind w:right="101"/>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003B71"/>
            </w:tcBorders>
            <w:shd w:val="clear" w:color="auto" w:fill="E5E5E5"/>
          </w:tcPr>
          <w:p>
            <w:pPr>
              <w:jc w:val="right"/>
              <w:ind w:right="381"/>
              <w:spacing w:after="0"/>
              <w:rPr>
                <w:sz w:val="20"/>
                <w:szCs w:val="20"/>
                <w:color w:val="auto"/>
              </w:rPr>
            </w:pPr>
            <w:r>
              <w:rPr>
                <w:rFonts w:ascii="Arial" w:cs="Arial" w:eastAsia="Arial" w:hAnsi="Arial"/>
                <w:sz w:val="16"/>
                <w:szCs w:val="16"/>
                <w:color w:val="auto"/>
              </w:rPr>
              <w:t>59,013</w:t>
            </w:r>
          </w:p>
        </w:tc>
        <w:tc>
          <w:tcPr>
            <w:tcW w:w="1480" w:type="dxa"/>
            <w:vAlign w:val="bottom"/>
            <w:tcBorders>
              <w:bottom w:val="single" w:sz="8" w:color="003B71"/>
            </w:tcBorders>
            <w:shd w:val="clear" w:color="auto" w:fill="E5E5E5"/>
          </w:tcPr>
          <w:p>
            <w:pPr>
              <w:jc w:val="right"/>
              <w:ind w:right="361"/>
              <w:spacing w:after="0"/>
              <w:rPr>
                <w:sz w:val="20"/>
                <w:szCs w:val="20"/>
                <w:color w:val="auto"/>
              </w:rPr>
            </w:pPr>
            <w:r>
              <w:rPr>
                <w:rFonts w:ascii="Arial" w:cs="Arial" w:eastAsia="Arial" w:hAnsi="Arial"/>
                <w:sz w:val="16"/>
                <w:szCs w:val="16"/>
                <w:color w:val="auto"/>
              </w:rPr>
              <w:t>20,180</w:t>
            </w:r>
          </w:p>
        </w:tc>
        <w:tc>
          <w:tcPr>
            <w:tcW w:w="98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510,732</w:t>
            </w:r>
          </w:p>
        </w:tc>
      </w:tr>
    </w:tbl>
    <w:p>
      <w:pPr>
        <w:spacing w:after="0" w:line="83"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following salary deferrals were made under the SERP in fiscal 2020: Mr. Jenkins, $60,000; Mr. Bowman, $21,000; and Ms. Manning, $101,227.</w:t>
      </w:r>
    </w:p>
    <w:p>
      <w:pPr>
        <w:spacing w:after="0" w:line="86" w:lineRule="exact"/>
        <w:rPr>
          <w:rFonts w:ascii="Arial" w:cs="Arial" w:eastAsia="Arial" w:hAnsi="Arial"/>
          <w:sz w:val="16"/>
          <w:szCs w:val="16"/>
          <w:color w:val="auto"/>
        </w:rPr>
      </w:pPr>
    </w:p>
    <w:p>
      <w:pPr>
        <w:jc w:val="both"/>
        <w:ind w:left="540" w:hanging="424"/>
        <w:spacing w:after="0" w:line="248" w:lineRule="auto"/>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Amounts in this column includes the aggregate grant date fair value of performance RSUs, MSUs, at target, calculated in accordance with ASC 718. The discussion of the assumptions used for purposes of valuation of RSUs in fiscal 2020 appears in Note 8: Stockholders’ Equity, </w:t>
      </w:r>
      <w:r>
        <w:rPr>
          <w:rFonts w:ascii="Arial" w:cs="Arial" w:eastAsia="Arial" w:hAnsi="Arial"/>
          <w:sz w:val="16"/>
          <w:szCs w:val="16"/>
          <w:i w:val="1"/>
          <w:iCs w:val="1"/>
          <w:color w:val="auto"/>
        </w:rPr>
        <w:t>Share-Based Compensation</w:t>
      </w:r>
      <w:r>
        <w:rPr>
          <w:rFonts w:ascii="Arial" w:cs="Arial" w:eastAsia="Arial" w:hAnsi="Arial"/>
          <w:sz w:val="16"/>
          <w:szCs w:val="16"/>
          <w:color w:val="auto"/>
        </w:rPr>
        <w:t>, to our consolidated financial statements included in our Annual Report on Form 10-K. The grant date fair value for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RSUs and MSUs is reported based upon the probable outcome of the performance conditions on the grant date in accordance with SEC rules. The value of the MSUs granted in fiscal 2020, assuming achievement of the maximum performance level of 200% and based on the Company’s stock price on the date the grant was approved, would have been: Mr. Jenkins, $2,679,856; Mr. Bowman, $828,189; Ms. Manning, $1,111,514; Mr. Mulleady, $749,914; and Mr. Edmund $643,885.</w:t>
      </w:r>
    </w:p>
    <w:p>
      <w:pPr>
        <w:spacing w:after="0" w:line="73" w:lineRule="exact"/>
        <w:rPr>
          <w:rFonts w:ascii="Arial" w:cs="Arial" w:eastAsia="Arial" w:hAnsi="Arial"/>
          <w:sz w:val="16"/>
          <w:szCs w:val="16"/>
          <w:color w:val="auto"/>
        </w:rPr>
      </w:pPr>
    </w:p>
    <w:p>
      <w:pPr>
        <w:jc w:val="both"/>
        <w:ind w:left="540" w:right="20" w:hanging="424"/>
        <w:spacing w:after="0" w:line="250" w:lineRule="auto"/>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 options were granted to our NEOs in fiscal 2020. Amounts in this column for fiscal 2018 and 2019 grants reflect the aggregate grant date fair value of options calculated in accordance with ASC 718. The amounts shown represent the fair market value at grant date of equity granted to NEO’s in each fiscal year presented pursuant to ASC Topic 718. These amounts do not include any reduction in value for the possibility of forfeiture. Stock awards for each fiscal year includes awards subject to performance conditions that were valued based on the probability that performance targets will be achieved.</w:t>
      </w:r>
    </w:p>
    <w:p>
      <w:pPr>
        <w:spacing w:after="0" w:line="67" w:lineRule="exact"/>
        <w:rPr>
          <w:rFonts w:ascii="Arial" w:cs="Arial" w:eastAsia="Arial" w:hAnsi="Arial"/>
          <w:sz w:val="16"/>
          <w:szCs w:val="16"/>
          <w:color w:val="auto"/>
        </w:rPr>
      </w:pPr>
    </w:p>
    <w:p>
      <w:pPr>
        <w:jc w:val="both"/>
        <w:ind w:left="540" w:right="20" w:hanging="424"/>
        <w:spacing w:after="0" w:line="249" w:lineRule="auto"/>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Amounts in this column for 2020 reflect that no annual incentive was earned for fiscal 2020 under the Executive Incentive Plan and no cash earned for the cash portion of the Long-Term Incentive Plan awarded to each NEO in 2018. Amounts in this column for 2019 reflect annual incentive earned for fiscal 2019 under the Executive Incentive Plan and the cash portion of the Long-Term Incentive Plan awarded to each NEO in 2017. As disclosed in the COVID-19 Action Plan in last year’s proxy, annual incentive payments for fiscal 2019 were delayed and were settled in stock rather than cash. Amounts in this column for 2018 reflect annual incentive earned for fiscal 2018 under the Executive Incentive Plan and the cash portion of the Long-Term Incentive Plan awarded to each NEO in 2016.</w:t>
      </w:r>
    </w:p>
    <w:p>
      <w:pPr>
        <w:spacing w:after="0" w:line="12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following table sets forth the components of “All Other Compensation” for fiscal 2020:</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jc w:val="center"/>
              <w:ind w:left="64"/>
              <w:spacing w:after="0"/>
              <w:rPr>
                <w:sz w:val="20"/>
                <w:szCs w:val="20"/>
                <w:color w:val="auto"/>
              </w:rPr>
            </w:pPr>
            <w:r>
              <w:rPr>
                <w:rFonts w:ascii="Arial" w:cs="Arial" w:eastAsia="Arial" w:hAnsi="Arial"/>
                <w:sz w:val="14"/>
                <w:szCs w:val="14"/>
                <w:b w:val="1"/>
                <w:bCs w:val="1"/>
                <w:color w:val="003B71"/>
              </w:rPr>
              <w:t>Company</w:t>
            </w:r>
          </w:p>
        </w:tc>
        <w:tc>
          <w:tcPr>
            <w:tcW w:w="1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0" w:type="dxa"/>
            <w:vAlign w:val="bottom"/>
          </w:tcPr>
          <w:p>
            <w:pPr>
              <w:jc w:val="center"/>
              <w:ind w:left="44"/>
              <w:spacing w:after="0"/>
              <w:rPr>
                <w:sz w:val="20"/>
                <w:szCs w:val="20"/>
                <w:color w:val="auto"/>
              </w:rPr>
            </w:pPr>
            <w:r>
              <w:rPr>
                <w:rFonts w:ascii="Arial" w:cs="Arial" w:eastAsia="Arial" w:hAnsi="Arial"/>
                <w:sz w:val="14"/>
                <w:szCs w:val="14"/>
                <w:b w:val="1"/>
                <w:bCs w:val="1"/>
                <w:color w:val="003B71"/>
              </w:rPr>
              <w:t>Contributions to</w:t>
            </w:r>
          </w:p>
        </w:tc>
        <w:tc>
          <w:tcPr>
            <w:tcW w:w="1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2460" w:type="dxa"/>
            <w:vAlign w:val="bottom"/>
          </w:tcPr>
          <w:p>
            <w:pPr>
              <w:jc w:val="center"/>
              <w:ind w:left="1082"/>
              <w:spacing w:after="0"/>
              <w:rPr>
                <w:sz w:val="20"/>
                <w:szCs w:val="20"/>
                <w:color w:val="auto"/>
              </w:rPr>
            </w:pPr>
            <w:r>
              <w:rPr>
                <w:rFonts w:ascii="Arial" w:cs="Arial" w:eastAsia="Arial" w:hAnsi="Arial"/>
                <w:sz w:val="14"/>
                <w:szCs w:val="14"/>
                <w:b w:val="1"/>
                <w:bCs w:val="1"/>
                <w:color w:val="003B71"/>
              </w:rPr>
              <w:t>Perquisite</w:t>
            </w:r>
          </w:p>
        </w:tc>
        <w:tc>
          <w:tcPr>
            <w:tcW w:w="1600" w:type="dxa"/>
            <w:vAlign w:val="bottom"/>
          </w:tcPr>
          <w:p>
            <w:pPr>
              <w:jc w:val="center"/>
              <w:ind w:left="64"/>
              <w:spacing w:after="0"/>
              <w:rPr>
                <w:sz w:val="20"/>
                <w:szCs w:val="20"/>
                <w:color w:val="auto"/>
              </w:rPr>
            </w:pPr>
            <w:r>
              <w:rPr>
                <w:rFonts w:ascii="Arial" w:cs="Arial" w:eastAsia="Arial" w:hAnsi="Arial"/>
                <w:sz w:val="14"/>
                <w:szCs w:val="14"/>
                <w:b w:val="1"/>
                <w:bCs w:val="1"/>
                <w:color w:val="003B71"/>
              </w:rPr>
              <w:t>Retirement &amp;</w:t>
            </w:r>
          </w:p>
        </w:tc>
        <w:tc>
          <w:tcPr>
            <w:tcW w:w="1140" w:type="dxa"/>
            <w:vAlign w:val="bottom"/>
          </w:tcPr>
          <w:p>
            <w:pPr>
              <w:jc w:val="right"/>
              <w:ind w:right="202"/>
              <w:spacing w:after="0"/>
              <w:rPr>
                <w:sz w:val="20"/>
                <w:szCs w:val="20"/>
                <w:color w:val="auto"/>
              </w:rPr>
            </w:pPr>
            <w:r>
              <w:rPr>
                <w:rFonts w:ascii="Arial" w:cs="Arial" w:eastAsia="Arial" w:hAnsi="Arial"/>
                <w:sz w:val="14"/>
                <w:szCs w:val="14"/>
                <w:b w:val="1"/>
                <w:bCs w:val="1"/>
                <w:color w:val="003B71"/>
              </w:rPr>
              <w:t>Executive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003B71"/>
              </w:rPr>
              <w:t>Non-Qualified</w:t>
            </w:r>
          </w:p>
        </w:tc>
        <w:tc>
          <w:tcPr>
            <w:tcW w:w="940" w:type="dxa"/>
            <w:vAlign w:val="bottom"/>
          </w:tcPr>
          <w:p>
            <w:pPr>
              <w:spacing w:after="0"/>
              <w:rPr>
                <w:sz w:val="14"/>
                <w:szCs w:val="14"/>
                <w:color w:val="auto"/>
              </w:rPr>
            </w:pPr>
          </w:p>
        </w:tc>
      </w:tr>
      <w:tr>
        <w:trPr>
          <w:trHeight w:val="162"/>
        </w:trPr>
        <w:tc>
          <w:tcPr>
            <w:tcW w:w="2880" w:type="dxa"/>
            <w:vAlign w:val="bottom"/>
          </w:tcPr>
          <w:p>
            <w:pPr>
              <w:spacing w:after="0"/>
              <w:rPr>
                <w:sz w:val="14"/>
                <w:szCs w:val="14"/>
                <w:color w:val="auto"/>
              </w:rPr>
            </w:pPr>
          </w:p>
        </w:tc>
        <w:tc>
          <w:tcPr>
            <w:tcW w:w="2460" w:type="dxa"/>
            <w:vAlign w:val="bottom"/>
          </w:tcPr>
          <w:p>
            <w:pPr>
              <w:jc w:val="center"/>
              <w:ind w:left="1082"/>
              <w:spacing w:after="0"/>
              <w:rPr>
                <w:sz w:val="20"/>
                <w:szCs w:val="20"/>
                <w:color w:val="auto"/>
              </w:rPr>
            </w:pPr>
            <w:r>
              <w:rPr>
                <w:rFonts w:ascii="Arial" w:cs="Arial" w:eastAsia="Arial" w:hAnsi="Arial"/>
                <w:sz w:val="14"/>
                <w:szCs w:val="14"/>
                <w:b w:val="1"/>
                <w:bCs w:val="1"/>
                <w:color w:val="003B71"/>
              </w:rPr>
              <w:t>Allowance</w:t>
            </w:r>
          </w:p>
        </w:tc>
        <w:tc>
          <w:tcPr>
            <w:tcW w:w="1600" w:type="dxa"/>
            <w:vAlign w:val="bottom"/>
          </w:tcPr>
          <w:p>
            <w:pPr>
              <w:jc w:val="center"/>
              <w:ind w:left="64"/>
              <w:spacing w:after="0"/>
              <w:rPr>
                <w:sz w:val="20"/>
                <w:szCs w:val="20"/>
                <w:color w:val="auto"/>
              </w:rPr>
            </w:pPr>
            <w:r>
              <w:rPr>
                <w:rFonts w:ascii="Arial" w:cs="Arial" w:eastAsia="Arial" w:hAnsi="Arial"/>
                <w:sz w:val="14"/>
                <w:szCs w:val="14"/>
                <w:b w:val="1"/>
                <w:bCs w:val="1"/>
                <w:color w:val="003B71"/>
              </w:rPr>
              <w:t>401(k) Plans(a)</w:t>
            </w:r>
          </w:p>
        </w:tc>
        <w:tc>
          <w:tcPr>
            <w:tcW w:w="1140" w:type="dxa"/>
            <w:vAlign w:val="bottom"/>
          </w:tcPr>
          <w:p>
            <w:pPr>
              <w:jc w:val="right"/>
              <w:ind w:right="282"/>
              <w:spacing w:after="0"/>
              <w:rPr>
                <w:sz w:val="20"/>
                <w:szCs w:val="20"/>
                <w:color w:val="auto"/>
              </w:rPr>
            </w:pPr>
            <w:r>
              <w:rPr>
                <w:rFonts w:ascii="Arial" w:cs="Arial" w:eastAsia="Arial" w:hAnsi="Arial"/>
                <w:sz w:val="14"/>
                <w:szCs w:val="14"/>
                <w:b w:val="1"/>
                <w:bCs w:val="1"/>
                <w:color w:val="003B71"/>
              </w:rPr>
              <w:t>Medical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003B71"/>
              </w:rPr>
              <w:t>Moving</w:t>
            </w:r>
          </w:p>
        </w:tc>
        <w:tc>
          <w:tcPr>
            <w:tcW w:w="940" w:type="dxa"/>
            <w:vAlign w:val="bottom"/>
          </w:tcPr>
          <w:p>
            <w:pPr>
              <w:jc w:val="right"/>
              <w:ind w:right="162"/>
              <w:spacing w:after="0"/>
              <w:rPr>
                <w:sz w:val="20"/>
                <w:szCs w:val="20"/>
                <w:color w:val="auto"/>
              </w:rPr>
            </w:pPr>
            <w:r>
              <w:rPr>
                <w:rFonts w:ascii="Arial" w:cs="Arial" w:eastAsia="Arial" w:hAnsi="Arial"/>
                <w:sz w:val="14"/>
                <w:szCs w:val="14"/>
                <w:b w:val="1"/>
                <w:bCs w:val="1"/>
                <w:color w:val="003B71"/>
              </w:rPr>
              <w:t>Total</w:t>
            </w:r>
          </w:p>
        </w:tc>
      </w:tr>
      <w:tr>
        <w:trPr>
          <w:trHeight w:val="189"/>
        </w:trPr>
        <w:tc>
          <w:tcPr>
            <w:tcW w:w="2880" w:type="dxa"/>
            <w:vAlign w:val="bottom"/>
            <w:tcBorders>
              <w:bottom w:val="single" w:sz="8" w:color="003B71"/>
            </w:tcBorders>
          </w:tcPr>
          <w:p>
            <w:pPr>
              <w:ind w:left="80"/>
              <w:spacing w:after="0"/>
              <w:rPr>
                <w:sz w:val="20"/>
                <w:szCs w:val="20"/>
                <w:color w:val="auto"/>
              </w:rPr>
            </w:pPr>
            <w:r>
              <w:rPr>
                <w:rFonts w:ascii="Arial" w:cs="Arial" w:eastAsia="Arial" w:hAnsi="Arial"/>
                <w:sz w:val="14"/>
                <w:szCs w:val="14"/>
                <w:b w:val="1"/>
                <w:bCs w:val="1"/>
                <w:color w:val="003B71"/>
              </w:rPr>
              <w:t>Name</w:t>
            </w:r>
          </w:p>
        </w:tc>
        <w:tc>
          <w:tcPr>
            <w:tcW w:w="2460" w:type="dxa"/>
            <w:vAlign w:val="bottom"/>
            <w:tcBorders>
              <w:bottom w:val="single" w:sz="8" w:color="003B71"/>
            </w:tcBorders>
          </w:tcPr>
          <w:p>
            <w:pPr>
              <w:jc w:val="center"/>
              <w:ind w:left="1082"/>
              <w:spacing w:after="0"/>
              <w:rPr>
                <w:sz w:val="20"/>
                <w:szCs w:val="20"/>
                <w:color w:val="auto"/>
              </w:rPr>
            </w:pPr>
            <w:r>
              <w:rPr>
                <w:rFonts w:ascii="Arial" w:cs="Arial" w:eastAsia="Arial" w:hAnsi="Arial"/>
                <w:sz w:val="14"/>
                <w:szCs w:val="14"/>
                <w:b w:val="1"/>
                <w:bCs w:val="1"/>
                <w:color w:val="003B71"/>
              </w:rPr>
              <w:t>($)</w:t>
            </w:r>
          </w:p>
        </w:tc>
        <w:tc>
          <w:tcPr>
            <w:tcW w:w="1600" w:type="dxa"/>
            <w:vAlign w:val="bottom"/>
            <w:tcBorders>
              <w:bottom w:val="single" w:sz="8" w:color="003B71"/>
            </w:tcBorders>
          </w:tcPr>
          <w:p>
            <w:pPr>
              <w:jc w:val="center"/>
              <w:ind w:left="64"/>
              <w:spacing w:after="0"/>
              <w:rPr>
                <w:sz w:val="20"/>
                <w:szCs w:val="20"/>
                <w:color w:val="auto"/>
              </w:rPr>
            </w:pPr>
            <w:r>
              <w:rPr>
                <w:rFonts w:ascii="Arial" w:cs="Arial" w:eastAsia="Arial" w:hAnsi="Arial"/>
                <w:sz w:val="14"/>
                <w:szCs w:val="14"/>
                <w:b w:val="1"/>
                <w:bCs w:val="1"/>
                <w:color w:val="003B71"/>
              </w:rPr>
              <w:t>($)</w:t>
            </w:r>
          </w:p>
        </w:tc>
        <w:tc>
          <w:tcPr>
            <w:tcW w:w="1140" w:type="dxa"/>
            <w:vAlign w:val="bottom"/>
            <w:tcBorders>
              <w:bottom w:val="single" w:sz="8" w:color="003B71"/>
            </w:tcBorders>
          </w:tcPr>
          <w:p>
            <w:pPr>
              <w:jc w:val="right"/>
              <w:ind w:right="462"/>
              <w:spacing w:after="0"/>
              <w:rPr>
                <w:sz w:val="20"/>
                <w:szCs w:val="20"/>
                <w:color w:val="auto"/>
              </w:rPr>
            </w:pPr>
            <w:r>
              <w:rPr>
                <w:rFonts w:ascii="Arial" w:cs="Arial" w:eastAsia="Arial" w:hAnsi="Arial"/>
                <w:sz w:val="14"/>
                <w:szCs w:val="14"/>
                <w:b w:val="1"/>
                <w:bCs w:val="1"/>
                <w:color w:val="003B71"/>
              </w:rPr>
              <w:t>($)</w:t>
            </w:r>
          </w:p>
        </w:tc>
        <w:tc>
          <w:tcPr>
            <w:tcW w:w="156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Expenses</w:t>
            </w:r>
          </w:p>
        </w:tc>
        <w:tc>
          <w:tcPr>
            <w:tcW w:w="940" w:type="dxa"/>
            <w:vAlign w:val="bottom"/>
            <w:tcBorders>
              <w:bottom w:val="single" w:sz="8" w:color="003B71"/>
            </w:tcBorders>
          </w:tcPr>
          <w:p>
            <w:pPr>
              <w:jc w:val="right"/>
              <w:ind w:right="242"/>
              <w:spacing w:after="0"/>
              <w:rPr>
                <w:sz w:val="20"/>
                <w:szCs w:val="20"/>
                <w:color w:val="auto"/>
              </w:rPr>
            </w:pPr>
            <w:r>
              <w:rPr>
                <w:rFonts w:ascii="Arial" w:cs="Arial" w:eastAsia="Arial" w:hAnsi="Arial"/>
                <w:sz w:val="14"/>
                <w:szCs w:val="14"/>
                <w:b w:val="1"/>
                <w:bCs w:val="1"/>
                <w:color w:val="003B71"/>
              </w:rPr>
              <w:t>($)</w:t>
            </w:r>
          </w:p>
        </w:tc>
      </w:tr>
      <w:tr>
        <w:trPr>
          <w:trHeight w:val="182"/>
        </w:trPr>
        <w:tc>
          <w:tcPr>
            <w:tcW w:w="288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2460" w:type="dxa"/>
            <w:vAlign w:val="bottom"/>
            <w:shd w:val="clear" w:color="auto" w:fill="E5E5E5"/>
          </w:tcPr>
          <w:p>
            <w:pPr>
              <w:jc w:val="right"/>
              <w:ind w:right="302"/>
              <w:spacing w:after="0" w:line="183" w:lineRule="exact"/>
              <w:rPr>
                <w:sz w:val="20"/>
                <w:szCs w:val="20"/>
                <w:color w:val="auto"/>
              </w:rPr>
            </w:pPr>
            <w:r>
              <w:rPr>
                <w:rFonts w:ascii="Arial" w:cs="Arial" w:eastAsia="Arial" w:hAnsi="Arial"/>
                <w:sz w:val="16"/>
                <w:szCs w:val="16"/>
                <w:color w:val="auto"/>
              </w:rPr>
              <w:t>30,000</w:t>
            </w:r>
          </w:p>
        </w:tc>
        <w:tc>
          <w:tcPr>
            <w:tcW w:w="1600" w:type="dxa"/>
            <w:vAlign w:val="bottom"/>
            <w:shd w:val="clear" w:color="auto" w:fill="E5E5E5"/>
          </w:tcPr>
          <w:p>
            <w:pPr>
              <w:jc w:val="right"/>
              <w:ind w:right="324"/>
              <w:spacing w:after="0" w:line="183" w:lineRule="exact"/>
              <w:rPr>
                <w:sz w:val="20"/>
                <w:szCs w:val="20"/>
                <w:color w:val="auto"/>
              </w:rPr>
            </w:pPr>
            <w:r>
              <w:rPr>
                <w:rFonts w:ascii="Arial" w:cs="Arial" w:eastAsia="Arial" w:hAnsi="Arial"/>
                <w:sz w:val="16"/>
                <w:szCs w:val="16"/>
                <w:color w:val="auto"/>
              </w:rPr>
              <w:t>1,800</w:t>
            </w:r>
          </w:p>
        </w:tc>
        <w:tc>
          <w:tcPr>
            <w:tcW w:w="1140" w:type="dxa"/>
            <w:vAlign w:val="bottom"/>
            <w:shd w:val="clear" w:color="auto" w:fill="E5E5E5"/>
          </w:tcPr>
          <w:p>
            <w:pPr>
              <w:jc w:val="right"/>
              <w:ind w:right="462"/>
              <w:spacing w:after="0" w:line="183" w:lineRule="exact"/>
              <w:rPr>
                <w:sz w:val="20"/>
                <w:szCs w:val="20"/>
                <w:color w:val="auto"/>
              </w:rPr>
            </w:pPr>
            <w:r>
              <w:rPr>
                <w:rFonts w:ascii="Arial" w:cs="Arial" w:eastAsia="Arial" w:hAnsi="Arial"/>
                <w:sz w:val="16"/>
                <w:szCs w:val="16"/>
                <w:color w:val="auto"/>
              </w:rPr>
              <w:t>0</w:t>
            </w:r>
          </w:p>
        </w:tc>
        <w:tc>
          <w:tcPr>
            <w:tcW w:w="1560" w:type="dxa"/>
            <w:vAlign w:val="bottom"/>
            <w:shd w:val="clear" w:color="auto" w:fill="E5E5E5"/>
          </w:tcPr>
          <w:p>
            <w:pPr>
              <w:jc w:val="right"/>
              <w:ind w:right="442"/>
              <w:spacing w:after="0" w:line="183" w:lineRule="exact"/>
              <w:rPr>
                <w:sz w:val="20"/>
                <w:szCs w:val="20"/>
                <w:color w:val="auto"/>
              </w:rPr>
            </w:pPr>
            <w:r>
              <w:rPr>
                <w:rFonts w:ascii="Arial" w:cs="Arial" w:eastAsia="Arial" w:hAnsi="Arial"/>
                <w:sz w:val="16"/>
                <w:szCs w:val="16"/>
                <w:color w:val="auto"/>
              </w:rPr>
              <w:t>0</w:t>
            </w:r>
          </w:p>
        </w:tc>
        <w:tc>
          <w:tcPr>
            <w:tcW w:w="940" w:type="dxa"/>
            <w:vAlign w:val="bottom"/>
            <w:shd w:val="clear" w:color="auto" w:fill="E5E5E5"/>
          </w:tcPr>
          <w:p>
            <w:pPr>
              <w:jc w:val="right"/>
              <w:ind w:right="22"/>
              <w:spacing w:after="0" w:line="183" w:lineRule="exact"/>
              <w:rPr>
                <w:sz w:val="20"/>
                <w:szCs w:val="20"/>
                <w:color w:val="auto"/>
              </w:rPr>
            </w:pPr>
            <w:r>
              <w:rPr>
                <w:rFonts w:ascii="Arial" w:cs="Arial" w:eastAsia="Arial" w:hAnsi="Arial"/>
                <w:sz w:val="16"/>
                <w:szCs w:val="16"/>
                <w:color w:val="auto"/>
              </w:rPr>
              <w:t>31,800</w:t>
            </w:r>
          </w:p>
        </w:tc>
      </w:tr>
      <w:tr>
        <w:trPr>
          <w:trHeight w:val="189"/>
        </w:trPr>
        <w:tc>
          <w:tcPr>
            <w:tcW w:w="288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2460" w:type="dxa"/>
            <w:vAlign w:val="bottom"/>
          </w:tcPr>
          <w:p>
            <w:pPr>
              <w:jc w:val="right"/>
              <w:ind w:right="302"/>
              <w:spacing w:after="0"/>
              <w:rPr>
                <w:sz w:val="20"/>
                <w:szCs w:val="20"/>
                <w:color w:val="auto"/>
              </w:rPr>
            </w:pPr>
            <w:r>
              <w:rPr>
                <w:rFonts w:ascii="Arial" w:cs="Arial" w:eastAsia="Arial" w:hAnsi="Arial"/>
                <w:sz w:val="16"/>
                <w:szCs w:val="16"/>
                <w:color w:val="auto"/>
              </w:rPr>
              <w:t>25,000</w:t>
            </w:r>
          </w:p>
        </w:tc>
        <w:tc>
          <w:tcPr>
            <w:tcW w:w="1600" w:type="dxa"/>
            <w:vAlign w:val="bottom"/>
          </w:tcPr>
          <w:p>
            <w:pPr>
              <w:jc w:val="right"/>
              <w:ind w:right="324"/>
              <w:spacing w:after="0"/>
              <w:rPr>
                <w:sz w:val="20"/>
                <w:szCs w:val="20"/>
                <w:color w:val="auto"/>
              </w:rPr>
            </w:pPr>
            <w:r>
              <w:rPr>
                <w:rFonts w:ascii="Arial" w:cs="Arial" w:eastAsia="Arial" w:hAnsi="Arial"/>
                <w:sz w:val="16"/>
                <w:szCs w:val="16"/>
                <w:color w:val="auto"/>
              </w:rPr>
              <w:t>1,050</w:t>
            </w:r>
          </w:p>
        </w:tc>
        <w:tc>
          <w:tcPr>
            <w:tcW w:w="1140" w:type="dxa"/>
            <w:vAlign w:val="bottom"/>
          </w:tcPr>
          <w:p>
            <w:pPr>
              <w:jc w:val="right"/>
              <w:ind w:right="462"/>
              <w:spacing w:after="0"/>
              <w:rPr>
                <w:sz w:val="20"/>
                <w:szCs w:val="20"/>
                <w:color w:val="auto"/>
              </w:rPr>
            </w:pPr>
            <w:r>
              <w:rPr>
                <w:rFonts w:ascii="Arial" w:cs="Arial" w:eastAsia="Arial" w:hAnsi="Arial"/>
                <w:sz w:val="16"/>
                <w:szCs w:val="16"/>
                <w:color w:val="auto"/>
              </w:rPr>
              <w:t>0</w:t>
            </w:r>
          </w:p>
        </w:tc>
        <w:tc>
          <w:tcPr>
            <w:tcW w:w="1560" w:type="dxa"/>
            <w:vAlign w:val="bottom"/>
          </w:tcPr>
          <w:p>
            <w:pPr>
              <w:jc w:val="right"/>
              <w:ind w:right="442"/>
              <w:spacing w:after="0"/>
              <w:rPr>
                <w:sz w:val="20"/>
                <w:szCs w:val="20"/>
                <w:color w:val="auto"/>
              </w:rPr>
            </w:pPr>
            <w:r>
              <w:rPr>
                <w:rFonts w:ascii="Arial" w:cs="Arial" w:eastAsia="Arial" w:hAnsi="Arial"/>
                <w:sz w:val="16"/>
                <w:szCs w:val="16"/>
                <w:color w:val="auto"/>
              </w:rPr>
              <w:t>52,484</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78,534</w:t>
            </w:r>
          </w:p>
        </w:tc>
      </w:tr>
      <w:tr>
        <w:trPr>
          <w:trHeight w:val="189"/>
        </w:trPr>
        <w:tc>
          <w:tcPr>
            <w:tcW w:w="288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246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25,000</w:t>
            </w:r>
          </w:p>
        </w:tc>
        <w:tc>
          <w:tcPr>
            <w:tcW w:w="1600" w:type="dxa"/>
            <w:vAlign w:val="bottom"/>
            <w:shd w:val="clear" w:color="auto" w:fill="E5E5E5"/>
          </w:tcPr>
          <w:p>
            <w:pPr>
              <w:jc w:val="right"/>
              <w:ind w:right="324"/>
              <w:spacing w:after="0"/>
              <w:rPr>
                <w:sz w:val="20"/>
                <w:szCs w:val="20"/>
                <w:color w:val="auto"/>
              </w:rPr>
            </w:pPr>
            <w:r>
              <w:rPr>
                <w:rFonts w:ascii="Arial" w:cs="Arial" w:eastAsia="Arial" w:hAnsi="Arial"/>
                <w:sz w:val="16"/>
                <w:szCs w:val="16"/>
                <w:color w:val="auto"/>
              </w:rPr>
              <w:t>1,073</w:t>
            </w:r>
          </w:p>
        </w:tc>
        <w:tc>
          <w:tcPr>
            <w:tcW w:w="1140" w:type="dxa"/>
            <w:vAlign w:val="bottom"/>
            <w:shd w:val="clear" w:color="auto" w:fill="E5E5E5"/>
          </w:tcPr>
          <w:p>
            <w:pPr>
              <w:jc w:val="right"/>
              <w:ind w:right="462"/>
              <w:spacing w:after="0"/>
              <w:rPr>
                <w:sz w:val="20"/>
                <w:szCs w:val="20"/>
                <w:color w:val="auto"/>
              </w:rPr>
            </w:pPr>
            <w:r>
              <w:rPr>
                <w:rFonts w:ascii="Arial" w:cs="Arial" w:eastAsia="Arial" w:hAnsi="Arial"/>
                <w:sz w:val="16"/>
                <w:szCs w:val="16"/>
                <w:color w:val="auto"/>
              </w:rPr>
              <w:t>0</w:t>
            </w:r>
          </w:p>
        </w:tc>
        <w:tc>
          <w:tcPr>
            <w:tcW w:w="156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26,073</w:t>
            </w:r>
          </w:p>
        </w:tc>
      </w:tr>
      <w:tr>
        <w:trPr>
          <w:trHeight w:val="189"/>
        </w:trPr>
        <w:tc>
          <w:tcPr>
            <w:tcW w:w="2880" w:type="dxa"/>
            <w:vAlign w:val="bottom"/>
          </w:tcPr>
          <w:p>
            <w:pPr>
              <w:ind w:left="80"/>
              <w:spacing w:after="0"/>
              <w:rPr>
                <w:sz w:val="20"/>
                <w:szCs w:val="20"/>
                <w:color w:val="auto"/>
              </w:rPr>
            </w:pPr>
            <w:r>
              <w:rPr>
                <w:rFonts w:ascii="Arial" w:cs="Arial" w:eastAsia="Arial" w:hAnsi="Arial"/>
                <w:sz w:val="16"/>
                <w:szCs w:val="16"/>
                <w:color w:val="auto"/>
              </w:rPr>
              <w:t>John B. Mulleady</w:t>
            </w:r>
          </w:p>
        </w:tc>
        <w:tc>
          <w:tcPr>
            <w:tcW w:w="2460" w:type="dxa"/>
            <w:vAlign w:val="bottom"/>
          </w:tcPr>
          <w:p>
            <w:pPr>
              <w:jc w:val="right"/>
              <w:ind w:right="302"/>
              <w:spacing w:after="0"/>
              <w:rPr>
                <w:sz w:val="20"/>
                <w:szCs w:val="20"/>
                <w:color w:val="auto"/>
              </w:rPr>
            </w:pPr>
            <w:r>
              <w:rPr>
                <w:rFonts w:ascii="Arial" w:cs="Arial" w:eastAsia="Arial" w:hAnsi="Arial"/>
                <w:sz w:val="16"/>
                <w:szCs w:val="16"/>
                <w:color w:val="auto"/>
              </w:rPr>
              <w:t>25,000</w:t>
            </w:r>
          </w:p>
        </w:tc>
        <w:tc>
          <w:tcPr>
            <w:tcW w:w="1600" w:type="dxa"/>
            <w:vAlign w:val="bottom"/>
          </w:tcPr>
          <w:p>
            <w:pPr>
              <w:jc w:val="right"/>
              <w:ind w:right="324"/>
              <w:spacing w:after="0"/>
              <w:rPr>
                <w:sz w:val="20"/>
                <w:szCs w:val="20"/>
                <w:color w:val="auto"/>
              </w:rPr>
            </w:pPr>
            <w:r>
              <w:rPr>
                <w:rFonts w:ascii="Arial" w:cs="Arial" w:eastAsia="Arial" w:hAnsi="Arial"/>
                <w:sz w:val="16"/>
                <w:szCs w:val="16"/>
                <w:color w:val="auto"/>
              </w:rPr>
              <w:t>238</w:t>
            </w:r>
          </w:p>
        </w:tc>
        <w:tc>
          <w:tcPr>
            <w:tcW w:w="1140" w:type="dxa"/>
            <w:vAlign w:val="bottom"/>
          </w:tcPr>
          <w:p>
            <w:pPr>
              <w:jc w:val="right"/>
              <w:ind w:right="462"/>
              <w:spacing w:after="0"/>
              <w:rPr>
                <w:sz w:val="20"/>
                <w:szCs w:val="20"/>
                <w:color w:val="auto"/>
              </w:rPr>
            </w:pPr>
            <w:r>
              <w:rPr>
                <w:rFonts w:ascii="Arial" w:cs="Arial" w:eastAsia="Arial" w:hAnsi="Arial"/>
                <w:sz w:val="16"/>
                <w:szCs w:val="16"/>
                <w:color w:val="auto"/>
              </w:rPr>
              <w:t>0</w:t>
            </w:r>
          </w:p>
        </w:tc>
        <w:tc>
          <w:tcPr>
            <w:tcW w:w="1560" w:type="dxa"/>
            <w:vAlign w:val="bottom"/>
          </w:tcPr>
          <w:p>
            <w:pPr>
              <w:jc w:val="right"/>
              <w:ind w:right="442"/>
              <w:spacing w:after="0"/>
              <w:rPr>
                <w:sz w:val="20"/>
                <w:szCs w:val="20"/>
                <w:color w:val="auto"/>
              </w:rPr>
            </w:pPr>
            <w:r>
              <w:rPr>
                <w:rFonts w:ascii="Arial" w:cs="Arial" w:eastAsia="Arial" w:hAnsi="Arial"/>
                <w:sz w:val="16"/>
                <w:szCs w:val="16"/>
                <w:color w:val="auto"/>
              </w:rPr>
              <w:t>0</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25,238</w:t>
            </w:r>
          </w:p>
        </w:tc>
      </w:tr>
      <w:tr>
        <w:trPr>
          <w:trHeight w:val="189"/>
        </w:trPr>
        <w:tc>
          <w:tcPr>
            <w:tcW w:w="2880" w:type="dxa"/>
            <w:vAlign w:val="bottom"/>
            <w:shd w:val="clear" w:color="auto" w:fill="E5E5E5"/>
          </w:tcPr>
          <w:p>
            <w:pPr>
              <w:ind w:left="80"/>
              <w:spacing w:after="0"/>
              <w:rPr>
                <w:sz w:val="20"/>
                <w:szCs w:val="20"/>
                <w:color w:val="auto"/>
              </w:rPr>
            </w:pPr>
            <w:r>
              <w:rPr>
                <w:rFonts w:ascii="Arial" w:cs="Arial" w:eastAsia="Arial" w:hAnsi="Arial"/>
                <w:sz w:val="16"/>
                <w:szCs w:val="16"/>
                <w:color w:val="auto"/>
              </w:rPr>
              <w:t>Robert W. Edmund</w:t>
            </w:r>
          </w:p>
        </w:tc>
        <w:tc>
          <w:tcPr>
            <w:tcW w:w="246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25,000</w:t>
            </w:r>
          </w:p>
        </w:tc>
        <w:tc>
          <w:tcPr>
            <w:tcW w:w="1600" w:type="dxa"/>
            <w:vAlign w:val="bottom"/>
            <w:shd w:val="clear" w:color="auto" w:fill="E5E5E5"/>
          </w:tcPr>
          <w:p>
            <w:pPr>
              <w:jc w:val="right"/>
              <w:ind w:right="324"/>
              <w:spacing w:after="0"/>
              <w:rPr>
                <w:sz w:val="20"/>
                <w:szCs w:val="20"/>
                <w:color w:val="auto"/>
              </w:rPr>
            </w:pPr>
            <w:r>
              <w:rPr>
                <w:rFonts w:ascii="Arial" w:cs="Arial" w:eastAsia="Arial" w:hAnsi="Arial"/>
                <w:sz w:val="16"/>
                <w:szCs w:val="16"/>
                <w:color w:val="auto"/>
              </w:rPr>
              <w:t>228</w:t>
            </w:r>
          </w:p>
        </w:tc>
        <w:tc>
          <w:tcPr>
            <w:tcW w:w="1140" w:type="dxa"/>
            <w:vAlign w:val="bottom"/>
            <w:shd w:val="clear" w:color="auto" w:fill="E5E5E5"/>
          </w:tcPr>
          <w:p>
            <w:pPr>
              <w:jc w:val="right"/>
              <w:ind w:right="462"/>
              <w:spacing w:after="0"/>
              <w:rPr>
                <w:sz w:val="20"/>
                <w:szCs w:val="20"/>
                <w:color w:val="auto"/>
              </w:rPr>
            </w:pPr>
            <w:r>
              <w:rPr>
                <w:rFonts w:ascii="Arial" w:cs="Arial" w:eastAsia="Arial" w:hAnsi="Arial"/>
                <w:sz w:val="16"/>
                <w:szCs w:val="16"/>
                <w:color w:val="auto"/>
              </w:rPr>
              <w:t>0</w:t>
            </w:r>
          </w:p>
        </w:tc>
        <w:tc>
          <w:tcPr>
            <w:tcW w:w="1560" w:type="dxa"/>
            <w:vAlign w:val="bottom"/>
            <w:shd w:val="clear" w:color="auto" w:fill="E5E5E5"/>
          </w:tcPr>
          <w:p>
            <w:pPr>
              <w:jc w:val="right"/>
              <w:ind w:right="442"/>
              <w:spacing w:after="0"/>
              <w:rPr>
                <w:sz w:val="20"/>
                <w:szCs w:val="20"/>
                <w:color w:val="auto"/>
              </w:rPr>
            </w:pPr>
            <w:r>
              <w:rPr>
                <w:rFonts w:ascii="Arial" w:cs="Arial" w:eastAsia="Arial" w:hAnsi="Arial"/>
                <w:sz w:val="16"/>
                <w:szCs w:val="16"/>
                <w:color w:val="auto"/>
              </w:rPr>
              <w:t>0</w:t>
            </w:r>
          </w:p>
        </w:tc>
        <w:tc>
          <w:tcPr>
            <w:tcW w:w="94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25,228</w:t>
            </w:r>
          </w:p>
        </w:tc>
      </w:tr>
    </w:tbl>
    <w:p>
      <w:pPr>
        <w:spacing w:after="0" w:line="83" w:lineRule="exact"/>
        <w:rPr>
          <w:sz w:val="20"/>
          <w:szCs w:val="20"/>
          <w:color w:val="auto"/>
        </w:rPr>
      </w:pPr>
    </w:p>
    <w:p>
      <w:pPr>
        <w:jc w:val="both"/>
        <w:ind w:left="980" w:hanging="432"/>
        <w:spacing w:after="0" w:line="253" w:lineRule="auto"/>
        <w:tabs>
          <w:tab w:leader="none" w:pos="9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Amounts include Company contributions to the 401(k) and SERP that were based on the Company’s performance during fiscal 2020 and the Company’s fixed contributions to the 401(k) plan and SERP that were made during fiscal 2020. In March 2020 all future Company contributions to the 401(k) and SERP were suspended indefinitely.</w:t>
      </w:r>
    </w:p>
    <w:p>
      <w:pPr>
        <w:spacing w:after="0" w:line="12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Grants of Plan-Based Awards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grants of plan-based awards to the named executive officers in fiscal 2020.</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jc w:val="center"/>
              <w:ind w:right="32"/>
              <w:spacing w:after="0"/>
              <w:rPr>
                <w:sz w:val="20"/>
                <w:szCs w:val="20"/>
                <w:color w:val="auto"/>
              </w:rPr>
            </w:pPr>
            <w:r>
              <w:rPr>
                <w:rFonts w:ascii="Arial" w:cs="Arial" w:eastAsia="Arial" w:hAnsi="Arial"/>
                <w:sz w:val="13"/>
                <w:szCs w:val="13"/>
                <w:b w:val="1"/>
                <w:bCs w:val="1"/>
                <w:color w:val="003B71"/>
                <w:w w:val="97"/>
              </w:rPr>
              <w:t>Grant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7"/>
              </w:rPr>
              <w:t>Exercise</w:t>
            </w:r>
          </w:p>
        </w:tc>
        <w:tc>
          <w:tcPr>
            <w:tcW w:w="80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003B71"/>
                <w:w w:val="96"/>
              </w:rPr>
              <w:t>Date Fair</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60" w:type="dxa"/>
            <w:vAlign w:val="bottom"/>
            <w:gridSpan w:val="5"/>
            <w:vMerge w:val="restart"/>
          </w:tcPr>
          <w:p>
            <w:pPr>
              <w:jc w:val="center"/>
              <w:ind w:right="260"/>
              <w:spacing w:after="0"/>
              <w:rPr>
                <w:sz w:val="20"/>
                <w:szCs w:val="20"/>
                <w:color w:val="auto"/>
              </w:rPr>
            </w:pPr>
            <w:r>
              <w:rPr>
                <w:rFonts w:ascii="Arial" w:cs="Arial" w:eastAsia="Arial" w:hAnsi="Arial"/>
                <w:sz w:val="13"/>
                <w:szCs w:val="13"/>
                <w:b w:val="1"/>
                <w:bCs w:val="1"/>
                <w:color w:val="003B71"/>
                <w:w w:val="97"/>
              </w:rPr>
              <w:t>Estimated Future Payouts</w:t>
            </w:r>
          </w:p>
        </w:tc>
        <w:tc>
          <w:tcPr>
            <w:tcW w:w="2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003B71"/>
                <w:w w:val="97"/>
              </w:rPr>
              <w:t>Estimated Future Payouts</w:t>
            </w:r>
          </w:p>
        </w:tc>
        <w:tc>
          <w:tcPr>
            <w:tcW w:w="1140" w:type="dxa"/>
            <w:vAlign w:val="bottom"/>
          </w:tcPr>
          <w:p>
            <w:pPr>
              <w:jc w:val="center"/>
              <w:ind w:left="193"/>
              <w:spacing w:after="0" w:line="135" w:lineRule="exact"/>
              <w:rPr>
                <w:sz w:val="20"/>
                <w:szCs w:val="20"/>
                <w:color w:val="auto"/>
              </w:rPr>
            </w:pPr>
            <w:r>
              <w:rPr>
                <w:rFonts w:ascii="Arial" w:cs="Arial" w:eastAsia="Arial" w:hAnsi="Arial"/>
                <w:sz w:val="13"/>
                <w:szCs w:val="13"/>
                <w:b w:val="1"/>
                <w:bCs w:val="1"/>
                <w:color w:val="003B71"/>
                <w:w w:val="94"/>
              </w:rPr>
              <w:t>All Other</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8"/>
              </w:rPr>
              <w:t>All Other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6"/>
              </w:rPr>
              <w:t>or Base</w:t>
            </w:r>
          </w:p>
        </w:tc>
        <w:tc>
          <w:tcPr>
            <w:tcW w:w="800" w:type="dxa"/>
            <w:vAlign w:val="bottom"/>
          </w:tcPr>
          <w:p>
            <w:pPr>
              <w:jc w:val="center"/>
              <w:ind w:right="12"/>
              <w:spacing w:after="0" w:line="135" w:lineRule="exact"/>
              <w:rPr>
                <w:sz w:val="20"/>
                <w:szCs w:val="20"/>
                <w:color w:val="auto"/>
              </w:rPr>
            </w:pPr>
            <w:r>
              <w:rPr>
                <w:rFonts w:ascii="Arial" w:cs="Arial" w:eastAsia="Arial" w:hAnsi="Arial"/>
                <w:sz w:val="13"/>
                <w:szCs w:val="13"/>
                <w:b w:val="1"/>
                <w:bCs w:val="1"/>
                <w:color w:val="003B71"/>
                <w:w w:val="94"/>
              </w:rPr>
              <w:t>Value of</w:t>
            </w:r>
          </w:p>
        </w:tc>
        <w:tc>
          <w:tcPr>
            <w:tcW w:w="0" w:type="dxa"/>
            <w:vAlign w:val="bottom"/>
          </w:tcPr>
          <w:p>
            <w:pPr>
              <w:spacing w:after="0"/>
              <w:rPr>
                <w:sz w:val="1"/>
                <w:szCs w:val="1"/>
                <w:color w:val="auto"/>
              </w:rPr>
            </w:pPr>
          </w:p>
        </w:tc>
      </w:tr>
      <w:tr>
        <w:trPr>
          <w:trHeight w:val="130"/>
        </w:trPr>
        <w:tc>
          <w:tcPr>
            <w:tcW w:w="1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60" w:type="dxa"/>
            <w:vAlign w:val="bottom"/>
            <w:gridSpan w:val="5"/>
            <w:vMerge w:val="continue"/>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1140" w:type="dxa"/>
            <w:vAlign w:val="bottom"/>
          </w:tcPr>
          <w:p>
            <w:pPr>
              <w:jc w:val="center"/>
              <w:ind w:left="173"/>
              <w:spacing w:after="0" w:line="130" w:lineRule="exact"/>
              <w:rPr>
                <w:sz w:val="20"/>
                <w:szCs w:val="20"/>
                <w:color w:val="auto"/>
              </w:rPr>
            </w:pPr>
            <w:r>
              <w:rPr>
                <w:rFonts w:ascii="Arial" w:cs="Arial" w:eastAsia="Arial" w:hAnsi="Arial"/>
                <w:sz w:val="13"/>
                <w:szCs w:val="13"/>
                <w:b w:val="1"/>
                <w:bCs w:val="1"/>
                <w:color w:val="003B71"/>
                <w:w w:val="95"/>
              </w:rPr>
              <w:t>Stock</w:t>
            </w: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003B71"/>
              </w:rPr>
              <w:t>Option</w:t>
            </w:r>
          </w:p>
        </w:tc>
        <w:tc>
          <w:tcPr>
            <w:tcW w:w="660" w:type="dxa"/>
            <w:vAlign w:val="bottom"/>
          </w:tcPr>
          <w:p>
            <w:pPr>
              <w:jc w:val="center"/>
              <w:spacing w:after="0" w:line="130" w:lineRule="exact"/>
              <w:rPr>
                <w:sz w:val="20"/>
                <w:szCs w:val="20"/>
                <w:color w:val="auto"/>
              </w:rPr>
            </w:pPr>
            <w:r>
              <w:rPr>
                <w:rFonts w:ascii="Arial" w:cs="Arial" w:eastAsia="Arial" w:hAnsi="Arial"/>
                <w:sz w:val="13"/>
                <w:szCs w:val="13"/>
                <w:b w:val="1"/>
                <w:bCs w:val="1"/>
                <w:color w:val="003B71"/>
                <w:w w:val="96"/>
              </w:rPr>
              <w:t>Price of</w:t>
            </w:r>
          </w:p>
        </w:tc>
        <w:tc>
          <w:tcPr>
            <w:tcW w:w="800" w:type="dxa"/>
            <w:vAlign w:val="bottom"/>
          </w:tcPr>
          <w:p>
            <w:pPr>
              <w:jc w:val="center"/>
              <w:ind w:right="32"/>
              <w:spacing w:after="0" w:line="130" w:lineRule="exact"/>
              <w:rPr>
                <w:sz w:val="20"/>
                <w:szCs w:val="20"/>
                <w:color w:val="auto"/>
              </w:rPr>
            </w:pPr>
            <w:r>
              <w:rPr>
                <w:rFonts w:ascii="Arial" w:cs="Arial" w:eastAsia="Arial" w:hAnsi="Arial"/>
                <w:sz w:val="13"/>
                <w:szCs w:val="13"/>
                <w:b w:val="1"/>
                <w:bCs w:val="1"/>
                <w:color w:val="003B71"/>
                <w:w w:val="95"/>
              </w:rPr>
              <w:t>Stock</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003B71"/>
                <w:w w:val="97"/>
              </w:rPr>
              <w:t>Under Non-Equity</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jc w:val="center"/>
              <w:ind w:left="633"/>
              <w:spacing w:after="0" w:line="135" w:lineRule="exact"/>
              <w:rPr>
                <w:sz w:val="20"/>
                <w:szCs w:val="20"/>
                <w:color w:val="auto"/>
              </w:rPr>
            </w:pPr>
            <w:r>
              <w:rPr>
                <w:rFonts w:ascii="Arial" w:cs="Arial" w:eastAsia="Arial" w:hAnsi="Arial"/>
                <w:sz w:val="13"/>
                <w:szCs w:val="13"/>
                <w:b w:val="1"/>
                <w:bCs w:val="1"/>
                <w:color w:val="003B71"/>
                <w:w w:val="96"/>
              </w:rPr>
              <w:t>Under Equity</w:t>
            </w:r>
          </w:p>
        </w:tc>
        <w:tc>
          <w:tcPr>
            <w:tcW w:w="620" w:type="dxa"/>
            <w:vAlign w:val="bottom"/>
          </w:tcPr>
          <w:p>
            <w:pPr>
              <w:spacing w:after="0"/>
              <w:rPr>
                <w:sz w:val="11"/>
                <w:szCs w:val="11"/>
                <w:color w:val="auto"/>
              </w:rPr>
            </w:pPr>
          </w:p>
        </w:tc>
        <w:tc>
          <w:tcPr>
            <w:tcW w:w="1140" w:type="dxa"/>
            <w:vAlign w:val="bottom"/>
          </w:tcPr>
          <w:p>
            <w:pPr>
              <w:jc w:val="center"/>
              <w:ind w:left="193"/>
              <w:spacing w:after="0" w:line="135" w:lineRule="exact"/>
              <w:rPr>
                <w:sz w:val="20"/>
                <w:szCs w:val="20"/>
                <w:color w:val="auto"/>
              </w:rPr>
            </w:pPr>
            <w:r>
              <w:rPr>
                <w:rFonts w:ascii="Arial" w:cs="Arial" w:eastAsia="Arial" w:hAnsi="Arial"/>
                <w:sz w:val="13"/>
                <w:szCs w:val="13"/>
                <w:b w:val="1"/>
                <w:bCs w:val="1"/>
                <w:color w:val="003B71"/>
                <w:w w:val="97"/>
              </w:rPr>
              <w:t>Awards: # of</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4"/>
              </w:rPr>
              <w:t>Awards: # of</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003B71"/>
                <w:w w:val="95"/>
              </w:rPr>
              <w:t>Option</w:t>
            </w:r>
          </w:p>
        </w:tc>
        <w:tc>
          <w:tcPr>
            <w:tcW w:w="800" w:type="dxa"/>
            <w:vAlign w:val="bottom"/>
          </w:tcPr>
          <w:p>
            <w:pPr>
              <w:jc w:val="center"/>
              <w:ind w:right="32"/>
              <w:spacing w:after="0" w:line="135" w:lineRule="exact"/>
              <w:rPr>
                <w:sz w:val="20"/>
                <w:szCs w:val="20"/>
                <w:color w:val="auto"/>
              </w:rPr>
            </w:pPr>
            <w:r>
              <w:rPr>
                <w:rFonts w:ascii="Arial" w:cs="Arial" w:eastAsia="Arial" w:hAnsi="Arial"/>
                <w:sz w:val="13"/>
                <w:szCs w:val="13"/>
                <w:b w:val="1"/>
                <w:bCs w:val="1"/>
                <w:color w:val="003B71"/>
                <w:w w:val="94"/>
              </w:rPr>
              <w:t>and</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bottom w:val="single" w:sz="8" w:color="003B71"/>
            </w:tcBorders>
          </w:tcPr>
          <w:p>
            <w:pPr>
              <w:spacing w:after="0"/>
              <w:rPr>
                <w:sz w:val="12"/>
                <w:szCs w:val="12"/>
                <w:color w:val="auto"/>
              </w:rPr>
            </w:pPr>
          </w:p>
        </w:tc>
        <w:tc>
          <w:tcPr>
            <w:tcW w:w="620" w:type="dxa"/>
            <w:vAlign w:val="bottom"/>
            <w:tcBorders>
              <w:bottom w:val="single" w:sz="8" w:color="003B71"/>
            </w:tcBorders>
          </w:tcPr>
          <w:p>
            <w:pPr>
              <w:spacing w:after="0"/>
              <w:rPr>
                <w:sz w:val="12"/>
                <w:szCs w:val="12"/>
                <w:color w:val="auto"/>
              </w:rPr>
            </w:pPr>
          </w:p>
        </w:tc>
        <w:tc>
          <w:tcPr>
            <w:tcW w:w="1380" w:type="dxa"/>
            <w:vAlign w:val="bottom"/>
            <w:tcBorders>
              <w:bottom w:val="single" w:sz="8" w:color="003B71"/>
            </w:tcBorders>
            <w:gridSpan w:val="2"/>
          </w:tcPr>
          <w:p>
            <w:pPr>
              <w:jc w:val="center"/>
              <w:spacing w:after="0"/>
              <w:rPr>
                <w:sz w:val="20"/>
                <w:szCs w:val="20"/>
                <w:color w:val="auto"/>
              </w:rPr>
            </w:pPr>
            <w:r>
              <w:rPr>
                <w:rFonts w:ascii="Arial" w:cs="Arial" w:eastAsia="Arial" w:hAnsi="Arial"/>
                <w:sz w:val="13"/>
                <w:szCs w:val="13"/>
                <w:b w:val="1"/>
                <w:bCs w:val="1"/>
                <w:color w:val="003B71"/>
                <w:w w:val="97"/>
              </w:rPr>
              <w:t>Incentive Plan Awards</w:t>
            </w:r>
          </w:p>
        </w:tc>
        <w:tc>
          <w:tcPr>
            <w:tcW w:w="640" w:type="dxa"/>
            <w:vAlign w:val="bottom"/>
            <w:tcBorders>
              <w:bottom w:val="single" w:sz="8" w:color="003B71"/>
            </w:tcBorders>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tcBorders>
              <w:bottom w:val="single" w:sz="8" w:color="003B71"/>
            </w:tcBorders>
            <w:gridSpan w:val="3"/>
          </w:tcPr>
          <w:p>
            <w:pPr>
              <w:jc w:val="center"/>
              <w:ind w:left="13"/>
              <w:spacing w:after="0"/>
              <w:rPr>
                <w:sz w:val="20"/>
                <w:szCs w:val="20"/>
                <w:color w:val="auto"/>
              </w:rPr>
            </w:pPr>
            <w:r>
              <w:rPr>
                <w:rFonts w:ascii="Arial" w:cs="Arial" w:eastAsia="Arial" w:hAnsi="Arial"/>
                <w:sz w:val="13"/>
                <w:szCs w:val="13"/>
                <w:b w:val="1"/>
                <w:bCs w:val="1"/>
                <w:color w:val="003B71"/>
                <w:w w:val="97"/>
              </w:rPr>
              <w:t>Incentive Plan Awards</w:t>
            </w:r>
          </w:p>
        </w:tc>
        <w:tc>
          <w:tcPr>
            <w:tcW w:w="1140" w:type="dxa"/>
            <w:vAlign w:val="bottom"/>
          </w:tcPr>
          <w:p>
            <w:pPr>
              <w:jc w:val="center"/>
              <w:ind w:left="193"/>
              <w:spacing w:after="0"/>
              <w:rPr>
                <w:sz w:val="20"/>
                <w:szCs w:val="20"/>
                <w:color w:val="auto"/>
              </w:rPr>
            </w:pPr>
            <w:r>
              <w:rPr>
                <w:rFonts w:ascii="Arial" w:cs="Arial" w:eastAsia="Arial" w:hAnsi="Arial"/>
                <w:sz w:val="13"/>
                <w:szCs w:val="13"/>
                <w:b w:val="1"/>
                <w:bCs w:val="1"/>
                <w:color w:val="003B71"/>
                <w:w w:val="94"/>
              </w:rPr>
              <w:t>Shares of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003B71"/>
                <w:w w:val="96"/>
              </w:rPr>
              <w:t>Securities</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003B71"/>
                <w:w w:val="95"/>
              </w:rPr>
              <w:t>Award</w:t>
            </w:r>
          </w:p>
        </w:tc>
        <w:tc>
          <w:tcPr>
            <w:tcW w:w="800" w:type="dxa"/>
            <w:vAlign w:val="bottom"/>
          </w:tcPr>
          <w:p>
            <w:pPr>
              <w:jc w:val="center"/>
              <w:ind w:right="12"/>
              <w:spacing w:after="0"/>
              <w:rPr>
                <w:sz w:val="20"/>
                <w:szCs w:val="20"/>
                <w:color w:val="auto"/>
              </w:rPr>
            </w:pPr>
            <w:r>
              <w:rPr>
                <w:rFonts w:ascii="Arial" w:cs="Arial" w:eastAsia="Arial" w:hAnsi="Arial"/>
                <w:sz w:val="13"/>
                <w:szCs w:val="13"/>
                <w:b w:val="1"/>
                <w:bCs w:val="1"/>
                <w:color w:val="003B71"/>
                <w:w w:val="95"/>
              </w:rPr>
              <w:t>Option</w:t>
            </w: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73"/>
              <w:spacing w:after="0" w:line="115" w:lineRule="exact"/>
              <w:rPr>
                <w:sz w:val="20"/>
                <w:szCs w:val="20"/>
                <w:color w:val="auto"/>
              </w:rPr>
            </w:pPr>
            <w:r>
              <w:rPr>
                <w:rFonts w:ascii="Arial" w:cs="Arial" w:eastAsia="Arial" w:hAnsi="Arial"/>
                <w:sz w:val="13"/>
                <w:szCs w:val="13"/>
                <w:b w:val="1"/>
                <w:bCs w:val="1"/>
                <w:color w:val="003B71"/>
              </w:rPr>
              <w:t>Grant</w:t>
            </w:r>
          </w:p>
        </w:tc>
        <w:tc>
          <w:tcPr>
            <w:tcW w:w="80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8"/>
              </w:rPr>
              <w:t>Threshold</w:t>
            </w:r>
          </w:p>
        </w:tc>
        <w:tc>
          <w:tcPr>
            <w:tcW w:w="58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5"/>
              </w:rPr>
              <w:t>Target</w:t>
            </w:r>
          </w:p>
        </w:tc>
        <w:tc>
          <w:tcPr>
            <w:tcW w:w="64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6"/>
              </w:rPr>
              <w:t>Maximum</w:t>
            </w:r>
          </w:p>
        </w:tc>
        <w:tc>
          <w:tcPr>
            <w:tcW w:w="220" w:type="dxa"/>
            <w:vAlign w:val="bottom"/>
          </w:tcPr>
          <w:p>
            <w:pPr>
              <w:spacing w:after="0"/>
              <w:rPr>
                <w:sz w:val="10"/>
                <w:szCs w:val="10"/>
                <w:color w:val="auto"/>
              </w:rPr>
            </w:pPr>
          </w:p>
        </w:tc>
        <w:tc>
          <w:tcPr>
            <w:tcW w:w="800" w:type="dxa"/>
            <w:vAlign w:val="bottom"/>
          </w:tcPr>
          <w:p>
            <w:pPr>
              <w:jc w:val="right"/>
              <w:ind w:right="13"/>
              <w:spacing w:after="0" w:line="115" w:lineRule="exact"/>
              <w:rPr>
                <w:sz w:val="20"/>
                <w:szCs w:val="20"/>
                <w:color w:val="auto"/>
              </w:rPr>
            </w:pPr>
            <w:r>
              <w:rPr>
                <w:rFonts w:ascii="Arial" w:cs="Arial" w:eastAsia="Arial" w:hAnsi="Arial"/>
                <w:sz w:val="13"/>
                <w:szCs w:val="13"/>
                <w:b w:val="1"/>
                <w:bCs w:val="1"/>
                <w:color w:val="003B71"/>
              </w:rPr>
              <w:t>Threshold</w:t>
            </w:r>
          </w:p>
        </w:tc>
        <w:tc>
          <w:tcPr>
            <w:tcW w:w="680" w:type="dxa"/>
            <w:vAlign w:val="bottom"/>
          </w:tcPr>
          <w:p>
            <w:pPr>
              <w:ind w:left="100"/>
              <w:spacing w:after="0" w:line="115" w:lineRule="exact"/>
              <w:rPr>
                <w:sz w:val="20"/>
                <w:szCs w:val="20"/>
                <w:color w:val="auto"/>
              </w:rPr>
            </w:pPr>
            <w:r>
              <w:rPr>
                <w:rFonts w:ascii="Arial" w:cs="Arial" w:eastAsia="Arial" w:hAnsi="Arial"/>
                <w:sz w:val="13"/>
                <w:szCs w:val="13"/>
                <w:b w:val="1"/>
                <w:bCs w:val="1"/>
                <w:color w:val="003B71"/>
              </w:rPr>
              <w:t>Target</w:t>
            </w:r>
          </w:p>
        </w:tc>
        <w:tc>
          <w:tcPr>
            <w:tcW w:w="620" w:type="dxa"/>
            <w:vAlign w:val="bottom"/>
          </w:tcPr>
          <w:p>
            <w:pPr>
              <w:jc w:val="right"/>
              <w:spacing w:after="0" w:line="115" w:lineRule="exact"/>
              <w:rPr>
                <w:sz w:val="20"/>
                <w:szCs w:val="20"/>
                <w:color w:val="auto"/>
              </w:rPr>
            </w:pPr>
            <w:r>
              <w:rPr>
                <w:rFonts w:ascii="Arial" w:cs="Arial" w:eastAsia="Arial" w:hAnsi="Arial"/>
                <w:sz w:val="13"/>
                <w:szCs w:val="13"/>
                <w:b w:val="1"/>
                <w:bCs w:val="1"/>
                <w:color w:val="003B71"/>
                <w:w w:val="93"/>
              </w:rPr>
              <w:t>Maximum</w:t>
            </w:r>
          </w:p>
        </w:tc>
        <w:tc>
          <w:tcPr>
            <w:tcW w:w="1140" w:type="dxa"/>
            <w:vAlign w:val="bottom"/>
          </w:tcPr>
          <w:p>
            <w:pPr>
              <w:jc w:val="center"/>
              <w:ind w:left="173"/>
              <w:spacing w:after="0" w:line="115" w:lineRule="exact"/>
              <w:rPr>
                <w:sz w:val="20"/>
                <w:szCs w:val="20"/>
                <w:color w:val="auto"/>
              </w:rPr>
            </w:pPr>
            <w:r>
              <w:rPr>
                <w:rFonts w:ascii="Arial" w:cs="Arial" w:eastAsia="Arial" w:hAnsi="Arial"/>
                <w:sz w:val="13"/>
                <w:szCs w:val="13"/>
                <w:b w:val="1"/>
                <w:bCs w:val="1"/>
                <w:color w:val="003B71"/>
                <w:w w:val="96"/>
              </w:rPr>
              <w:t>Stock or</w:t>
            </w:r>
          </w:p>
        </w:tc>
        <w:tc>
          <w:tcPr>
            <w:tcW w:w="90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7"/>
              </w:rPr>
              <w:t>Underlying</w:t>
            </w:r>
          </w:p>
        </w:tc>
        <w:tc>
          <w:tcPr>
            <w:tcW w:w="660" w:type="dxa"/>
            <w:vAlign w:val="bottom"/>
          </w:tcPr>
          <w:p>
            <w:pPr>
              <w:jc w:val="center"/>
              <w:spacing w:after="0" w:line="115" w:lineRule="exact"/>
              <w:rPr>
                <w:sz w:val="20"/>
                <w:szCs w:val="20"/>
                <w:color w:val="auto"/>
              </w:rPr>
            </w:pPr>
            <w:r>
              <w:rPr>
                <w:rFonts w:ascii="Arial" w:cs="Arial" w:eastAsia="Arial" w:hAnsi="Arial"/>
                <w:sz w:val="13"/>
                <w:szCs w:val="13"/>
                <w:b w:val="1"/>
                <w:bCs w:val="1"/>
                <w:color w:val="003B71"/>
                <w:w w:val="91"/>
              </w:rPr>
              <w:t>($/</w:t>
            </w:r>
          </w:p>
        </w:tc>
        <w:tc>
          <w:tcPr>
            <w:tcW w:w="800" w:type="dxa"/>
            <w:vAlign w:val="bottom"/>
          </w:tcPr>
          <w:p>
            <w:pPr>
              <w:jc w:val="center"/>
              <w:ind w:right="32"/>
              <w:spacing w:after="0" w:line="115" w:lineRule="exact"/>
              <w:rPr>
                <w:sz w:val="20"/>
                <w:szCs w:val="20"/>
                <w:color w:val="auto"/>
              </w:rPr>
            </w:pPr>
            <w:r>
              <w:rPr>
                <w:rFonts w:ascii="Arial" w:cs="Arial" w:eastAsia="Arial" w:hAnsi="Arial"/>
                <w:sz w:val="13"/>
                <w:szCs w:val="13"/>
                <w:b w:val="1"/>
                <w:bCs w:val="1"/>
                <w:color w:val="003B71"/>
                <w:w w:val="97"/>
              </w:rPr>
              <w:t>Awards</w:t>
            </w:r>
          </w:p>
        </w:tc>
        <w:tc>
          <w:tcPr>
            <w:tcW w:w="0" w:type="dxa"/>
            <w:vAlign w:val="bottom"/>
          </w:tcPr>
          <w:p>
            <w:pPr>
              <w:spacing w:after="0"/>
              <w:rPr>
                <w:sz w:val="1"/>
                <w:szCs w:val="1"/>
                <w:color w:val="auto"/>
              </w:rPr>
            </w:pPr>
          </w:p>
        </w:tc>
      </w:tr>
      <w:tr>
        <w:trPr>
          <w:trHeight w:val="162"/>
        </w:trPr>
        <w:tc>
          <w:tcPr>
            <w:tcW w:w="1580" w:type="dxa"/>
            <w:vAlign w:val="bottom"/>
            <w:tcBorders>
              <w:bottom w:val="single" w:sz="8" w:color="003B71"/>
            </w:tcBorders>
          </w:tcPr>
          <w:p>
            <w:pPr>
              <w:ind w:left="60"/>
              <w:spacing w:after="0"/>
              <w:rPr>
                <w:sz w:val="20"/>
                <w:szCs w:val="20"/>
                <w:color w:val="auto"/>
              </w:rPr>
            </w:pPr>
            <w:r>
              <w:rPr>
                <w:rFonts w:ascii="Arial" w:cs="Arial" w:eastAsia="Arial" w:hAnsi="Arial"/>
                <w:sz w:val="13"/>
                <w:szCs w:val="13"/>
                <w:b w:val="1"/>
                <w:bCs w:val="1"/>
                <w:color w:val="003B71"/>
              </w:rPr>
              <w:t>Name</w:t>
            </w:r>
          </w:p>
        </w:tc>
        <w:tc>
          <w:tcPr>
            <w:tcW w:w="880" w:type="dxa"/>
            <w:vAlign w:val="bottom"/>
            <w:tcBorders>
              <w:bottom w:val="single" w:sz="8" w:color="003B71"/>
            </w:tcBorders>
          </w:tcPr>
          <w:p>
            <w:pPr>
              <w:spacing w:after="0"/>
              <w:rPr>
                <w:sz w:val="14"/>
                <w:szCs w:val="14"/>
                <w:color w:val="auto"/>
              </w:rPr>
            </w:pPr>
          </w:p>
        </w:tc>
        <w:tc>
          <w:tcPr>
            <w:tcW w:w="100" w:type="dxa"/>
            <w:vAlign w:val="bottom"/>
            <w:tcBorders>
              <w:bottom w:val="single" w:sz="8" w:color="003B71"/>
            </w:tcBorders>
          </w:tcPr>
          <w:p>
            <w:pPr>
              <w:spacing w:after="0"/>
              <w:rPr>
                <w:sz w:val="14"/>
                <w:szCs w:val="14"/>
                <w:color w:val="auto"/>
              </w:rPr>
            </w:pPr>
          </w:p>
        </w:tc>
        <w:tc>
          <w:tcPr>
            <w:tcW w:w="620" w:type="dxa"/>
            <w:vAlign w:val="bottom"/>
            <w:tcBorders>
              <w:bottom w:val="single" w:sz="8" w:color="003B71"/>
            </w:tcBorders>
          </w:tcPr>
          <w:p>
            <w:pPr>
              <w:jc w:val="right"/>
              <w:ind w:right="113"/>
              <w:spacing w:after="0"/>
              <w:rPr>
                <w:sz w:val="20"/>
                <w:szCs w:val="20"/>
                <w:color w:val="auto"/>
              </w:rPr>
            </w:pPr>
            <w:r>
              <w:rPr>
                <w:rFonts w:ascii="Arial" w:cs="Arial" w:eastAsia="Arial" w:hAnsi="Arial"/>
                <w:sz w:val="13"/>
                <w:szCs w:val="13"/>
                <w:b w:val="1"/>
                <w:bCs w:val="1"/>
                <w:color w:val="003B71"/>
              </w:rPr>
              <w:t>Date</w:t>
            </w:r>
          </w:p>
        </w:tc>
        <w:tc>
          <w:tcPr>
            <w:tcW w:w="800" w:type="dxa"/>
            <w:vAlign w:val="bottom"/>
            <w:tcBorders>
              <w:bottom w:val="single" w:sz="8" w:color="003B71"/>
            </w:tcBorders>
          </w:tcPr>
          <w:p>
            <w:pPr>
              <w:jc w:val="right"/>
              <w:ind w:right="217"/>
              <w:spacing w:after="0"/>
              <w:rPr>
                <w:sz w:val="20"/>
                <w:szCs w:val="20"/>
                <w:color w:val="auto"/>
              </w:rPr>
            </w:pPr>
            <w:r>
              <w:rPr>
                <w:rFonts w:ascii="Arial" w:cs="Arial" w:eastAsia="Arial" w:hAnsi="Arial"/>
                <w:sz w:val="13"/>
                <w:szCs w:val="13"/>
                <w:b w:val="1"/>
                <w:bCs w:val="1"/>
                <w:color w:val="003B71"/>
              </w:rPr>
              <w:t>($)</w:t>
            </w:r>
          </w:p>
        </w:tc>
        <w:tc>
          <w:tcPr>
            <w:tcW w:w="580" w:type="dxa"/>
            <w:vAlign w:val="bottom"/>
            <w:tcBorders>
              <w:bottom w:val="single" w:sz="8" w:color="003B71"/>
            </w:tcBorders>
          </w:tcPr>
          <w:p>
            <w:pPr>
              <w:jc w:val="right"/>
              <w:ind w:right="177"/>
              <w:spacing w:after="0"/>
              <w:rPr>
                <w:sz w:val="20"/>
                <w:szCs w:val="20"/>
                <w:color w:val="auto"/>
              </w:rPr>
            </w:pPr>
            <w:r>
              <w:rPr>
                <w:rFonts w:ascii="Arial" w:cs="Arial" w:eastAsia="Arial" w:hAnsi="Arial"/>
                <w:sz w:val="13"/>
                <w:szCs w:val="13"/>
                <w:b w:val="1"/>
                <w:bCs w:val="1"/>
                <w:color w:val="003B71"/>
              </w:rPr>
              <w:t>($)</w:t>
            </w:r>
          </w:p>
        </w:tc>
        <w:tc>
          <w:tcPr>
            <w:tcW w:w="640" w:type="dxa"/>
            <w:vAlign w:val="bottom"/>
            <w:tcBorders>
              <w:bottom w:val="single" w:sz="8" w:color="003B71"/>
            </w:tcBorders>
          </w:tcPr>
          <w:p>
            <w:pPr>
              <w:jc w:val="right"/>
              <w:ind w:right="197"/>
              <w:spacing w:after="0"/>
              <w:rPr>
                <w:sz w:val="20"/>
                <w:szCs w:val="20"/>
                <w:color w:val="auto"/>
              </w:rPr>
            </w:pPr>
            <w:r>
              <w:rPr>
                <w:rFonts w:ascii="Arial" w:cs="Arial" w:eastAsia="Arial" w:hAnsi="Arial"/>
                <w:sz w:val="13"/>
                <w:szCs w:val="13"/>
                <w:b w:val="1"/>
                <w:bCs w:val="1"/>
                <w:color w:val="003B71"/>
              </w:rPr>
              <w:t>($)</w:t>
            </w:r>
          </w:p>
        </w:tc>
        <w:tc>
          <w:tcPr>
            <w:tcW w:w="220" w:type="dxa"/>
            <w:vAlign w:val="bottom"/>
            <w:tcBorders>
              <w:bottom w:val="single" w:sz="8" w:color="003B71"/>
            </w:tcBorders>
          </w:tcPr>
          <w:p>
            <w:pPr>
              <w:spacing w:after="0"/>
              <w:rPr>
                <w:sz w:val="14"/>
                <w:szCs w:val="14"/>
                <w:color w:val="auto"/>
              </w:rPr>
            </w:pPr>
          </w:p>
        </w:tc>
        <w:tc>
          <w:tcPr>
            <w:tcW w:w="800" w:type="dxa"/>
            <w:vAlign w:val="bottom"/>
            <w:tcBorders>
              <w:bottom w:val="single" w:sz="8" w:color="003B71"/>
            </w:tcBorders>
          </w:tcPr>
          <w:p>
            <w:pPr>
              <w:jc w:val="right"/>
              <w:ind w:right="253"/>
              <w:spacing w:after="0"/>
              <w:rPr>
                <w:sz w:val="20"/>
                <w:szCs w:val="20"/>
                <w:color w:val="auto"/>
              </w:rPr>
            </w:pPr>
            <w:r>
              <w:rPr>
                <w:rFonts w:ascii="Arial" w:cs="Arial" w:eastAsia="Arial" w:hAnsi="Arial"/>
                <w:sz w:val="13"/>
                <w:szCs w:val="13"/>
                <w:b w:val="1"/>
                <w:bCs w:val="1"/>
                <w:color w:val="003B71"/>
              </w:rPr>
              <w:t>(#)</w:t>
            </w:r>
          </w:p>
        </w:tc>
        <w:tc>
          <w:tcPr>
            <w:tcW w:w="680" w:type="dxa"/>
            <w:vAlign w:val="bottom"/>
            <w:tcBorders>
              <w:bottom w:val="single" w:sz="8" w:color="003B71"/>
            </w:tcBorders>
          </w:tcPr>
          <w:p>
            <w:pPr>
              <w:jc w:val="center"/>
              <w:ind w:right="11"/>
              <w:spacing w:after="0"/>
              <w:rPr>
                <w:sz w:val="20"/>
                <w:szCs w:val="20"/>
                <w:color w:val="auto"/>
              </w:rPr>
            </w:pPr>
            <w:r>
              <w:rPr>
                <w:rFonts w:ascii="Arial" w:cs="Arial" w:eastAsia="Arial" w:hAnsi="Arial"/>
                <w:sz w:val="13"/>
                <w:szCs w:val="13"/>
                <w:b w:val="1"/>
                <w:bCs w:val="1"/>
                <w:color w:val="003B71"/>
              </w:rPr>
              <w:t>(#)</w:t>
            </w:r>
          </w:p>
        </w:tc>
        <w:tc>
          <w:tcPr>
            <w:tcW w:w="620" w:type="dxa"/>
            <w:vAlign w:val="bottom"/>
            <w:tcBorders>
              <w:bottom w:val="single" w:sz="8" w:color="003B71"/>
            </w:tcBorders>
          </w:tcPr>
          <w:p>
            <w:pPr>
              <w:jc w:val="right"/>
              <w:ind w:right="191"/>
              <w:spacing w:after="0"/>
              <w:rPr>
                <w:sz w:val="20"/>
                <w:szCs w:val="20"/>
                <w:color w:val="auto"/>
              </w:rPr>
            </w:pPr>
            <w:r>
              <w:rPr>
                <w:rFonts w:ascii="Arial" w:cs="Arial" w:eastAsia="Arial" w:hAnsi="Arial"/>
                <w:sz w:val="13"/>
                <w:szCs w:val="13"/>
                <w:b w:val="1"/>
                <w:bCs w:val="1"/>
                <w:color w:val="003B71"/>
              </w:rPr>
              <w:t>(#)</w:t>
            </w:r>
          </w:p>
        </w:tc>
        <w:tc>
          <w:tcPr>
            <w:tcW w:w="1140" w:type="dxa"/>
            <w:vAlign w:val="bottom"/>
            <w:tcBorders>
              <w:bottom w:val="single" w:sz="8" w:color="003B71"/>
            </w:tcBorders>
          </w:tcPr>
          <w:p>
            <w:pPr>
              <w:jc w:val="center"/>
              <w:ind w:left="193"/>
              <w:spacing w:after="0"/>
              <w:rPr>
                <w:sz w:val="20"/>
                <w:szCs w:val="20"/>
                <w:color w:val="auto"/>
              </w:rPr>
            </w:pPr>
            <w:r>
              <w:rPr>
                <w:rFonts w:ascii="Arial" w:cs="Arial" w:eastAsia="Arial" w:hAnsi="Arial"/>
                <w:sz w:val="13"/>
                <w:szCs w:val="13"/>
                <w:b w:val="1"/>
                <w:bCs w:val="1"/>
                <w:color w:val="003B71"/>
                <w:w w:val="98"/>
              </w:rPr>
              <w:t>Units</w:t>
            </w:r>
          </w:p>
        </w:tc>
        <w:tc>
          <w:tcPr>
            <w:tcW w:w="90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3"/>
              </w:rPr>
              <w:t>Options</w:t>
            </w:r>
          </w:p>
        </w:tc>
        <w:tc>
          <w:tcPr>
            <w:tcW w:w="660" w:type="dxa"/>
            <w:vAlign w:val="bottom"/>
            <w:tcBorders>
              <w:bottom w:val="single" w:sz="8" w:color="003B71"/>
            </w:tcBorders>
          </w:tcPr>
          <w:p>
            <w:pPr>
              <w:jc w:val="center"/>
              <w:spacing w:after="0"/>
              <w:rPr>
                <w:sz w:val="20"/>
                <w:szCs w:val="20"/>
                <w:color w:val="auto"/>
              </w:rPr>
            </w:pPr>
            <w:r>
              <w:rPr>
                <w:rFonts w:ascii="Arial" w:cs="Arial" w:eastAsia="Arial" w:hAnsi="Arial"/>
                <w:sz w:val="13"/>
                <w:szCs w:val="13"/>
                <w:b w:val="1"/>
                <w:bCs w:val="1"/>
                <w:color w:val="003B71"/>
                <w:w w:val="98"/>
              </w:rPr>
              <w:t>Share)</w:t>
            </w:r>
          </w:p>
        </w:tc>
        <w:tc>
          <w:tcPr>
            <w:tcW w:w="800" w:type="dxa"/>
            <w:vAlign w:val="bottom"/>
            <w:tcBorders>
              <w:bottom w:val="single" w:sz="8" w:color="003B71"/>
            </w:tcBorders>
          </w:tcPr>
          <w:p>
            <w:pPr>
              <w:jc w:val="center"/>
              <w:ind w:right="12"/>
              <w:spacing w:after="0"/>
              <w:rPr>
                <w:sz w:val="20"/>
                <w:szCs w:val="20"/>
                <w:color w:val="auto"/>
              </w:rPr>
            </w:pPr>
            <w:r>
              <w:rPr>
                <w:rFonts w:ascii="Arial" w:cs="Arial" w:eastAsia="Arial" w:hAnsi="Arial"/>
                <w:sz w:val="13"/>
                <w:szCs w:val="13"/>
                <w:b w:val="1"/>
                <w:bCs w:val="1"/>
                <w:color w:val="003B71"/>
              </w:rPr>
              <w:t>($)</w:t>
            </w:r>
          </w:p>
        </w:tc>
        <w:tc>
          <w:tcPr>
            <w:tcW w:w="0" w:type="dxa"/>
            <w:vAlign w:val="bottom"/>
          </w:tcPr>
          <w:p>
            <w:pPr>
              <w:spacing w:after="0"/>
              <w:rPr>
                <w:sz w:val="1"/>
                <w:szCs w:val="1"/>
                <w:color w:val="auto"/>
              </w:rPr>
            </w:pPr>
          </w:p>
        </w:tc>
      </w:tr>
      <w:tr>
        <w:trPr>
          <w:trHeight w:val="160"/>
        </w:trPr>
        <w:tc>
          <w:tcPr>
            <w:tcW w:w="1580" w:type="dxa"/>
            <w:vAlign w:val="bottom"/>
            <w:shd w:val="clear" w:color="auto" w:fill="E5E5E5"/>
          </w:tcPr>
          <w:p>
            <w:pPr>
              <w:ind w:left="60"/>
              <w:spacing w:after="0"/>
              <w:rPr>
                <w:sz w:val="20"/>
                <w:szCs w:val="20"/>
                <w:color w:val="auto"/>
              </w:rPr>
            </w:pPr>
            <w:r>
              <w:rPr>
                <w:rFonts w:ascii="Arial" w:cs="Arial" w:eastAsia="Arial" w:hAnsi="Arial"/>
                <w:sz w:val="14"/>
                <w:szCs w:val="14"/>
                <w:color w:val="auto"/>
              </w:rPr>
              <w:t>Brian A. Jenkins</w:t>
            </w: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Cash</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E5E5E5"/>
          </w:tcPr>
          <w:p>
            <w:pPr>
              <w:spacing w:after="0"/>
              <w:rPr>
                <w:sz w:val="13"/>
                <w:szCs w:val="13"/>
                <w:color w:val="auto"/>
              </w:rPr>
            </w:pPr>
          </w:p>
        </w:tc>
        <w:tc>
          <w:tcPr>
            <w:tcW w:w="88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Incentive</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E5E5E5"/>
          </w:tcPr>
          <w:p>
            <w:pPr>
              <w:spacing w:after="0"/>
              <w:rPr>
                <w:sz w:val="13"/>
                <w:szCs w:val="13"/>
                <w:color w:val="auto"/>
              </w:rPr>
            </w:pPr>
          </w:p>
        </w:tc>
        <w:tc>
          <w:tcPr>
            <w:tcW w:w="88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Cash</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MSUs(1)</w:t>
            </w:r>
          </w:p>
        </w:tc>
        <w:tc>
          <w:tcPr>
            <w:tcW w:w="7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13"/>
              <w:spacing w:after="0"/>
              <w:rPr>
                <w:sz w:val="20"/>
                <w:szCs w:val="20"/>
                <w:color w:val="auto"/>
              </w:rPr>
            </w:pPr>
            <w:r>
              <w:rPr>
                <w:rFonts w:ascii="Arial" w:cs="Arial" w:eastAsia="Arial" w:hAnsi="Arial"/>
                <w:sz w:val="14"/>
                <w:szCs w:val="14"/>
                <w:color w:val="auto"/>
              </w:rPr>
              <w:t>0</w:t>
            </w:r>
          </w:p>
        </w:tc>
        <w:tc>
          <w:tcPr>
            <w:tcW w:w="6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87,577</w:t>
            </w: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175,154</w:t>
            </w: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32"/>
              <w:spacing w:after="0"/>
              <w:rPr>
                <w:sz w:val="20"/>
                <w:szCs w:val="20"/>
                <w:color w:val="auto"/>
              </w:rPr>
            </w:pPr>
            <w:r>
              <w:rPr>
                <w:rFonts w:ascii="Arial" w:cs="Arial" w:eastAsia="Arial" w:hAnsi="Arial"/>
                <w:sz w:val="14"/>
                <w:szCs w:val="14"/>
                <w:color w:val="auto"/>
              </w:rPr>
              <w:t>1,339,928</w:t>
            </w:r>
          </w:p>
        </w:tc>
        <w:tc>
          <w:tcPr>
            <w:tcW w:w="0" w:type="dxa"/>
            <w:vAlign w:val="bottom"/>
          </w:tcPr>
          <w:p>
            <w:pPr>
              <w:spacing w:after="0"/>
              <w:rPr>
                <w:sz w:val="1"/>
                <w:szCs w:val="1"/>
                <w:color w:val="auto"/>
              </w:rPr>
            </w:pPr>
          </w:p>
        </w:tc>
      </w:tr>
      <w:tr>
        <w:trPr>
          <w:trHeight w:val="162"/>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RSUs(2)</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110,936</w:t>
            </w: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32"/>
              <w:spacing w:after="0"/>
              <w:rPr>
                <w:sz w:val="20"/>
                <w:szCs w:val="20"/>
                <w:color w:val="auto"/>
              </w:rPr>
            </w:pPr>
            <w:r>
              <w:rPr>
                <w:rFonts w:ascii="Arial" w:cs="Arial" w:eastAsia="Arial" w:hAnsi="Arial"/>
                <w:sz w:val="14"/>
                <w:szCs w:val="14"/>
                <w:color w:val="auto"/>
              </w:rPr>
              <w:t>1,199,218</w:t>
            </w:r>
          </w:p>
        </w:tc>
        <w:tc>
          <w:tcPr>
            <w:tcW w:w="0" w:type="dxa"/>
            <w:vAlign w:val="bottom"/>
          </w:tcPr>
          <w:p>
            <w:pPr>
              <w:spacing w:after="0"/>
              <w:rPr>
                <w:sz w:val="1"/>
                <w:szCs w:val="1"/>
                <w:color w:val="auto"/>
              </w:rPr>
            </w:pPr>
          </w:p>
        </w:tc>
      </w:tr>
      <w:tr>
        <w:trPr>
          <w:trHeight w:val="167"/>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E5E5E5"/>
          </w:tcPr>
          <w:p>
            <w:pPr>
              <w:spacing w:after="0"/>
              <w:rPr>
                <w:sz w:val="13"/>
                <w:szCs w:val="13"/>
                <w:color w:val="auto"/>
              </w:rPr>
            </w:pPr>
          </w:p>
        </w:tc>
        <w:tc>
          <w:tcPr>
            <w:tcW w:w="88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Options</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60"/>
              <w:spacing w:after="0"/>
              <w:rPr>
                <w:sz w:val="20"/>
                <w:szCs w:val="20"/>
                <w:color w:val="auto"/>
              </w:rPr>
            </w:pPr>
            <w:r>
              <w:rPr>
                <w:rFonts w:ascii="Arial" w:cs="Arial" w:eastAsia="Arial" w:hAnsi="Arial"/>
                <w:sz w:val="14"/>
                <w:szCs w:val="14"/>
                <w:color w:val="auto"/>
              </w:rPr>
              <w:t>Scott Bowman</w:t>
            </w:r>
          </w:p>
        </w:tc>
        <w:tc>
          <w:tcPr>
            <w:tcW w:w="880" w:type="dxa"/>
            <w:vAlign w:val="bottom"/>
          </w:tcPr>
          <w:p>
            <w:pPr>
              <w:ind w:left="40"/>
              <w:spacing w:after="0"/>
              <w:rPr>
                <w:sz w:val="20"/>
                <w:szCs w:val="20"/>
                <w:color w:val="auto"/>
              </w:rPr>
            </w:pPr>
            <w:r>
              <w:rPr>
                <w:rFonts w:ascii="Arial" w:cs="Arial" w:eastAsia="Arial" w:hAnsi="Arial"/>
                <w:sz w:val="14"/>
                <w:szCs w:val="14"/>
                <w:color w:val="auto"/>
              </w:rPr>
              <w:t>Cash</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Incentive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Cash</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MSUs(1)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680" w:type="dxa"/>
            <w:vAlign w:val="bottom"/>
          </w:tcPr>
          <w:p>
            <w:pPr>
              <w:ind w:left="100"/>
              <w:spacing w:after="0"/>
              <w:rPr>
                <w:sz w:val="20"/>
                <w:szCs w:val="20"/>
                <w:color w:val="auto"/>
              </w:rPr>
            </w:pPr>
            <w:r>
              <w:rPr>
                <w:rFonts w:ascii="Arial" w:cs="Arial" w:eastAsia="Arial" w:hAnsi="Arial"/>
                <w:sz w:val="14"/>
                <w:szCs w:val="14"/>
                <w:color w:val="auto"/>
              </w:rPr>
              <w:t>27,065</w:t>
            </w:r>
          </w:p>
        </w:tc>
        <w:tc>
          <w:tcPr>
            <w:tcW w:w="620" w:type="dxa"/>
            <w:vAlign w:val="bottom"/>
          </w:tcPr>
          <w:p>
            <w:pPr>
              <w:jc w:val="right"/>
              <w:spacing w:after="0"/>
              <w:rPr>
                <w:sz w:val="20"/>
                <w:szCs w:val="20"/>
                <w:color w:val="auto"/>
              </w:rPr>
            </w:pPr>
            <w:r>
              <w:rPr>
                <w:rFonts w:ascii="Arial" w:cs="Arial" w:eastAsia="Arial" w:hAnsi="Arial"/>
                <w:sz w:val="14"/>
                <w:szCs w:val="14"/>
                <w:color w:val="auto"/>
              </w:rPr>
              <w:t>54,130</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414,095</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RSUs(2)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34,284</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370,610</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880" w:type="dxa"/>
            <w:vAlign w:val="bottom"/>
          </w:tcPr>
          <w:p>
            <w:pPr>
              <w:ind w:left="40"/>
              <w:spacing w:after="0" w:line="157"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E5E5E5"/>
          </w:tcPr>
          <w:p>
            <w:pPr>
              <w:ind w:left="60"/>
              <w:spacing w:after="0"/>
              <w:rPr>
                <w:sz w:val="20"/>
                <w:szCs w:val="20"/>
                <w:color w:val="auto"/>
              </w:rPr>
            </w:pPr>
            <w:r>
              <w:rPr>
                <w:rFonts w:ascii="Arial" w:cs="Arial" w:eastAsia="Arial" w:hAnsi="Arial"/>
                <w:sz w:val="14"/>
                <w:szCs w:val="14"/>
                <w:color w:val="auto"/>
              </w:rPr>
              <w:t>Margo L. Manning</w:t>
            </w: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Cash</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E5E5E5"/>
          </w:tcPr>
          <w:p>
            <w:pPr>
              <w:spacing w:after="0"/>
              <w:rPr>
                <w:sz w:val="13"/>
                <w:szCs w:val="13"/>
                <w:color w:val="auto"/>
              </w:rPr>
            </w:pPr>
          </w:p>
        </w:tc>
        <w:tc>
          <w:tcPr>
            <w:tcW w:w="88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Incentive</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E5E5E5"/>
          </w:tcPr>
          <w:p>
            <w:pPr>
              <w:spacing w:after="0"/>
              <w:rPr>
                <w:sz w:val="13"/>
                <w:szCs w:val="13"/>
                <w:color w:val="auto"/>
              </w:rPr>
            </w:pPr>
          </w:p>
        </w:tc>
        <w:tc>
          <w:tcPr>
            <w:tcW w:w="88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Cash</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MSUs(1)</w:t>
            </w:r>
          </w:p>
        </w:tc>
        <w:tc>
          <w:tcPr>
            <w:tcW w:w="7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13"/>
              <w:spacing w:after="0"/>
              <w:rPr>
                <w:sz w:val="20"/>
                <w:szCs w:val="20"/>
                <w:color w:val="auto"/>
              </w:rPr>
            </w:pPr>
            <w:r>
              <w:rPr>
                <w:rFonts w:ascii="Arial" w:cs="Arial" w:eastAsia="Arial" w:hAnsi="Arial"/>
                <w:sz w:val="14"/>
                <w:szCs w:val="14"/>
                <w:color w:val="auto"/>
              </w:rPr>
              <w:t>0</w:t>
            </w:r>
          </w:p>
        </w:tc>
        <w:tc>
          <w:tcPr>
            <w:tcW w:w="6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36,234</w:t>
            </w: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72,648</w:t>
            </w: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32"/>
              <w:spacing w:after="0"/>
              <w:rPr>
                <w:sz w:val="20"/>
                <w:szCs w:val="20"/>
                <w:color w:val="auto"/>
              </w:rPr>
            </w:pPr>
            <w:r>
              <w:rPr>
                <w:rFonts w:ascii="Arial" w:cs="Arial" w:eastAsia="Arial" w:hAnsi="Arial"/>
                <w:sz w:val="14"/>
                <w:szCs w:val="14"/>
                <w:color w:val="auto"/>
              </w:rPr>
              <w:t>555,757</w:t>
            </w:r>
          </w:p>
        </w:tc>
        <w:tc>
          <w:tcPr>
            <w:tcW w:w="0" w:type="dxa"/>
            <w:vAlign w:val="bottom"/>
          </w:tcPr>
          <w:p>
            <w:pPr>
              <w:spacing w:after="0"/>
              <w:rPr>
                <w:sz w:val="1"/>
                <w:szCs w:val="1"/>
                <w:color w:val="auto"/>
              </w:rPr>
            </w:pPr>
          </w:p>
        </w:tc>
      </w:tr>
      <w:tr>
        <w:trPr>
          <w:trHeight w:val="162"/>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RSUs(2)</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46,013</w:t>
            </w: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32"/>
              <w:spacing w:after="0"/>
              <w:rPr>
                <w:sz w:val="20"/>
                <w:szCs w:val="20"/>
                <w:color w:val="auto"/>
              </w:rPr>
            </w:pPr>
            <w:r>
              <w:rPr>
                <w:rFonts w:ascii="Arial" w:cs="Arial" w:eastAsia="Arial" w:hAnsi="Arial"/>
                <w:sz w:val="14"/>
                <w:szCs w:val="14"/>
                <w:color w:val="auto"/>
              </w:rPr>
              <w:t>497,401</w:t>
            </w:r>
          </w:p>
        </w:tc>
        <w:tc>
          <w:tcPr>
            <w:tcW w:w="0" w:type="dxa"/>
            <w:vAlign w:val="bottom"/>
          </w:tcPr>
          <w:p>
            <w:pPr>
              <w:spacing w:after="0"/>
              <w:rPr>
                <w:sz w:val="1"/>
                <w:szCs w:val="1"/>
                <w:color w:val="auto"/>
              </w:rPr>
            </w:pPr>
          </w:p>
        </w:tc>
      </w:tr>
      <w:tr>
        <w:trPr>
          <w:trHeight w:val="167"/>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E5E5E5"/>
          </w:tcPr>
          <w:p>
            <w:pPr>
              <w:spacing w:after="0"/>
              <w:rPr>
                <w:sz w:val="13"/>
                <w:szCs w:val="13"/>
                <w:color w:val="auto"/>
              </w:rPr>
            </w:pPr>
          </w:p>
        </w:tc>
        <w:tc>
          <w:tcPr>
            <w:tcW w:w="88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Options</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60"/>
              <w:spacing w:after="0"/>
              <w:rPr>
                <w:sz w:val="20"/>
                <w:szCs w:val="20"/>
                <w:color w:val="auto"/>
              </w:rPr>
            </w:pPr>
            <w:r>
              <w:rPr>
                <w:rFonts w:ascii="Arial" w:cs="Arial" w:eastAsia="Arial" w:hAnsi="Arial"/>
                <w:sz w:val="14"/>
                <w:szCs w:val="14"/>
                <w:color w:val="auto"/>
              </w:rPr>
              <w:t>John B. Mulleady</w:t>
            </w:r>
          </w:p>
        </w:tc>
        <w:tc>
          <w:tcPr>
            <w:tcW w:w="880" w:type="dxa"/>
            <w:vAlign w:val="bottom"/>
          </w:tcPr>
          <w:p>
            <w:pPr>
              <w:ind w:left="40"/>
              <w:spacing w:after="0"/>
              <w:rPr>
                <w:sz w:val="20"/>
                <w:szCs w:val="20"/>
                <w:color w:val="auto"/>
              </w:rPr>
            </w:pPr>
            <w:r>
              <w:rPr>
                <w:rFonts w:ascii="Arial" w:cs="Arial" w:eastAsia="Arial" w:hAnsi="Arial"/>
                <w:sz w:val="14"/>
                <w:szCs w:val="14"/>
                <w:color w:val="auto"/>
              </w:rPr>
              <w:t>Cash</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Incentive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Cash</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MSUs(1)</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3"/>
              <w:spacing w:after="0"/>
              <w:rPr>
                <w:sz w:val="20"/>
                <w:szCs w:val="20"/>
                <w:color w:val="auto"/>
              </w:rPr>
            </w:pPr>
            <w:r>
              <w:rPr>
                <w:rFonts w:ascii="Arial" w:cs="Arial" w:eastAsia="Arial" w:hAnsi="Arial"/>
                <w:sz w:val="14"/>
                <w:szCs w:val="14"/>
                <w:color w:val="auto"/>
              </w:rPr>
              <w:t>0</w:t>
            </w:r>
          </w:p>
        </w:tc>
        <w:tc>
          <w:tcPr>
            <w:tcW w:w="680" w:type="dxa"/>
            <w:vAlign w:val="bottom"/>
          </w:tcPr>
          <w:p>
            <w:pPr>
              <w:ind w:left="100"/>
              <w:spacing w:after="0"/>
              <w:rPr>
                <w:sz w:val="20"/>
                <w:szCs w:val="20"/>
                <w:color w:val="auto"/>
              </w:rPr>
            </w:pPr>
            <w:r>
              <w:rPr>
                <w:rFonts w:ascii="Arial" w:cs="Arial" w:eastAsia="Arial" w:hAnsi="Arial"/>
                <w:sz w:val="14"/>
                <w:szCs w:val="14"/>
                <w:color w:val="auto"/>
              </w:rPr>
              <w:t>24,507</w:t>
            </w:r>
          </w:p>
        </w:tc>
        <w:tc>
          <w:tcPr>
            <w:tcW w:w="620" w:type="dxa"/>
            <w:vAlign w:val="bottom"/>
          </w:tcPr>
          <w:p>
            <w:pPr>
              <w:jc w:val="right"/>
              <w:spacing w:after="0"/>
              <w:rPr>
                <w:sz w:val="20"/>
                <w:szCs w:val="20"/>
                <w:color w:val="auto"/>
              </w:rPr>
            </w:pPr>
            <w:r>
              <w:rPr>
                <w:rFonts w:ascii="Arial" w:cs="Arial" w:eastAsia="Arial" w:hAnsi="Arial"/>
                <w:sz w:val="14"/>
                <w:szCs w:val="14"/>
                <w:color w:val="auto"/>
              </w:rPr>
              <w:t>49,014</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374,957</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RSUs(2)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31,043</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335,575</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880" w:type="dxa"/>
            <w:vAlign w:val="bottom"/>
          </w:tcPr>
          <w:p>
            <w:pPr>
              <w:ind w:left="40"/>
              <w:spacing w:after="0" w:line="157"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E5E5E5"/>
          </w:tcPr>
          <w:p>
            <w:pPr>
              <w:ind w:left="60"/>
              <w:spacing w:after="0"/>
              <w:rPr>
                <w:sz w:val="20"/>
                <w:szCs w:val="20"/>
                <w:color w:val="auto"/>
              </w:rPr>
            </w:pPr>
            <w:r>
              <w:rPr>
                <w:rFonts w:ascii="Arial" w:cs="Arial" w:eastAsia="Arial" w:hAnsi="Arial"/>
                <w:sz w:val="14"/>
                <w:szCs w:val="14"/>
                <w:color w:val="auto"/>
              </w:rPr>
              <w:t>Robert W. Edmund</w:t>
            </w: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Cash</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E5E5E5"/>
          </w:tcPr>
          <w:p>
            <w:pPr>
              <w:spacing w:after="0"/>
              <w:rPr>
                <w:sz w:val="13"/>
                <w:szCs w:val="13"/>
                <w:color w:val="auto"/>
              </w:rPr>
            </w:pPr>
          </w:p>
        </w:tc>
        <w:tc>
          <w:tcPr>
            <w:tcW w:w="88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Incentive</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E5E5E5"/>
          </w:tcPr>
          <w:p>
            <w:pPr>
              <w:spacing w:after="0"/>
              <w:rPr>
                <w:sz w:val="13"/>
                <w:szCs w:val="13"/>
                <w:color w:val="auto"/>
              </w:rPr>
            </w:pPr>
          </w:p>
        </w:tc>
        <w:tc>
          <w:tcPr>
            <w:tcW w:w="880" w:type="dxa"/>
            <w:vAlign w:val="bottom"/>
            <w:shd w:val="clear" w:color="auto" w:fill="E5E5E5"/>
          </w:tcPr>
          <w:p>
            <w:pPr>
              <w:ind w:left="40"/>
              <w:spacing w:after="0" w:line="157" w:lineRule="exact"/>
              <w:rPr>
                <w:sz w:val="20"/>
                <w:szCs w:val="20"/>
                <w:color w:val="auto"/>
              </w:rPr>
            </w:pPr>
            <w:r>
              <w:rPr>
                <w:rFonts w:ascii="Arial" w:cs="Arial" w:eastAsia="Arial" w:hAnsi="Arial"/>
                <w:sz w:val="14"/>
                <w:szCs w:val="14"/>
                <w:color w:val="auto"/>
              </w:rPr>
              <w:t>Cash</w:t>
            </w:r>
          </w:p>
        </w:tc>
        <w:tc>
          <w:tcPr>
            <w:tcW w:w="10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580" w:type="dxa"/>
            <w:vAlign w:val="bottom"/>
            <w:shd w:val="clear" w:color="auto" w:fill="E5E5E5"/>
          </w:tcPr>
          <w:p>
            <w:pPr>
              <w:spacing w:after="0"/>
              <w:rPr>
                <w:sz w:val="13"/>
                <w:szCs w:val="13"/>
                <w:color w:val="auto"/>
              </w:rPr>
            </w:pPr>
          </w:p>
        </w:tc>
        <w:tc>
          <w:tcPr>
            <w:tcW w:w="640" w:type="dxa"/>
            <w:vAlign w:val="bottom"/>
            <w:shd w:val="clear" w:color="auto" w:fill="E5E5E5"/>
          </w:tcPr>
          <w:p>
            <w:pPr>
              <w:spacing w:after="0"/>
              <w:rPr>
                <w:sz w:val="13"/>
                <w:szCs w:val="13"/>
                <w:color w:val="auto"/>
              </w:rPr>
            </w:pPr>
          </w:p>
        </w:tc>
        <w:tc>
          <w:tcPr>
            <w:tcW w:w="22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680" w:type="dxa"/>
            <w:vAlign w:val="bottom"/>
            <w:shd w:val="clear" w:color="auto" w:fill="E5E5E5"/>
          </w:tcPr>
          <w:p>
            <w:pPr>
              <w:spacing w:after="0"/>
              <w:rPr>
                <w:sz w:val="13"/>
                <w:szCs w:val="13"/>
                <w:color w:val="auto"/>
              </w:rPr>
            </w:pPr>
          </w:p>
        </w:tc>
        <w:tc>
          <w:tcPr>
            <w:tcW w:w="620" w:type="dxa"/>
            <w:vAlign w:val="bottom"/>
            <w:shd w:val="clear" w:color="auto" w:fill="E5E5E5"/>
          </w:tcPr>
          <w:p>
            <w:pPr>
              <w:spacing w:after="0"/>
              <w:rPr>
                <w:sz w:val="13"/>
                <w:szCs w:val="13"/>
                <w:color w:val="auto"/>
              </w:rPr>
            </w:pPr>
          </w:p>
        </w:tc>
        <w:tc>
          <w:tcPr>
            <w:tcW w:w="1140" w:type="dxa"/>
            <w:vAlign w:val="bottom"/>
            <w:shd w:val="clear" w:color="auto" w:fill="E5E5E5"/>
          </w:tcPr>
          <w:p>
            <w:pPr>
              <w:spacing w:after="0"/>
              <w:rPr>
                <w:sz w:val="13"/>
                <w:szCs w:val="13"/>
                <w:color w:val="auto"/>
              </w:rPr>
            </w:pPr>
          </w:p>
        </w:tc>
        <w:tc>
          <w:tcPr>
            <w:tcW w:w="900" w:type="dxa"/>
            <w:vAlign w:val="bottom"/>
            <w:shd w:val="clear" w:color="auto" w:fill="E5E5E5"/>
          </w:tcPr>
          <w:p>
            <w:pPr>
              <w:spacing w:after="0"/>
              <w:rPr>
                <w:sz w:val="13"/>
                <w:szCs w:val="13"/>
                <w:color w:val="auto"/>
              </w:rPr>
            </w:pPr>
          </w:p>
        </w:tc>
        <w:tc>
          <w:tcPr>
            <w:tcW w:w="660" w:type="dxa"/>
            <w:vAlign w:val="bottom"/>
            <w:shd w:val="clear" w:color="auto" w:fill="E5E5E5"/>
          </w:tcPr>
          <w:p>
            <w:pPr>
              <w:spacing w:after="0"/>
              <w:rPr>
                <w:sz w:val="13"/>
                <w:szCs w:val="13"/>
                <w:color w:val="auto"/>
              </w:rPr>
            </w:pPr>
          </w:p>
        </w:tc>
        <w:tc>
          <w:tcPr>
            <w:tcW w:w="800" w:type="dxa"/>
            <w:vAlign w:val="bottom"/>
            <w:shd w:val="clear" w:color="auto" w:fill="E5E5E5"/>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MSUs(1)</w:t>
            </w:r>
          </w:p>
        </w:tc>
        <w:tc>
          <w:tcPr>
            <w:tcW w:w="720" w:type="dxa"/>
            <w:vAlign w:val="bottom"/>
            <w:gridSpan w:val="2"/>
            <w:shd w:val="clear" w:color="auto" w:fill="E5E5E5"/>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13"/>
              <w:spacing w:after="0"/>
              <w:rPr>
                <w:sz w:val="20"/>
                <w:szCs w:val="20"/>
                <w:color w:val="auto"/>
              </w:rPr>
            </w:pPr>
            <w:r>
              <w:rPr>
                <w:rFonts w:ascii="Arial" w:cs="Arial" w:eastAsia="Arial" w:hAnsi="Arial"/>
                <w:sz w:val="14"/>
                <w:szCs w:val="14"/>
                <w:color w:val="auto"/>
              </w:rPr>
              <w:t>0</w:t>
            </w:r>
          </w:p>
        </w:tc>
        <w:tc>
          <w:tcPr>
            <w:tcW w:w="680" w:type="dxa"/>
            <w:vAlign w:val="bottom"/>
            <w:shd w:val="clear" w:color="auto" w:fill="E5E5E5"/>
          </w:tcPr>
          <w:p>
            <w:pPr>
              <w:ind w:left="100"/>
              <w:spacing w:after="0"/>
              <w:rPr>
                <w:sz w:val="20"/>
                <w:szCs w:val="20"/>
                <w:color w:val="auto"/>
              </w:rPr>
            </w:pPr>
            <w:r>
              <w:rPr>
                <w:rFonts w:ascii="Arial" w:cs="Arial" w:eastAsia="Arial" w:hAnsi="Arial"/>
                <w:sz w:val="14"/>
                <w:szCs w:val="14"/>
                <w:color w:val="auto"/>
              </w:rPr>
              <w:t>21,042</w:t>
            </w: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42,084</w:t>
            </w: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32"/>
              <w:spacing w:after="0"/>
              <w:rPr>
                <w:sz w:val="20"/>
                <w:szCs w:val="20"/>
                <w:color w:val="auto"/>
              </w:rPr>
            </w:pPr>
            <w:r>
              <w:rPr>
                <w:rFonts w:ascii="Arial" w:cs="Arial" w:eastAsia="Arial" w:hAnsi="Arial"/>
                <w:sz w:val="14"/>
                <w:szCs w:val="14"/>
                <w:color w:val="auto"/>
              </w:rPr>
              <w:t>321,943</w:t>
            </w:r>
          </w:p>
        </w:tc>
        <w:tc>
          <w:tcPr>
            <w:tcW w:w="0" w:type="dxa"/>
            <w:vAlign w:val="bottom"/>
          </w:tcPr>
          <w:p>
            <w:pPr>
              <w:spacing w:after="0"/>
              <w:rPr>
                <w:sz w:val="1"/>
                <w:szCs w:val="1"/>
                <w:color w:val="auto"/>
              </w:rPr>
            </w:pPr>
          </w:p>
        </w:tc>
      </w:tr>
      <w:tr>
        <w:trPr>
          <w:trHeight w:val="162"/>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RSUs(2)</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5/6/2020</w:t>
            </w: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26,655</w:t>
            </w: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jc w:val="right"/>
              <w:ind w:right="32"/>
              <w:spacing w:after="0"/>
              <w:rPr>
                <w:sz w:val="20"/>
                <w:szCs w:val="20"/>
                <w:color w:val="auto"/>
              </w:rPr>
            </w:pPr>
            <w:r>
              <w:rPr>
                <w:rFonts w:ascii="Arial" w:cs="Arial" w:eastAsia="Arial" w:hAnsi="Arial"/>
                <w:sz w:val="14"/>
                <w:szCs w:val="14"/>
                <w:color w:val="auto"/>
              </w:rPr>
              <w:t>288,141</w:t>
            </w:r>
          </w:p>
        </w:tc>
        <w:tc>
          <w:tcPr>
            <w:tcW w:w="0" w:type="dxa"/>
            <w:vAlign w:val="bottom"/>
          </w:tcPr>
          <w:p>
            <w:pPr>
              <w:spacing w:after="0"/>
              <w:rPr>
                <w:sz w:val="1"/>
                <w:szCs w:val="1"/>
                <w:color w:val="auto"/>
              </w:rPr>
            </w:pPr>
          </w:p>
        </w:tc>
      </w:tr>
      <w:tr>
        <w:trPr>
          <w:trHeight w:val="167"/>
        </w:trPr>
        <w:tc>
          <w:tcPr>
            <w:tcW w:w="1580" w:type="dxa"/>
            <w:vAlign w:val="bottom"/>
            <w:shd w:val="clear" w:color="auto" w:fill="E5E5E5"/>
          </w:tcPr>
          <w:p>
            <w:pPr>
              <w:spacing w:after="0"/>
              <w:rPr>
                <w:sz w:val="14"/>
                <w:szCs w:val="14"/>
                <w:color w:val="auto"/>
              </w:rPr>
            </w:pPr>
          </w:p>
        </w:tc>
        <w:tc>
          <w:tcPr>
            <w:tcW w:w="880" w:type="dxa"/>
            <w:vAlign w:val="bottom"/>
            <w:shd w:val="clear" w:color="auto" w:fill="E5E5E5"/>
          </w:tcPr>
          <w:p>
            <w:pPr>
              <w:ind w:left="40"/>
              <w:spacing w:after="0"/>
              <w:rPr>
                <w:sz w:val="20"/>
                <w:szCs w:val="20"/>
                <w:color w:val="auto"/>
              </w:rPr>
            </w:pPr>
            <w:r>
              <w:rPr>
                <w:rFonts w:ascii="Arial" w:cs="Arial" w:eastAsia="Arial" w:hAnsi="Arial"/>
                <w:sz w:val="14"/>
                <w:szCs w:val="14"/>
                <w:color w:val="auto"/>
              </w:rPr>
              <w:t>Stock</w:t>
            </w:r>
          </w:p>
        </w:tc>
        <w:tc>
          <w:tcPr>
            <w:tcW w:w="10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580" w:type="dxa"/>
            <w:vAlign w:val="bottom"/>
            <w:shd w:val="clear" w:color="auto" w:fill="E5E5E5"/>
          </w:tcPr>
          <w:p>
            <w:pPr>
              <w:spacing w:after="0"/>
              <w:rPr>
                <w:sz w:val="14"/>
                <w:szCs w:val="14"/>
                <w:color w:val="auto"/>
              </w:rPr>
            </w:pPr>
          </w:p>
        </w:tc>
        <w:tc>
          <w:tcPr>
            <w:tcW w:w="640" w:type="dxa"/>
            <w:vAlign w:val="bottom"/>
            <w:shd w:val="clear" w:color="auto" w:fill="E5E5E5"/>
          </w:tcPr>
          <w:p>
            <w:pPr>
              <w:spacing w:after="0"/>
              <w:rPr>
                <w:sz w:val="14"/>
                <w:szCs w:val="14"/>
                <w:color w:val="auto"/>
              </w:rPr>
            </w:pPr>
          </w:p>
        </w:tc>
        <w:tc>
          <w:tcPr>
            <w:tcW w:w="22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680" w:type="dxa"/>
            <w:vAlign w:val="bottom"/>
            <w:shd w:val="clear" w:color="auto" w:fill="E5E5E5"/>
          </w:tcPr>
          <w:p>
            <w:pPr>
              <w:spacing w:after="0"/>
              <w:rPr>
                <w:sz w:val="14"/>
                <w:szCs w:val="14"/>
                <w:color w:val="auto"/>
              </w:rPr>
            </w:pPr>
          </w:p>
        </w:tc>
        <w:tc>
          <w:tcPr>
            <w:tcW w:w="6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900" w:type="dxa"/>
            <w:vAlign w:val="bottom"/>
            <w:shd w:val="clear" w:color="auto" w:fill="E5E5E5"/>
          </w:tcPr>
          <w:p>
            <w:pPr>
              <w:spacing w:after="0"/>
              <w:rPr>
                <w:sz w:val="14"/>
                <w:szCs w:val="14"/>
                <w:color w:val="auto"/>
              </w:rPr>
            </w:pPr>
          </w:p>
        </w:tc>
        <w:tc>
          <w:tcPr>
            <w:tcW w:w="6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80" w:type="dxa"/>
            <w:vAlign w:val="bottom"/>
            <w:tcBorders>
              <w:bottom w:val="single" w:sz="8" w:color="003B71"/>
            </w:tcBorders>
            <w:shd w:val="clear" w:color="auto" w:fill="E5E5E5"/>
          </w:tcPr>
          <w:p>
            <w:pPr>
              <w:spacing w:after="0"/>
              <w:rPr>
                <w:sz w:val="13"/>
                <w:szCs w:val="13"/>
                <w:color w:val="auto"/>
              </w:rPr>
            </w:pPr>
          </w:p>
        </w:tc>
        <w:tc>
          <w:tcPr>
            <w:tcW w:w="880" w:type="dxa"/>
            <w:vAlign w:val="bottom"/>
            <w:tcBorders>
              <w:bottom w:val="single" w:sz="8" w:color="003B71"/>
            </w:tcBorders>
            <w:shd w:val="clear" w:color="auto" w:fill="E5E5E5"/>
          </w:tcPr>
          <w:p>
            <w:pPr>
              <w:ind w:left="40"/>
              <w:spacing w:after="0" w:line="157" w:lineRule="exact"/>
              <w:rPr>
                <w:sz w:val="20"/>
                <w:szCs w:val="20"/>
                <w:color w:val="auto"/>
              </w:rPr>
            </w:pPr>
            <w:r>
              <w:rPr>
                <w:rFonts w:ascii="Arial" w:cs="Arial" w:eastAsia="Arial" w:hAnsi="Arial"/>
                <w:sz w:val="14"/>
                <w:szCs w:val="14"/>
                <w:color w:val="auto"/>
              </w:rPr>
              <w:t>Options</w:t>
            </w:r>
          </w:p>
        </w:tc>
        <w:tc>
          <w:tcPr>
            <w:tcW w:w="100" w:type="dxa"/>
            <w:vAlign w:val="bottom"/>
            <w:tcBorders>
              <w:bottom w:val="single" w:sz="8" w:color="003B71"/>
            </w:tcBorders>
            <w:shd w:val="clear" w:color="auto" w:fill="E5E5E5"/>
          </w:tcPr>
          <w:p>
            <w:pPr>
              <w:spacing w:after="0"/>
              <w:rPr>
                <w:sz w:val="13"/>
                <w:szCs w:val="13"/>
                <w:color w:val="auto"/>
              </w:rPr>
            </w:pPr>
          </w:p>
        </w:tc>
        <w:tc>
          <w:tcPr>
            <w:tcW w:w="620" w:type="dxa"/>
            <w:vAlign w:val="bottom"/>
            <w:tcBorders>
              <w:bottom w:val="single" w:sz="8" w:color="003B71"/>
            </w:tcBorders>
            <w:shd w:val="clear" w:color="auto" w:fill="E5E5E5"/>
          </w:tcPr>
          <w:p>
            <w:pPr>
              <w:spacing w:after="0"/>
              <w:rPr>
                <w:sz w:val="13"/>
                <w:szCs w:val="13"/>
                <w:color w:val="auto"/>
              </w:rPr>
            </w:pPr>
          </w:p>
        </w:tc>
        <w:tc>
          <w:tcPr>
            <w:tcW w:w="800" w:type="dxa"/>
            <w:vAlign w:val="bottom"/>
            <w:tcBorders>
              <w:bottom w:val="single" w:sz="8" w:color="003B71"/>
            </w:tcBorders>
            <w:shd w:val="clear" w:color="auto" w:fill="E5E5E5"/>
          </w:tcPr>
          <w:p>
            <w:pPr>
              <w:spacing w:after="0"/>
              <w:rPr>
                <w:sz w:val="13"/>
                <w:szCs w:val="13"/>
                <w:color w:val="auto"/>
              </w:rPr>
            </w:pPr>
          </w:p>
        </w:tc>
        <w:tc>
          <w:tcPr>
            <w:tcW w:w="580" w:type="dxa"/>
            <w:vAlign w:val="bottom"/>
            <w:tcBorders>
              <w:bottom w:val="single" w:sz="8" w:color="003B71"/>
            </w:tcBorders>
            <w:shd w:val="clear" w:color="auto" w:fill="E5E5E5"/>
          </w:tcPr>
          <w:p>
            <w:pPr>
              <w:spacing w:after="0"/>
              <w:rPr>
                <w:sz w:val="13"/>
                <w:szCs w:val="13"/>
                <w:color w:val="auto"/>
              </w:rPr>
            </w:pPr>
          </w:p>
        </w:tc>
        <w:tc>
          <w:tcPr>
            <w:tcW w:w="640" w:type="dxa"/>
            <w:vAlign w:val="bottom"/>
            <w:tcBorders>
              <w:bottom w:val="single" w:sz="8" w:color="003B71"/>
            </w:tcBorders>
            <w:shd w:val="clear" w:color="auto" w:fill="E5E5E5"/>
          </w:tcPr>
          <w:p>
            <w:pPr>
              <w:spacing w:after="0"/>
              <w:rPr>
                <w:sz w:val="13"/>
                <w:szCs w:val="13"/>
                <w:color w:val="auto"/>
              </w:rPr>
            </w:pPr>
          </w:p>
        </w:tc>
        <w:tc>
          <w:tcPr>
            <w:tcW w:w="220" w:type="dxa"/>
            <w:vAlign w:val="bottom"/>
            <w:tcBorders>
              <w:bottom w:val="single" w:sz="8" w:color="003B71"/>
            </w:tcBorders>
            <w:shd w:val="clear" w:color="auto" w:fill="E5E5E5"/>
          </w:tcPr>
          <w:p>
            <w:pPr>
              <w:spacing w:after="0"/>
              <w:rPr>
                <w:sz w:val="13"/>
                <w:szCs w:val="13"/>
                <w:color w:val="auto"/>
              </w:rPr>
            </w:pPr>
          </w:p>
        </w:tc>
        <w:tc>
          <w:tcPr>
            <w:tcW w:w="800" w:type="dxa"/>
            <w:vAlign w:val="bottom"/>
            <w:tcBorders>
              <w:bottom w:val="single" w:sz="8" w:color="003B71"/>
            </w:tcBorders>
            <w:shd w:val="clear" w:color="auto" w:fill="E5E5E5"/>
          </w:tcPr>
          <w:p>
            <w:pPr>
              <w:spacing w:after="0"/>
              <w:rPr>
                <w:sz w:val="13"/>
                <w:szCs w:val="13"/>
                <w:color w:val="auto"/>
              </w:rPr>
            </w:pPr>
          </w:p>
        </w:tc>
        <w:tc>
          <w:tcPr>
            <w:tcW w:w="680" w:type="dxa"/>
            <w:vAlign w:val="bottom"/>
            <w:tcBorders>
              <w:bottom w:val="single" w:sz="8" w:color="003B71"/>
            </w:tcBorders>
            <w:shd w:val="clear" w:color="auto" w:fill="E5E5E5"/>
          </w:tcPr>
          <w:p>
            <w:pPr>
              <w:spacing w:after="0"/>
              <w:rPr>
                <w:sz w:val="13"/>
                <w:szCs w:val="13"/>
                <w:color w:val="auto"/>
              </w:rPr>
            </w:pPr>
          </w:p>
        </w:tc>
        <w:tc>
          <w:tcPr>
            <w:tcW w:w="620" w:type="dxa"/>
            <w:vAlign w:val="bottom"/>
            <w:tcBorders>
              <w:bottom w:val="single" w:sz="8" w:color="003B71"/>
            </w:tcBorders>
            <w:shd w:val="clear" w:color="auto" w:fill="E5E5E5"/>
          </w:tcPr>
          <w:p>
            <w:pPr>
              <w:spacing w:after="0"/>
              <w:rPr>
                <w:sz w:val="13"/>
                <w:szCs w:val="13"/>
                <w:color w:val="auto"/>
              </w:rPr>
            </w:pPr>
          </w:p>
        </w:tc>
        <w:tc>
          <w:tcPr>
            <w:tcW w:w="1140" w:type="dxa"/>
            <w:vAlign w:val="bottom"/>
            <w:tcBorders>
              <w:bottom w:val="single" w:sz="8" w:color="003B71"/>
            </w:tcBorders>
            <w:shd w:val="clear" w:color="auto" w:fill="E5E5E5"/>
          </w:tcPr>
          <w:p>
            <w:pPr>
              <w:spacing w:after="0"/>
              <w:rPr>
                <w:sz w:val="13"/>
                <w:szCs w:val="13"/>
                <w:color w:val="auto"/>
              </w:rPr>
            </w:pPr>
          </w:p>
        </w:tc>
        <w:tc>
          <w:tcPr>
            <w:tcW w:w="900" w:type="dxa"/>
            <w:vAlign w:val="bottom"/>
            <w:tcBorders>
              <w:bottom w:val="single" w:sz="8" w:color="003B71"/>
            </w:tcBorders>
            <w:shd w:val="clear" w:color="auto" w:fill="E5E5E5"/>
          </w:tcPr>
          <w:p>
            <w:pPr>
              <w:spacing w:after="0"/>
              <w:rPr>
                <w:sz w:val="13"/>
                <w:szCs w:val="13"/>
                <w:color w:val="auto"/>
              </w:rPr>
            </w:pPr>
          </w:p>
        </w:tc>
        <w:tc>
          <w:tcPr>
            <w:tcW w:w="660" w:type="dxa"/>
            <w:vAlign w:val="bottom"/>
            <w:tcBorders>
              <w:bottom w:val="single" w:sz="8" w:color="003B71"/>
            </w:tcBorders>
            <w:shd w:val="clear" w:color="auto" w:fill="E5E5E5"/>
          </w:tcPr>
          <w:p>
            <w:pPr>
              <w:spacing w:after="0"/>
              <w:rPr>
                <w:sz w:val="13"/>
                <w:szCs w:val="13"/>
                <w:color w:val="auto"/>
              </w:rPr>
            </w:pPr>
          </w:p>
        </w:tc>
        <w:tc>
          <w:tcPr>
            <w:tcW w:w="800" w:type="dxa"/>
            <w:vAlign w:val="bottom"/>
            <w:tcBorders>
              <w:bottom w:val="single" w:sz="8" w:color="003B71"/>
            </w:tcBorders>
            <w:shd w:val="clear" w:color="auto" w:fill="E5E5E5"/>
          </w:tcPr>
          <w:p>
            <w:pPr>
              <w:spacing w:after="0"/>
              <w:rPr>
                <w:sz w:val="13"/>
                <w:szCs w:val="13"/>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540" w:right="20" w:hanging="424"/>
        <w:spacing w:after="0" w:line="253"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MSUs – The shares shown in the “Threshold” column reflect the minimum payment level under the Company’s MSU component of the 2020 Business Recovery and Transformation Plan. The minimum award level is 0% of target (“Target”) and the maximum award is 200% of target (“Maximum”). Threshold is represented with the minimum possible payout.</w:t>
      </w:r>
    </w:p>
    <w:p>
      <w:pPr>
        <w:spacing w:after="0" w:line="66"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RSUs – The shares shown reflect an award of RSUs in accordance with the 2020 Business Recovery and Transformation Plan.</w:t>
      </w:r>
    </w:p>
    <w:p>
      <w:pPr>
        <w:spacing w:after="0" w:line="142"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39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Outstanding Equity Awards at Fiscal Year-End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400" w:type="dxa"/>
            <w:vAlign w:val="bottom"/>
          </w:tcPr>
          <w:p>
            <w:pPr>
              <w:spacing w:after="0"/>
              <w:rPr>
                <w:sz w:val="15"/>
                <w:szCs w:val="15"/>
                <w:color w:val="auto"/>
              </w:rPr>
            </w:pPr>
          </w:p>
        </w:tc>
        <w:tc>
          <w:tcPr>
            <w:tcW w:w="560" w:type="dxa"/>
            <w:vAlign w:val="bottom"/>
            <w:tcBorders>
              <w:bottom w:val="single" w:sz="8" w:color="003B71"/>
            </w:tcBorders>
          </w:tcPr>
          <w:p>
            <w:pPr>
              <w:spacing w:after="0"/>
              <w:rPr>
                <w:sz w:val="15"/>
                <w:szCs w:val="15"/>
                <w:color w:val="auto"/>
              </w:rPr>
            </w:pPr>
          </w:p>
        </w:tc>
        <w:tc>
          <w:tcPr>
            <w:tcW w:w="840" w:type="dxa"/>
            <w:vAlign w:val="bottom"/>
            <w:tcBorders>
              <w:bottom w:val="single" w:sz="8" w:color="003B71"/>
            </w:tcBorders>
          </w:tcPr>
          <w:p>
            <w:pPr>
              <w:spacing w:after="0"/>
              <w:rPr>
                <w:sz w:val="15"/>
                <w:szCs w:val="15"/>
                <w:color w:val="auto"/>
              </w:rPr>
            </w:pPr>
          </w:p>
        </w:tc>
        <w:tc>
          <w:tcPr>
            <w:tcW w:w="2820" w:type="dxa"/>
            <w:vAlign w:val="bottom"/>
            <w:tcBorders>
              <w:bottom w:val="single" w:sz="8" w:color="003B71"/>
            </w:tcBorders>
            <w:gridSpan w:val="2"/>
          </w:tcPr>
          <w:p>
            <w:pPr>
              <w:jc w:val="right"/>
              <w:ind w:right="728"/>
              <w:spacing w:after="0"/>
              <w:rPr>
                <w:sz w:val="20"/>
                <w:szCs w:val="20"/>
                <w:color w:val="auto"/>
              </w:rPr>
            </w:pPr>
            <w:r>
              <w:rPr>
                <w:rFonts w:ascii="Arial" w:cs="Arial" w:eastAsia="Arial" w:hAnsi="Arial"/>
                <w:sz w:val="14"/>
                <w:szCs w:val="14"/>
                <w:b w:val="1"/>
                <w:bCs w:val="1"/>
                <w:color w:val="003B71"/>
              </w:rPr>
              <w:t>Option Awards</w:t>
            </w:r>
          </w:p>
        </w:tc>
        <w:tc>
          <w:tcPr>
            <w:tcW w:w="1440" w:type="dxa"/>
            <w:vAlign w:val="bottom"/>
            <w:tcBorders>
              <w:bottom w:val="single" w:sz="8" w:color="003B71"/>
            </w:tcBorders>
          </w:tcPr>
          <w:p>
            <w:pPr>
              <w:spacing w:after="0"/>
              <w:rPr>
                <w:sz w:val="15"/>
                <w:szCs w:val="15"/>
                <w:color w:val="auto"/>
              </w:rPr>
            </w:pPr>
          </w:p>
        </w:tc>
        <w:tc>
          <w:tcPr>
            <w:tcW w:w="340" w:type="dxa"/>
            <w:vAlign w:val="bottom"/>
          </w:tcPr>
          <w:p>
            <w:pPr>
              <w:spacing w:after="0"/>
              <w:rPr>
                <w:sz w:val="15"/>
                <w:szCs w:val="15"/>
                <w:color w:val="auto"/>
              </w:rPr>
            </w:pPr>
          </w:p>
        </w:tc>
        <w:tc>
          <w:tcPr>
            <w:tcW w:w="3620" w:type="dxa"/>
            <w:vAlign w:val="bottom"/>
            <w:tcBorders>
              <w:bottom w:val="single" w:sz="8" w:color="003B71"/>
            </w:tcBorders>
            <w:gridSpan w:val="2"/>
          </w:tcPr>
          <w:p>
            <w:pPr>
              <w:jc w:val="right"/>
              <w:ind w:right="1188"/>
              <w:spacing w:after="0"/>
              <w:rPr>
                <w:sz w:val="20"/>
                <w:szCs w:val="20"/>
                <w:color w:val="auto"/>
              </w:rPr>
            </w:pPr>
            <w:r>
              <w:rPr>
                <w:rFonts w:ascii="Arial" w:cs="Arial" w:eastAsia="Arial" w:hAnsi="Arial"/>
                <w:sz w:val="14"/>
                <w:szCs w:val="14"/>
                <w:b w:val="1"/>
                <w:bCs w:val="1"/>
                <w:color w:val="003B71"/>
              </w:rPr>
              <w:t>Stock Awards</w:t>
            </w:r>
          </w:p>
        </w:tc>
      </w:tr>
      <w:tr>
        <w:trPr>
          <w:trHeight w:val="142"/>
        </w:trPr>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jc w:val="center"/>
              <w:spacing w:after="0" w:line="143" w:lineRule="exact"/>
              <w:rPr>
                <w:sz w:val="20"/>
                <w:szCs w:val="20"/>
                <w:color w:val="auto"/>
              </w:rPr>
            </w:pPr>
            <w:r>
              <w:rPr>
                <w:rFonts w:ascii="Arial" w:cs="Arial" w:eastAsia="Arial" w:hAnsi="Arial"/>
                <w:sz w:val="14"/>
                <w:szCs w:val="14"/>
                <w:b w:val="1"/>
                <w:bCs w:val="1"/>
                <w:color w:val="003B71"/>
              </w:rPr>
              <w:t>INCENTIVE PLAN</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AWARDS:</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3B71"/>
              </w:rPr>
              <w:t>INCENTIVE PLAN</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MARKET OR</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3B71"/>
              </w:rPr>
              <w:t>AWARDS: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PAYOUT VALUE</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3B71"/>
              </w:rPr>
              <w:t>NUMBER OF</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OF UNEARNED</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3B71"/>
              </w:rPr>
              <w:t>UNEARNED</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SHARES, UNITS</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3B71"/>
              </w:rPr>
              <w:t>SHARES, UNITS</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OR OTHER</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003B71"/>
              </w:rPr>
              <w:t>OPTION</w:t>
            </w: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3B71"/>
              </w:rPr>
              <w:t>OR OTHER</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RIGHTS THAT</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003B71"/>
              </w:rPr>
              <w:t>EXERCISE</w:t>
            </w: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003B71"/>
              </w:rPr>
              <w:t>OPTION</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3B71"/>
              </w:rPr>
              <w:t>RIGHTS THAT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HAVE NOT</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003B71"/>
              </w:rPr>
              <w:t>PRICE</w:t>
            </w: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003B71"/>
              </w:rPr>
              <w:t>EXPIRATION</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3B71"/>
              </w:rPr>
              <w:t>HAVE NOT YET</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003B71"/>
              </w:rPr>
              <w:t>VESTED(17)</w:t>
            </w:r>
          </w:p>
        </w:tc>
      </w:tr>
      <w:tr>
        <w:trPr>
          <w:trHeight w:val="189"/>
        </w:trPr>
        <w:tc>
          <w:tcPr>
            <w:tcW w:w="140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1400" w:type="dxa"/>
            <w:vAlign w:val="bottom"/>
            <w:tcBorders>
              <w:bottom w:val="single" w:sz="8" w:color="003B71"/>
            </w:tcBorders>
            <w:gridSpan w:val="2"/>
          </w:tcPr>
          <w:p>
            <w:pPr>
              <w:jc w:val="right"/>
              <w:ind w:right="48"/>
              <w:spacing w:after="0"/>
              <w:rPr>
                <w:sz w:val="20"/>
                <w:szCs w:val="20"/>
                <w:color w:val="auto"/>
              </w:rPr>
            </w:pPr>
            <w:r>
              <w:rPr>
                <w:rFonts w:ascii="Arial" w:cs="Arial" w:eastAsia="Arial" w:hAnsi="Arial"/>
                <w:sz w:val="14"/>
                <w:szCs w:val="14"/>
                <w:b w:val="1"/>
                <w:bCs w:val="1"/>
                <w:color w:val="003B71"/>
              </w:rPr>
              <w:t>EXERCISABLE</w:t>
            </w:r>
          </w:p>
        </w:tc>
        <w:tc>
          <w:tcPr>
            <w:tcW w:w="1640" w:type="dxa"/>
            <w:vAlign w:val="bottom"/>
            <w:tcBorders>
              <w:bottom w:val="single" w:sz="8" w:color="003B71"/>
            </w:tcBorders>
          </w:tcPr>
          <w:p>
            <w:pPr>
              <w:jc w:val="right"/>
              <w:ind w:right="108"/>
              <w:spacing w:after="0"/>
              <w:rPr>
                <w:sz w:val="20"/>
                <w:szCs w:val="20"/>
                <w:color w:val="auto"/>
              </w:rPr>
            </w:pPr>
            <w:r>
              <w:rPr>
                <w:rFonts w:ascii="Arial" w:cs="Arial" w:eastAsia="Arial" w:hAnsi="Arial"/>
                <w:sz w:val="14"/>
                <w:szCs w:val="14"/>
                <w:b w:val="1"/>
                <w:bCs w:val="1"/>
                <w:color w:val="003B71"/>
              </w:rPr>
              <w:t>UNEXERCISABLE</w:t>
            </w:r>
          </w:p>
        </w:tc>
        <w:tc>
          <w:tcPr>
            <w:tcW w:w="1180" w:type="dxa"/>
            <w:vAlign w:val="bottom"/>
            <w:tcBorders>
              <w:bottom w:val="single" w:sz="8" w:color="003B71"/>
            </w:tcBorders>
          </w:tcPr>
          <w:p>
            <w:pPr>
              <w:jc w:val="center"/>
              <w:ind w:right="48"/>
              <w:spacing w:after="0"/>
              <w:rPr>
                <w:sz w:val="20"/>
                <w:szCs w:val="20"/>
                <w:color w:val="auto"/>
              </w:rPr>
            </w:pPr>
            <w:r>
              <w:rPr>
                <w:rFonts w:ascii="Arial" w:cs="Arial" w:eastAsia="Arial" w:hAnsi="Arial"/>
                <w:sz w:val="14"/>
                <w:szCs w:val="14"/>
                <w:b w:val="1"/>
                <w:bCs w:val="1"/>
                <w:color w:val="003B71"/>
              </w:rPr>
              <w:t>($)</w:t>
            </w:r>
          </w:p>
        </w:tc>
        <w:tc>
          <w:tcPr>
            <w:tcW w:w="1780" w:type="dxa"/>
            <w:vAlign w:val="bottom"/>
            <w:tcBorders>
              <w:bottom w:val="single" w:sz="8" w:color="003B71"/>
            </w:tcBorders>
            <w:gridSpan w:val="2"/>
          </w:tcPr>
          <w:p>
            <w:pPr>
              <w:jc w:val="center"/>
              <w:ind w:right="320"/>
              <w:spacing w:after="0"/>
              <w:rPr>
                <w:sz w:val="20"/>
                <w:szCs w:val="20"/>
                <w:color w:val="auto"/>
              </w:rPr>
            </w:pPr>
            <w:r>
              <w:rPr>
                <w:rFonts w:ascii="Arial" w:cs="Arial" w:eastAsia="Arial" w:hAnsi="Arial"/>
                <w:sz w:val="14"/>
                <w:szCs w:val="14"/>
                <w:b w:val="1"/>
                <w:bCs w:val="1"/>
                <w:color w:val="003B71"/>
                <w:w w:val="99"/>
              </w:rPr>
              <w:t>DATE</w:t>
            </w:r>
          </w:p>
        </w:tc>
        <w:tc>
          <w:tcPr>
            <w:tcW w:w="182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VESTED</w:t>
            </w:r>
          </w:p>
        </w:tc>
        <w:tc>
          <w:tcPr>
            <w:tcW w:w="1800" w:type="dxa"/>
            <w:vAlign w:val="bottom"/>
            <w:tcBorders>
              <w:bottom w:val="single" w:sz="8" w:color="003B71"/>
            </w:tcBorders>
          </w:tcPr>
          <w:p>
            <w:pPr>
              <w:jc w:val="right"/>
              <w:ind w:right="748"/>
              <w:spacing w:after="0"/>
              <w:rPr>
                <w:sz w:val="20"/>
                <w:szCs w:val="20"/>
                <w:color w:val="auto"/>
              </w:rPr>
            </w:pPr>
            <w:r>
              <w:rPr>
                <w:rFonts w:ascii="Arial" w:cs="Arial" w:eastAsia="Arial" w:hAnsi="Arial"/>
                <w:sz w:val="14"/>
                <w:szCs w:val="14"/>
                <w:b w:val="1"/>
                <w:bCs w:val="1"/>
                <w:color w:val="003B71"/>
              </w:rPr>
              <w:t>($)</w:t>
            </w:r>
          </w:p>
        </w:tc>
      </w:tr>
      <w:tr>
        <w:trPr>
          <w:trHeight w:val="155"/>
        </w:trPr>
        <w:tc>
          <w:tcPr>
            <w:tcW w:w="1400" w:type="dxa"/>
            <w:vAlign w:val="bottom"/>
            <w:shd w:val="clear" w:color="auto" w:fill="E5E5E5"/>
          </w:tcPr>
          <w:p>
            <w:pPr>
              <w:ind w:left="100"/>
              <w:spacing w:after="0" w:line="155" w:lineRule="exact"/>
              <w:rPr>
                <w:sz w:val="20"/>
                <w:szCs w:val="20"/>
                <w:color w:val="auto"/>
              </w:rPr>
            </w:pPr>
            <w:r>
              <w:rPr>
                <w:rFonts w:ascii="Arial" w:cs="Arial" w:eastAsia="Arial" w:hAnsi="Arial"/>
                <w:sz w:val="14"/>
                <w:szCs w:val="14"/>
                <w:color w:val="auto"/>
              </w:rPr>
              <w:t>Brian A. Jenkins</w:t>
            </w:r>
          </w:p>
        </w:tc>
        <w:tc>
          <w:tcPr>
            <w:tcW w:w="1400" w:type="dxa"/>
            <w:vAlign w:val="bottom"/>
            <w:gridSpan w:val="2"/>
            <w:shd w:val="clear" w:color="auto" w:fill="E5E5E5"/>
          </w:tcPr>
          <w:p>
            <w:pPr>
              <w:jc w:val="right"/>
              <w:ind w:right="148"/>
              <w:spacing w:after="0" w:line="155" w:lineRule="exact"/>
              <w:rPr>
                <w:sz w:val="20"/>
                <w:szCs w:val="20"/>
                <w:color w:val="auto"/>
              </w:rPr>
            </w:pPr>
            <w:r>
              <w:rPr>
                <w:rFonts w:ascii="Arial" w:cs="Arial" w:eastAsia="Arial" w:hAnsi="Arial"/>
                <w:sz w:val="14"/>
                <w:szCs w:val="14"/>
                <w:color w:val="auto"/>
              </w:rPr>
              <w:t>20,474(1)</w:t>
            </w:r>
          </w:p>
        </w:tc>
        <w:tc>
          <w:tcPr>
            <w:tcW w:w="1640" w:type="dxa"/>
            <w:vAlign w:val="bottom"/>
            <w:shd w:val="clear" w:color="auto" w:fill="E5E5E5"/>
          </w:tcPr>
          <w:p>
            <w:pPr>
              <w:jc w:val="right"/>
              <w:ind w:right="308"/>
              <w:spacing w:after="0" w:line="155" w:lineRule="exact"/>
              <w:rPr>
                <w:sz w:val="20"/>
                <w:szCs w:val="20"/>
                <w:color w:val="auto"/>
              </w:rPr>
            </w:pPr>
            <w:r>
              <w:rPr>
                <w:rFonts w:ascii="Arial" w:cs="Arial" w:eastAsia="Arial" w:hAnsi="Arial"/>
                <w:sz w:val="14"/>
                <w:szCs w:val="14"/>
                <w:color w:val="auto"/>
              </w:rPr>
              <w:t>40,946(2)</w:t>
            </w:r>
          </w:p>
        </w:tc>
        <w:tc>
          <w:tcPr>
            <w:tcW w:w="1180" w:type="dxa"/>
            <w:vAlign w:val="bottom"/>
            <w:shd w:val="clear" w:color="auto" w:fill="E5E5E5"/>
          </w:tcPr>
          <w:p>
            <w:pPr>
              <w:jc w:val="right"/>
              <w:ind w:right="368"/>
              <w:spacing w:after="0" w:line="155" w:lineRule="exact"/>
              <w:rPr>
                <w:sz w:val="20"/>
                <w:szCs w:val="20"/>
                <w:color w:val="auto"/>
              </w:rPr>
            </w:pPr>
            <w:r>
              <w:rPr>
                <w:rFonts w:ascii="Arial" w:cs="Arial" w:eastAsia="Arial" w:hAnsi="Arial"/>
                <w:sz w:val="14"/>
                <w:szCs w:val="14"/>
                <w:color w:val="auto"/>
              </w:rPr>
              <w:t>51.68</w:t>
            </w:r>
          </w:p>
        </w:tc>
        <w:tc>
          <w:tcPr>
            <w:tcW w:w="1440" w:type="dxa"/>
            <w:vAlign w:val="bottom"/>
            <w:shd w:val="clear" w:color="auto" w:fill="E5E5E5"/>
          </w:tcPr>
          <w:p>
            <w:pPr>
              <w:jc w:val="right"/>
              <w:ind w:right="288"/>
              <w:spacing w:after="0" w:line="155" w:lineRule="exact"/>
              <w:rPr>
                <w:sz w:val="20"/>
                <w:szCs w:val="20"/>
                <w:color w:val="auto"/>
              </w:rPr>
            </w:pPr>
            <w:r>
              <w:rPr>
                <w:rFonts w:ascii="Arial" w:cs="Arial" w:eastAsia="Arial" w:hAnsi="Arial"/>
                <w:sz w:val="14"/>
                <w:szCs w:val="14"/>
                <w:color w:val="auto"/>
              </w:rPr>
              <w:t>4/11/2029</w:t>
            </w:r>
          </w:p>
        </w:tc>
        <w:tc>
          <w:tcPr>
            <w:tcW w:w="340" w:type="dxa"/>
            <w:vAlign w:val="bottom"/>
            <w:shd w:val="clear" w:color="auto" w:fill="E5E5E5"/>
          </w:tcPr>
          <w:p>
            <w:pPr>
              <w:spacing w:after="0"/>
              <w:rPr>
                <w:sz w:val="13"/>
                <w:szCs w:val="13"/>
                <w:color w:val="auto"/>
              </w:rPr>
            </w:pPr>
          </w:p>
        </w:tc>
        <w:tc>
          <w:tcPr>
            <w:tcW w:w="1820" w:type="dxa"/>
            <w:vAlign w:val="bottom"/>
            <w:shd w:val="clear" w:color="auto" w:fill="E5E5E5"/>
          </w:tcPr>
          <w:p>
            <w:pPr>
              <w:jc w:val="right"/>
              <w:ind w:right="368"/>
              <w:spacing w:after="0" w:line="155" w:lineRule="exact"/>
              <w:rPr>
                <w:sz w:val="20"/>
                <w:szCs w:val="20"/>
                <w:color w:val="auto"/>
              </w:rPr>
            </w:pPr>
            <w:r>
              <w:rPr>
                <w:rFonts w:ascii="Arial" w:cs="Arial" w:eastAsia="Arial" w:hAnsi="Arial"/>
                <w:sz w:val="14"/>
                <w:szCs w:val="14"/>
                <w:color w:val="auto"/>
              </w:rPr>
              <w:t>110,936(7)</w:t>
            </w:r>
          </w:p>
        </w:tc>
        <w:tc>
          <w:tcPr>
            <w:tcW w:w="1800" w:type="dxa"/>
            <w:vAlign w:val="bottom"/>
            <w:shd w:val="clear" w:color="auto" w:fill="E5E5E5"/>
          </w:tcPr>
          <w:p>
            <w:pPr>
              <w:jc w:val="right"/>
              <w:ind w:right="488"/>
              <w:spacing w:after="0" w:line="155" w:lineRule="exact"/>
              <w:rPr>
                <w:sz w:val="20"/>
                <w:szCs w:val="20"/>
                <w:color w:val="auto"/>
              </w:rPr>
            </w:pPr>
            <w:r>
              <w:rPr>
                <w:rFonts w:ascii="Arial" w:cs="Arial" w:eastAsia="Arial" w:hAnsi="Arial"/>
                <w:sz w:val="14"/>
                <w:szCs w:val="14"/>
                <w:color w:val="auto"/>
              </w:rPr>
              <w:t>3,774,043</w:t>
            </w:r>
          </w:p>
        </w:tc>
      </w:tr>
      <w:tr>
        <w:trPr>
          <w:trHeight w:val="162"/>
        </w:trPr>
        <w:tc>
          <w:tcPr>
            <w:tcW w:w="1400" w:type="dxa"/>
            <w:vAlign w:val="bottom"/>
            <w:shd w:val="clear" w:color="auto" w:fill="E5E5E5"/>
          </w:tcPr>
          <w:p>
            <w:pPr>
              <w:spacing w:after="0"/>
              <w:rPr>
                <w:sz w:val="14"/>
                <w:szCs w:val="14"/>
                <w:color w:val="auto"/>
              </w:rPr>
            </w:pPr>
          </w:p>
        </w:tc>
        <w:tc>
          <w:tcPr>
            <w:tcW w:w="1400" w:type="dxa"/>
            <w:vAlign w:val="bottom"/>
            <w:gridSpan w:val="2"/>
            <w:shd w:val="clear" w:color="auto" w:fill="E5E5E5"/>
          </w:tcPr>
          <w:p>
            <w:pPr>
              <w:jc w:val="right"/>
              <w:ind w:right="148"/>
              <w:spacing w:after="0"/>
              <w:rPr>
                <w:sz w:val="20"/>
                <w:szCs w:val="20"/>
                <w:color w:val="auto"/>
              </w:rPr>
            </w:pPr>
            <w:r>
              <w:rPr>
                <w:rFonts w:ascii="Arial" w:cs="Arial" w:eastAsia="Arial" w:hAnsi="Arial"/>
                <w:sz w:val="14"/>
                <w:szCs w:val="14"/>
                <w:color w:val="auto"/>
              </w:rPr>
              <w:t>21,702(1)</w:t>
            </w:r>
          </w:p>
        </w:tc>
        <w:tc>
          <w:tcPr>
            <w:tcW w:w="164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10,850(3)</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41.65</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4/12/2028</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175,154(8)</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5,958,739</w:t>
            </w:r>
          </w:p>
        </w:tc>
      </w:tr>
      <w:tr>
        <w:trPr>
          <w:trHeight w:val="162"/>
        </w:trPr>
        <w:tc>
          <w:tcPr>
            <w:tcW w:w="1400" w:type="dxa"/>
            <w:vAlign w:val="bottom"/>
            <w:shd w:val="clear" w:color="auto" w:fill="E5E5E5"/>
          </w:tcPr>
          <w:p>
            <w:pPr>
              <w:spacing w:after="0"/>
              <w:rPr>
                <w:sz w:val="14"/>
                <w:szCs w:val="14"/>
                <w:color w:val="auto"/>
              </w:rPr>
            </w:pPr>
          </w:p>
        </w:tc>
        <w:tc>
          <w:tcPr>
            <w:tcW w:w="1400" w:type="dxa"/>
            <w:vAlign w:val="bottom"/>
            <w:gridSpan w:val="2"/>
            <w:shd w:val="clear" w:color="auto" w:fill="E5E5E5"/>
          </w:tcPr>
          <w:p>
            <w:pPr>
              <w:jc w:val="right"/>
              <w:ind w:right="148"/>
              <w:spacing w:after="0"/>
              <w:rPr>
                <w:sz w:val="20"/>
                <w:szCs w:val="20"/>
                <w:color w:val="auto"/>
              </w:rPr>
            </w:pPr>
            <w:r>
              <w:rPr>
                <w:rFonts w:ascii="Arial" w:cs="Arial" w:eastAsia="Arial" w:hAnsi="Arial"/>
                <w:sz w:val="14"/>
                <w:szCs w:val="14"/>
                <w:color w:val="auto"/>
              </w:rPr>
              <w:t>29,655(1)</w:t>
            </w:r>
          </w:p>
        </w:tc>
        <w:tc>
          <w:tcPr>
            <w:tcW w:w="16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49.59</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9/7/2027</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13,968(9)</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475,191</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14,379(1)</w:t>
            </w:r>
          </w:p>
        </w:tc>
        <w:tc>
          <w:tcPr>
            <w:tcW w:w="16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59.67</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4/7/2027</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8,403(10)</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285,870</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25,227(1)</w:t>
            </w:r>
          </w:p>
        </w:tc>
        <w:tc>
          <w:tcPr>
            <w:tcW w:w="16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39.10</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4/7/2026</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33,590(11)</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1,142,732</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22,506(1)</w:t>
            </w:r>
          </w:p>
        </w:tc>
        <w:tc>
          <w:tcPr>
            <w:tcW w:w="164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31.71</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4/9/2025</w:t>
            </w:r>
          </w:p>
        </w:tc>
        <w:tc>
          <w:tcPr>
            <w:tcW w:w="340" w:type="dxa"/>
            <w:vAlign w:val="bottom"/>
          </w:tcPr>
          <w:p>
            <w:pPr>
              <w:spacing w:after="0"/>
              <w:rPr>
                <w:sz w:val="14"/>
                <w:szCs w:val="14"/>
                <w:color w:val="auto"/>
              </w:rPr>
            </w:pPr>
          </w:p>
        </w:tc>
        <w:tc>
          <w:tcPr>
            <w:tcW w:w="1820" w:type="dxa"/>
            <w:vAlign w:val="bottom"/>
          </w:tcPr>
          <w:p>
            <w:pPr>
              <w:jc w:val="right"/>
              <w:ind w:right="288"/>
              <w:spacing w:after="0"/>
              <w:rPr>
                <w:sz w:val="20"/>
                <w:szCs w:val="20"/>
                <w:color w:val="auto"/>
              </w:rPr>
            </w:pPr>
            <w:r>
              <w:rPr>
                <w:rFonts w:ascii="Arial" w:cs="Arial" w:eastAsia="Arial" w:hAnsi="Arial"/>
                <w:sz w:val="14"/>
                <w:szCs w:val="14"/>
                <w:color w:val="auto"/>
              </w:rPr>
              <w:t>5,041(12)</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171,495</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61,183(1)</w:t>
            </w:r>
          </w:p>
        </w:tc>
        <w:tc>
          <w:tcPr>
            <w:tcW w:w="16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16.00</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10/9/2024</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spacing w:after="0"/>
              <w:rPr>
                <w:sz w:val="14"/>
                <w:szCs w:val="14"/>
                <w:color w:val="auto"/>
              </w:rPr>
            </w:pPr>
          </w:p>
        </w:tc>
        <w:tc>
          <w:tcPr>
            <w:tcW w:w="1800" w:type="dxa"/>
            <w:vAlign w:val="bottom"/>
            <w:shd w:val="clear" w:color="auto" w:fill="E5E5E5"/>
          </w:tcPr>
          <w:p>
            <w:pPr>
              <w:spacing w:after="0"/>
              <w:rPr>
                <w:sz w:val="14"/>
                <w:szCs w:val="14"/>
                <w:color w:val="auto"/>
              </w:rPr>
            </w:pPr>
          </w:p>
        </w:tc>
      </w:tr>
      <w:tr>
        <w:trPr>
          <w:trHeight w:val="167"/>
        </w:trPr>
        <w:tc>
          <w:tcPr>
            <w:tcW w:w="1400" w:type="dxa"/>
            <w:vAlign w:val="bottom"/>
          </w:tcPr>
          <w:p>
            <w:pPr>
              <w:ind w:left="100"/>
              <w:spacing w:after="0"/>
              <w:rPr>
                <w:sz w:val="20"/>
                <w:szCs w:val="20"/>
                <w:color w:val="auto"/>
              </w:rPr>
            </w:pPr>
            <w:r>
              <w:rPr>
                <w:rFonts w:ascii="Arial" w:cs="Arial" w:eastAsia="Arial" w:hAnsi="Arial"/>
                <w:sz w:val="14"/>
                <w:szCs w:val="14"/>
                <w:color w:val="auto"/>
              </w:rPr>
              <w:t>Scott Bowman</w:t>
            </w: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3,903(1)</w:t>
            </w: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7,805(4)</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58.46</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5/6/2029</w:t>
            </w:r>
          </w:p>
        </w:tc>
        <w:tc>
          <w:tcPr>
            <w:tcW w:w="3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34,284(7)</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1,166,342</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54,130(8)</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1,841,503</w:t>
            </w:r>
          </w:p>
        </w:tc>
      </w:tr>
      <w:tr>
        <w:trPr>
          <w:trHeight w:val="162"/>
        </w:trPr>
        <w:tc>
          <w:tcPr>
            <w:tcW w:w="1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2,724(9)</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92,670</w:t>
            </w:r>
          </w:p>
        </w:tc>
      </w:tr>
      <w:tr>
        <w:trPr>
          <w:trHeight w:val="157"/>
        </w:trPr>
        <w:tc>
          <w:tcPr>
            <w:tcW w:w="1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jc w:val="right"/>
              <w:ind w:right="288"/>
              <w:spacing w:after="0" w:line="157" w:lineRule="exact"/>
              <w:rPr>
                <w:sz w:val="20"/>
                <w:szCs w:val="20"/>
                <w:color w:val="auto"/>
              </w:rPr>
            </w:pPr>
            <w:r>
              <w:rPr>
                <w:rFonts w:ascii="Arial" w:cs="Arial" w:eastAsia="Arial" w:hAnsi="Arial"/>
                <w:sz w:val="14"/>
                <w:szCs w:val="14"/>
                <w:color w:val="auto"/>
              </w:rPr>
              <w:t>1,140(13)</w:t>
            </w:r>
          </w:p>
        </w:tc>
        <w:tc>
          <w:tcPr>
            <w:tcW w:w="180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38,783</w:t>
            </w:r>
          </w:p>
        </w:tc>
      </w:tr>
      <w:tr>
        <w:trPr>
          <w:trHeight w:val="162"/>
        </w:trPr>
        <w:tc>
          <w:tcPr>
            <w:tcW w:w="1400" w:type="dxa"/>
            <w:vAlign w:val="bottom"/>
            <w:shd w:val="clear" w:color="auto" w:fill="E5E5E5"/>
          </w:tcPr>
          <w:p>
            <w:pPr>
              <w:ind w:left="100"/>
              <w:spacing w:after="0"/>
              <w:rPr>
                <w:sz w:val="20"/>
                <w:szCs w:val="20"/>
                <w:color w:val="auto"/>
              </w:rPr>
            </w:pPr>
            <w:r>
              <w:rPr>
                <w:rFonts w:ascii="Arial" w:cs="Arial" w:eastAsia="Arial" w:hAnsi="Arial"/>
                <w:sz w:val="14"/>
                <w:szCs w:val="14"/>
                <w:color w:val="auto"/>
              </w:rPr>
              <w:t>Margo L. Manning</w:t>
            </w:r>
          </w:p>
        </w:tc>
        <w:tc>
          <w:tcPr>
            <w:tcW w:w="1400" w:type="dxa"/>
            <w:vAlign w:val="bottom"/>
            <w:gridSpan w:val="2"/>
            <w:shd w:val="clear" w:color="auto" w:fill="E5E5E5"/>
          </w:tcPr>
          <w:p>
            <w:pPr>
              <w:jc w:val="right"/>
              <w:ind w:right="148"/>
              <w:spacing w:after="0"/>
              <w:rPr>
                <w:sz w:val="20"/>
                <w:szCs w:val="20"/>
                <w:color w:val="auto"/>
              </w:rPr>
            </w:pPr>
            <w:r>
              <w:rPr>
                <w:rFonts w:ascii="Arial" w:cs="Arial" w:eastAsia="Arial" w:hAnsi="Arial"/>
                <w:sz w:val="14"/>
                <w:szCs w:val="14"/>
                <w:color w:val="auto"/>
              </w:rPr>
              <w:t>6,988(1)</w:t>
            </w:r>
          </w:p>
        </w:tc>
        <w:tc>
          <w:tcPr>
            <w:tcW w:w="164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13,976(2)</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51.68</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4/11/2029</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46,013(7)</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1,565,362</w:t>
            </w:r>
          </w:p>
        </w:tc>
      </w:tr>
      <w:tr>
        <w:trPr>
          <w:trHeight w:val="162"/>
        </w:trPr>
        <w:tc>
          <w:tcPr>
            <w:tcW w:w="1400" w:type="dxa"/>
            <w:vAlign w:val="bottom"/>
            <w:shd w:val="clear" w:color="auto" w:fill="E5E5E5"/>
          </w:tcPr>
          <w:p>
            <w:pPr>
              <w:spacing w:after="0"/>
              <w:rPr>
                <w:sz w:val="14"/>
                <w:szCs w:val="14"/>
                <w:color w:val="auto"/>
              </w:rPr>
            </w:pPr>
          </w:p>
        </w:tc>
        <w:tc>
          <w:tcPr>
            <w:tcW w:w="1400" w:type="dxa"/>
            <w:vAlign w:val="bottom"/>
            <w:gridSpan w:val="2"/>
            <w:shd w:val="clear" w:color="auto" w:fill="E5E5E5"/>
          </w:tcPr>
          <w:p>
            <w:pPr>
              <w:jc w:val="right"/>
              <w:ind w:right="148"/>
              <w:spacing w:after="0"/>
              <w:rPr>
                <w:sz w:val="20"/>
                <w:szCs w:val="20"/>
                <w:color w:val="auto"/>
              </w:rPr>
            </w:pPr>
            <w:r>
              <w:rPr>
                <w:rFonts w:ascii="Arial" w:cs="Arial" w:eastAsia="Arial" w:hAnsi="Arial"/>
                <w:sz w:val="14"/>
                <w:szCs w:val="14"/>
                <w:color w:val="auto"/>
              </w:rPr>
              <w:t>16,276(1)</w:t>
            </w:r>
          </w:p>
        </w:tc>
        <w:tc>
          <w:tcPr>
            <w:tcW w:w="164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8,138(3)</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41.65</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4/12/2028</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72,648(8)</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2,471,485</w:t>
            </w:r>
          </w:p>
        </w:tc>
      </w:tr>
      <w:tr>
        <w:trPr>
          <w:trHeight w:val="162"/>
        </w:trPr>
        <w:tc>
          <w:tcPr>
            <w:tcW w:w="1400" w:type="dxa"/>
            <w:vAlign w:val="bottom"/>
            <w:shd w:val="clear" w:color="auto" w:fill="E5E5E5"/>
          </w:tcPr>
          <w:p>
            <w:pPr>
              <w:spacing w:after="0"/>
              <w:rPr>
                <w:sz w:val="14"/>
                <w:szCs w:val="14"/>
                <w:color w:val="auto"/>
              </w:rPr>
            </w:pPr>
          </w:p>
        </w:tc>
        <w:tc>
          <w:tcPr>
            <w:tcW w:w="1400" w:type="dxa"/>
            <w:vAlign w:val="bottom"/>
            <w:gridSpan w:val="2"/>
            <w:shd w:val="clear" w:color="auto" w:fill="E5E5E5"/>
          </w:tcPr>
          <w:p>
            <w:pPr>
              <w:jc w:val="right"/>
              <w:ind w:right="148"/>
              <w:spacing w:after="0"/>
              <w:rPr>
                <w:sz w:val="20"/>
                <w:szCs w:val="20"/>
                <w:color w:val="auto"/>
              </w:rPr>
            </w:pPr>
            <w:r>
              <w:rPr>
                <w:rFonts w:ascii="Arial" w:cs="Arial" w:eastAsia="Arial" w:hAnsi="Arial"/>
                <w:sz w:val="14"/>
                <w:szCs w:val="14"/>
                <w:color w:val="auto"/>
              </w:rPr>
              <w:t>14,565(1)</w:t>
            </w:r>
          </w:p>
        </w:tc>
        <w:tc>
          <w:tcPr>
            <w:tcW w:w="16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59.67</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4/7/2027</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4,767(9)</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162,173</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14,275(1)</w:t>
            </w:r>
          </w:p>
        </w:tc>
        <w:tc>
          <w:tcPr>
            <w:tcW w:w="16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39.10</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4/7/2026</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6,302(10)</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214,394</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7,234(1)</w:t>
            </w:r>
          </w:p>
        </w:tc>
        <w:tc>
          <w:tcPr>
            <w:tcW w:w="16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31.71</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4/9/2025</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5,446(14)</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185,273</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17,396(1)</w:t>
            </w:r>
          </w:p>
        </w:tc>
        <w:tc>
          <w:tcPr>
            <w:tcW w:w="164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16.00</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10/9/2024</w:t>
            </w: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5,683(5)</w:t>
            </w:r>
          </w:p>
        </w:tc>
        <w:tc>
          <w:tcPr>
            <w:tcW w:w="164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5.07</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3/8/2022</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spacing w:after="0"/>
              <w:rPr>
                <w:sz w:val="14"/>
                <w:szCs w:val="14"/>
                <w:color w:val="auto"/>
              </w:rPr>
            </w:pPr>
          </w:p>
        </w:tc>
        <w:tc>
          <w:tcPr>
            <w:tcW w:w="1800" w:type="dxa"/>
            <w:vAlign w:val="bottom"/>
            <w:shd w:val="clear" w:color="auto" w:fill="E5E5E5"/>
          </w:tcPr>
          <w:p>
            <w:pPr>
              <w:spacing w:after="0"/>
              <w:rPr>
                <w:sz w:val="14"/>
                <w:szCs w:val="14"/>
                <w:color w:val="auto"/>
              </w:rPr>
            </w:pPr>
          </w:p>
        </w:tc>
      </w:tr>
      <w:tr>
        <w:trPr>
          <w:trHeight w:val="167"/>
        </w:trPr>
        <w:tc>
          <w:tcPr>
            <w:tcW w:w="1400" w:type="dxa"/>
            <w:vAlign w:val="bottom"/>
          </w:tcPr>
          <w:p>
            <w:pPr>
              <w:ind w:left="100"/>
              <w:spacing w:after="0"/>
              <w:rPr>
                <w:sz w:val="20"/>
                <w:szCs w:val="20"/>
                <w:color w:val="auto"/>
              </w:rPr>
            </w:pPr>
            <w:r>
              <w:rPr>
                <w:rFonts w:ascii="Arial" w:cs="Arial" w:eastAsia="Arial" w:hAnsi="Arial"/>
                <w:sz w:val="14"/>
                <w:szCs w:val="14"/>
                <w:color w:val="auto"/>
              </w:rPr>
              <w:t>John B. Mulleady</w:t>
            </w: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4,908(1)</w:t>
            </w: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9,815(2)</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51.68</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4/11/2029</w:t>
            </w:r>
          </w:p>
        </w:tc>
        <w:tc>
          <w:tcPr>
            <w:tcW w:w="3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31,043(7)</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1,056,083</w:t>
            </w:r>
          </w:p>
        </w:tc>
      </w:tr>
      <w:tr>
        <w:trPr>
          <w:trHeight w:val="162"/>
        </w:trPr>
        <w:tc>
          <w:tcPr>
            <w:tcW w:w="14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8,680(1)</w:t>
            </w:r>
          </w:p>
        </w:tc>
        <w:tc>
          <w:tcPr>
            <w:tcW w:w="1640" w:type="dxa"/>
            <w:vAlign w:val="bottom"/>
          </w:tcPr>
          <w:p>
            <w:pPr>
              <w:jc w:val="right"/>
              <w:ind w:right="308"/>
              <w:spacing w:after="0"/>
              <w:rPr>
                <w:sz w:val="20"/>
                <w:szCs w:val="20"/>
                <w:color w:val="auto"/>
              </w:rPr>
            </w:pPr>
            <w:r>
              <w:rPr>
                <w:rFonts w:ascii="Arial" w:cs="Arial" w:eastAsia="Arial" w:hAnsi="Arial"/>
                <w:sz w:val="14"/>
                <w:szCs w:val="14"/>
                <w:color w:val="auto"/>
              </w:rPr>
              <w:t>4,340(3)</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41.65</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4/12/2028</w:t>
            </w:r>
          </w:p>
        </w:tc>
        <w:tc>
          <w:tcPr>
            <w:tcW w:w="3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49,014(8)</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1,667,456</w:t>
            </w:r>
          </w:p>
        </w:tc>
      </w:tr>
      <w:tr>
        <w:trPr>
          <w:trHeight w:val="162"/>
        </w:trPr>
        <w:tc>
          <w:tcPr>
            <w:tcW w:w="14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9,121(1)</w:t>
            </w:r>
          </w:p>
        </w:tc>
        <w:tc>
          <w:tcPr>
            <w:tcW w:w="164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59.67</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4/7/2027</w:t>
            </w:r>
          </w:p>
        </w:tc>
        <w:tc>
          <w:tcPr>
            <w:tcW w:w="340" w:type="dxa"/>
            <w:vAlign w:val="bottom"/>
          </w:tcPr>
          <w:p>
            <w:pPr>
              <w:spacing w:after="0"/>
              <w:rPr>
                <w:sz w:val="14"/>
                <w:szCs w:val="14"/>
                <w:color w:val="auto"/>
              </w:rPr>
            </w:pPr>
          </w:p>
        </w:tc>
        <w:tc>
          <w:tcPr>
            <w:tcW w:w="1820" w:type="dxa"/>
            <w:vAlign w:val="bottom"/>
          </w:tcPr>
          <w:p>
            <w:pPr>
              <w:jc w:val="right"/>
              <w:ind w:right="368"/>
              <w:spacing w:after="0"/>
              <w:rPr>
                <w:sz w:val="20"/>
                <w:szCs w:val="20"/>
                <w:color w:val="auto"/>
              </w:rPr>
            </w:pPr>
            <w:r>
              <w:rPr>
                <w:rFonts w:ascii="Arial" w:cs="Arial" w:eastAsia="Arial" w:hAnsi="Arial"/>
                <w:sz w:val="14"/>
                <w:szCs w:val="14"/>
                <w:color w:val="auto"/>
              </w:rPr>
              <w:t>3,348(9)</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113,899</w:t>
            </w:r>
          </w:p>
        </w:tc>
      </w:tr>
      <w:tr>
        <w:trPr>
          <w:trHeight w:val="162"/>
        </w:trPr>
        <w:tc>
          <w:tcPr>
            <w:tcW w:w="14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14,230(1)</w:t>
            </w:r>
          </w:p>
        </w:tc>
        <w:tc>
          <w:tcPr>
            <w:tcW w:w="164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39.10</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4/7/2026</w:t>
            </w:r>
          </w:p>
        </w:tc>
        <w:tc>
          <w:tcPr>
            <w:tcW w:w="340" w:type="dxa"/>
            <w:vAlign w:val="bottom"/>
          </w:tcPr>
          <w:p>
            <w:pPr>
              <w:spacing w:after="0"/>
              <w:rPr>
                <w:sz w:val="14"/>
                <w:szCs w:val="14"/>
                <w:color w:val="auto"/>
              </w:rPr>
            </w:pPr>
          </w:p>
        </w:tc>
        <w:tc>
          <w:tcPr>
            <w:tcW w:w="1820" w:type="dxa"/>
            <w:vAlign w:val="bottom"/>
          </w:tcPr>
          <w:p>
            <w:pPr>
              <w:jc w:val="right"/>
              <w:ind w:right="288"/>
              <w:spacing w:after="0"/>
              <w:rPr>
                <w:sz w:val="20"/>
                <w:szCs w:val="20"/>
                <w:color w:val="auto"/>
              </w:rPr>
            </w:pPr>
            <w:r>
              <w:rPr>
                <w:rFonts w:ascii="Arial" w:cs="Arial" w:eastAsia="Arial" w:hAnsi="Arial"/>
                <w:sz w:val="14"/>
                <w:szCs w:val="14"/>
                <w:color w:val="auto"/>
              </w:rPr>
              <w:t>3,361(10)</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114,341</w:t>
            </w:r>
          </w:p>
        </w:tc>
      </w:tr>
      <w:tr>
        <w:trPr>
          <w:trHeight w:val="162"/>
        </w:trPr>
        <w:tc>
          <w:tcPr>
            <w:tcW w:w="14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14,282(1)</w:t>
            </w:r>
          </w:p>
        </w:tc>
        <w:tc>
          <w:tcPr>
            <w:tcW w:w="164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31.71</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4/9/2025</w:t>
            </w:r>
          </w:p>
        </w:tc>
        <w:tc>
          <w:tcPr>
            <w:tcW w:w="340" w:type="dxa"/>
            <w:vAlign w:val="bottom"/>
          </w:tcPr>
          <w:p>
            <w:pPr>
              <w:spacing w:after="0"/>
              <w:rPr>
                <w:sz w:val="14"/>
                <w:szCs w:val="14"/>
                <w:color w:val="auto"/>
              </w:rPr>
            </w:pPr>
          </w:p>
        </w:tc>
        <w:tc>
          <w:tcPr>
            <w:tcW w:w="1820" w:type="dxa"/>
            <w:vAlign w:val="bottom"/>
          </w:tcPr>
          <w:p>
            <w:pPr>
              <w:jc w:val="right"/>
              <w:ind w:right="288"/>
              <w:spacing w:after="0"/>
              <w:rPr>
                <w:sz w:val="20"/>
                <w:szCs w:val="20"/>
                <w:color w:val="auto"/>
              </w:rPr>
            </w:pPr>
            <w:r>
              <w:rPr>
                <w:rFonts w:ascii="Arial" w:cs="Arial" w:eastAsia="Arial" w:hAnsi="Arial"/>
                <w:sz w:val="14"/>
                <w:szCs w:val="14"/>
                <w:color w:val="auto"/>
              </w:rPr>
              <w:t>3,351(15)</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114,001</w:t>
            </w:r>
          </w:p>
        </w:tc>
      </w:tr>
      <w:tr>
        <w:trPr>
          <w:trHeight w:val="162"/>
        </w:trPr>
        <w:tc>
          <w:tcPr>
            <w:tcW w:w="1400" w:type="dxa"/>
            <w:vAlign w:val="bottom"/>
          </w:tcPr>
          <w:p>
            <w:pPr>
              <w:spacing w:after="0"/>
              <w:rPr>
                <w:sz w:val="14"/>
                <w:szCs w:val="14"/>
                <w:color w:val="auto"/>
              </w:rPr>
            </w:pPr>
          </w:p>
        </w:tc>
        <w:tc>
          <w:tcPr>
            <w:tcW w:w="1400" w:type="dxa"/>
            <w:vAlign w:val="bottom"/>
            <w:gridSpan w:val="2"/>
          </w:tcPr>
          <w:p>
            <w:pPr>
              <w:jc w:val="right"/>
              <w:ind w:right="148"/>
              <w:spacing w:after="0"/>
              <w:rPr>
                <w:sz w:val="20"/>
                <w:szCs w:val="20"/>
                <w:color w:val="auto"/>
              </w:rPr>
            </w:pPr>
            <w:r>
              <w:rPr>
                <w:rFonts w:ascii="Arial" w:cs="Arial" w:eastAsia="Arial" w:hAnsi="Arial"/>
                <w:sz w:val="14"/>
                <w:szCs w:val="14"/>
                <w:color w:val="auto"/>
              </w:rPr>
              <w:t>38,225(1)</w:t>
            </w:r>
          </w:p>
        </w:tc>
        <w:tc>
          <w:tcPr>
            <w:tcW w:w="1640" w:type="dxa"/>
            <w:vAlign w:val="bottom"/>
          </w:tcPr>
          <w:p>
            <w:pPr>
              <w:jc w:val="right"/>
              <w:ind w:right="48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368"/>
              <w:spacing w:after="0"/>
              <w:rPr>
                <w:sz w:val="20"/>
                <w:szCs w:val="20"/>
                <w:color w:val="auto"/>
              </w:rPr>
            </w:pPr>
            <w:r>
              <w:rPr>
                <w:rFonts w:ascii="Arial" w:cs="Arial" w:eastAsia="Arial" w:hAnsi="Arial"/>
                <w:sz w:val="14"/>
                <w:szCs w:val="14"/>
                <w:color w:val="auto"/>
              </w:rPr>
              <w:t>16.00</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10/9/2024</w:t>
            </w: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57"/>
        </w:trPr>
        <w:tc>
          <w:tcPr>
            <w:tcW w:w="1400" w:type="dxa"/>
            <w:vAlign w:val="bottom"/>
          </w:tcPr>
          <w:p>
            <w:pPr>
              <w:spacing w:after="0"/>
              <w:rPr>
                <w:sz w:val="13"/>
                <w:szCs w:val="13"/>
                <w:color w:val="auto"/>
              </w:rPr>
            </w:pPr>
          </w:p>
        </w:tc>
        <w:tc>
          <w:tcPr>
            <w:tcW w:w="1400" w:type="dxa"/>
            <w:vAlign w:val="bottom"/>
            <w:gridSpan w:val="2"/>
          </w:tcPr>
          <w:p>
            <w:pPr>
              <w:jc w:val="right"/>
              <w:ind w:right="148"/>
              <w:spacing w:after="0" w:line="157" w:lineRule="exact"/>
              <w:rPr>
                <w:sz w:val="20"/>
                <w:szCs w:val="20"/>
                <w:color w:val="auto"/>
              </w:rPr>
            </w:pPr>
            <w:r>
              <w:rPr>
                <w:rFonts w:ascii="Arial" w:cs="Arial" w:eastAsia="Arial" w:hAnsi="Arial"/>
                <w:sz w:val="14"/>
                <w:szCs w:val="14"/>
                <w:color w:val="auto"/>
              </w:rPr>
              <w:t>20,953(6)</w:t>
            </w:r>
          </w:p>
        </w:tc>
        <w:tc>
          <w:tcPr>
            <w:tcW w:w="164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0</w:t>
            </w:r>
          </w:p>
        </w:tc>
        <w:tc>
          <w:tcPr>
            <w:tcW w:w="1180" w:type="dxa"/>
            <w:vAlign w:val="bottom"/>
          </w:tcPr>
          <w:p>
            <w:pPr>
              <w:jc w:val="right"/>
              <w:ind w:right="368"/>
              <w:spacing w:after="0" w:line="157" w:lineRule="exact"/>
              <w:rPr>
                <w:sz w:val="20"/>
                <w:szCs w:val="20"/>
                <w:color w:val="auto"/>
              </w:rPr>
            </w:pPr>
            <w:r>
              <w:rPr>
                <w:rFonts w:ascii="Arial" w:cs="Arial" w:eastAsia="Arial" w:hAnsi="Arial"/>
                <w:sz w:val="14"/>
                <w:szCs w:val="14"/>
                <w:color w:val="auto"/>
              </w:rPr>
              <w:t>9.34</w:t>
            </w:r>
          </w:p>
        </w:tc>
        <w:tc>
          <w:tcPr>
            <w:tcW w:w="1440" w:type="dxa"/>
            <w:vAlign w:val="bottom"/>
          </w:tcPr>
          <w:p>
            <w:pPr>
              <w:jc w:val="right"/>
              <w:ind w:right="288"/>
              <w:spacing w:after="0" w:line="157" w:lineRule="exact"/>
              <w:rPr>
                <w:sz w:val="20"/>
                <w:szCs w:val="20"/>
                <w:color w:val="auto"/>
              </w:rPr>
            </w:pPr>
            <w:r>
              <w:rPr>
                <w:rFonts w:ascii="Arial" w:cs="Arial" w:eastAsia="Arial" w:hAnsi="Arial"/>
                <w:sz w:val="14"/>
                <w:szCs w:val="14"/>
                <w:color w:val="auto"/>
              </w:rPr>
              <w:t>9/27/2023</w:t>
            </w: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62"/>
        </w:trPr>
        <w:tc>
          <w:tcPr>
            <w:tcW w:w="1400" w:type="dxa"/>
            <w:vAlign w:val="bottom"/>
            <w:shd w:val="clear" w:color="auto" w:fill="E5E5E5"/>
          </w:tcPr>
          <w:p>
            <w:pPr>
              <w:ind w:left="100"/>
              <w:spacing w:after="0"/>
              <w:rPr>
                <w:sz w:val="20"/>
                <w:szCs w:val="20"/>
                <w:color w:val="auto"/>
              </w:rPr>
            </w:pPr>
            <w:r>
              <w:rPr>
                <w:rFonts w:ascii="Arial" w:cs="Arial" w:eastAsia="Arial" w:hAnsi="Arial"/>
                <w:sz w:val="14"/>
                <w:szCs w:val="14"/>
                <w:color w:val="auto"/>
              </w:rPr>
              <w:t>Robert W. Edmund</w:t>
            </w:r>
          </w:p>
        </w:tc>
        <w:tc>
          <w:tcPr>
            <w:tcW w:w="1400" w:type="dxa"/>
            <w:vAlign w:val="bottom"/>
            <w:gridSpan w:val="2"/>
            <w:shd w:val="clear" w:color="auto" w:fill="E5E5E5"/>
          </w:tcPr>
          <w:p>
            <w:pPr>
              <w:jc w:val="right"/>
              <w:ind w:right="148"/>
              <w:spacing w:after="0"/>
              <w:rPr>
                <w:sz w:val="20"/>
                <w:szCs w:val="20"/>
                <w:color w:val="auto"/>
              </w:rPr>
            </w:pPr>
            <w:r>
              <w:rPr>
                <w:rFonts w:ascii="Arial" w:cs="Arial" w:eastAsia="Arial" w:hAnsi="Arial"/>
                <w:sz w:val="14"/>
                <w:szCs w:val="14"/>
                <w:color w:val="auto"/>
              </w:rPr>
              <w:t>3,772(1)</w:t>
            </w:r>
          </w:p>
        </w:tc>
        <w:tc>
          <w:tcPr>
            <w:tcW w:w="1640" w:type="dxa"/>
            <w:vAlign w:val="bottom"/>
            <w:shd w:val="clear" w:color="auto" w:fill="E5E5E5"/>
          </w:tcPr>
          <w:p>
            <w:pPr>
              <w:jc w:val="right"/>
              <w:ind w:right="308"/>
              <w:spacing w:after="0"/>
              <w:rPr>
                <w:sz w:val="20"/>
                <w:szCs w:val="20"/>
                <w:color w:val="auto"/>
              </w:rPr>
            </w:pPr>
            <w:r>
              <w:rPr>
                <w:rFonts w:ascii="Arial" w:cs="Arial" w:eastAsia="Arial" w:hAnsi="Arial"/>
                <w:sz w:val="14"/>
                <w:szCs w:val="14"/>
                <w:color w:val="auto"/>
              </w:rPr>
              <w:t>7,544(4)</w:t>
            </w:r>
          </w:p>
        </w:tc>
        <w:tc>
          <w:tcPr>
            <w:tcW w:w="118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51.68</w:t>
            </w:r>
          </w:p>
        </w:tc>
        <w:tc>
          <w:tcPr>
            <w:tcW w:w="1440" w:type="dxa"/>
            <w:vAlign w:val="bottom"/>
            <w:shd w:val="clear" w:color="auto" w:fill="E5E5E5"/>
          </w:tcPr>
          <w:p>
            <w:pPr>
              <w:jc w:val="right"/>
              <w:ind w:right="288"/>
              <w:spacing w:after="0"/>
              <w:rPr>
                <w:sz w:val="20"/>
                <w:szCs w:val="20"/>
                <w:color w:val="auto"/>
              </w:rPr>
            </w:pPr>
            <w:r>
              <w:rPr>
                <w:rFonts w:ascii="Arial" w:cs="Arial" w:eastAsia="Arial" w:hAnsi="Arial"/>
                <w:sz w:val="14"/>
                <w:szCs w:val="14"/>
                <w:color w:val="auto"/>
              </w:rPr>
              <w:t>4/11/2029</w:t>
            </w: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26,655(7)</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906,803</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164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144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42,084(8)</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1,431,698</w:t>
            </w:r>
          </w:p>
        </w:tc>
      </w:tr>
      <w:tr>
        <w:trPr>
          <w:trHeight w:val="162"/>
        </w:trPr>
        <w:tc>
          <w:tcPr>
            <w:tcW w:w="1400" w:type="dxa"/>
            <w:vAlign w:val="bottom"/>
            <w:shd w:val="clear" w:color="auto" w:fill="E5E5E5"/>
          </w:tcPr>
          <w:p>
            <w:pPr>
              <w:spacing w:after="0"/>
              <w:rPr>
                <w:sz w:val="14"/>
                <w:szCs w:val="14"/>
                <w:color w:val="auto"/>
              </w:rPr>
            </w:pPr>
          </w:p>
        </w:tc>
        <w:tc>
          <w:tcPr>
            <w:tcW w:w="560" w:type="dxa"/>
            <w:vAlign w:val="bottom"/>
            <w:shd w:val="clear" w:color="auto" w:fill="E5E5E5"/>
          </w:tcPr>
          <w:p>
            <w:pPr>
              <w:spacing w:after="0"/>
              <w:rPr>
                <w:sz w:val="14"/>
                <w:szCs w:val="14"/>
                <w:color w:val="auto"/>
              </w:rPr>
            </w:pPr>
          </w:p>
        </w:tc>
        <w:tc>
          <w:tcPr>
            <w:tcW w:w="840" w:type="dxa"/>
            <w:vAlign w:val="bottom"/>
            <w:shd w:val="clear" w:color="auto" w:fill="E5E5E5"/>
          </w:tcPr>
          <w:p>
            <w:pPr>
              <w:spacing w:after="0"/>
              <w:rPr>
                <w:sz w:val="14"/>
                <w:szCs w:val="14"/>
                <w:color w:val="auto"/>
              </w:rPr>
            </w:pPr>
          </w:p>
        </w:tc>
        <w:tc>
          <w:tcPr>
            <w:tcW w:w="1640" w:type="dxa"/>
            <w:vAlign w:val="bottom"/>
            <w:shd w:val="clear" w:color="auto" w:fill="E5E5E5"/>
          </w:tcPr>
          <w:p>
            <w:pPr>
              <w:spacing w:after="0"/>
              <w:rPr>
                <w:sz w:val="14"/>
                <w:szCs w:val="14"/>
                <w:color w:val="auto"/>
              </w:rPr>
            </w:pPr>
          </w:p>
        </w:tc>
        <w:tc>
          <w:tcPr>
            <w:tcW w:w="1180" w:type="dxa"/>
            <w:vAlign w:val="bottom"/>
            <w:shd w:val="clear" w:color="auto" w:fill="E5E5E5"/>
          </w:tcPr>
          <w:p>
            <w:pPr>
              <w:spacing w:after="0"/>
              <w:rPr>
                <w:sz w:val="14"/>
                <w:szCs w:val="14"/>
                <w:color w:val="auto"/>
              </w:rPr>
            </w:pPr>
          </w:p>
        </w:tc>
        <w:tc>
          <w:tcPr>
            <w:tcW w:w="1440" w:type="dxa"/>
            <w:vAlign w:val="bottom"/>
            <w:shd w:val="clear" w:color="auto" w:fill="E5E5E5"/>
          </w:tcPr>
          <w:p>
            <w:pPr>
              <w:spacing w:after="0"/>
              <w:rPr>
                <w:sz w:val="14"/>
                <w:szCs w:val="14"/>
                <w:color w:val="auto"/>
              </w:rPr>
            </w:pPr>
          </w:p>
        </w:tc>
        <w:tc>
          <w:tcPr>
            <w:tcW w:w="340" w:type="dxa"/>
            <w:vAlign w:val="bottom"/>
            <w:shd w:val="clear" w:color="auto" w:fill="E5E5E5"/>
          </w:tcPr>
          <w:p>
            <w:pPr>
              <w:spacing w:after="0"/>
              <w:rPr>
                <w:sz w:val="14"/>
                <w:szCs w:val="14"/>
                <w:color w:val="auto"/>
              </w:rPr>
            </w:pPr>
          </w:p>
        </w:tc>
        <w:tc>
          <w:tcPr>
            <w:tcW w:w="1820" w:type="dxa"/>
            <w:vAlign w:val="bottom"/>
            <w:shd w:val="clear" w:color="auto" w:fill="E5E5E5"/>
          </w:tcPr>
          <w:p>
            <w:pPr>
              <w:jc w:val="right"/>
              <w:ind w:right="368"/>
              <w:spacing w:after="0"/>
              <w:rPr>
                <w:sz w:val="20"/>
                <w:szCs w:val="20"/>
                <w:color w:val="auto"/>
              </w:rPr>
            </w:pPr>
            <w:r>
              <w:rPr>
                <w:rFonts w:ascii="Arial" w:cs="Arial" w:eastAsia="Arial" w:hAnsi="Arial"/>
                <w:sz w:val="14"/>
                <w:szCs w:val="14"/>
                <w:color w:val="auto"/>
              </w:rPr>
              <w:t>2,573(9)</w:t>
            </w:r>
          </w:p>
        </w:tc>
        <w:tc>
          <w:tcPr>
            <w:tcW w:w="1800" w:type="dxa"/>
            <w:vAlign w:val="bottom"/>
            <w:shd w:val="clear" w:color="auto" w:fill="E5E5E5"/>
          </w:tcPr>
          <w:p>
            <w:pPr>
              <w:jc w:val="right"/>
              <w:ind w:right="488"/>
              <w:spacing w:after="0"/>
              <w:rPr>
                <w:sz w:val="20"/>
                <w:szCs w:val="20"/>
                <w:color w:val="auto"/>
              </w:rPr>
            </w:pPr>
            <w:r>
              <w:rPr>
                <w:rFonts w:ascii="Arial" w:cs="Arial" w:eastAsia="Arial" w:hAnsi="Arial"/>
                <w:sz w:val="14"/>
                <w:szCs w:val="14"/>
                <w:color w:val="auto"/>
              </w:rPr>
              <w:t>87,533</w:t>
            </w:r>
          </w:p>
        </w:tc>
      </w:tr>
      <w:tr>
        <w:trPr>
          <w:trHeight w:val="162"/>
        </w:trPr>
        <w:tc>
          <w:tcPr>
            <w:tcW w:w="1400" w:type="dxa"/>
            <w:vAlign w:val="bottom"/>
            <w:tcBorders>
              <w:bottom w:val="single" w:sz="8" w:color="003B71"/>
            </w:tcBorders>
            <w:shd w:val="clear" w:color="auto" w:fill="E5E5E5"/>
          </w:tcPr>
          <w:p>
            <w:pPr>
              <w:spacing w:after="0"/>
              <w:rPr>
                <w:sz w:val="14"/>
                <w:szCs w:val="14"/>
                <w:color w:val="auto"/>
              </w:rPr>
            </w:pPr>
          </w:p>
        </w:tc>
        <w:tc>
          <w:tcPr>
            <w:tcW w:w="560" w:type="dxa"/>
            <w:vAlign w:val="bottom"/>
            <w:tcBorders>
              <w:bottom w:val="single" w:sz="8" w:color="003B71"/>
            </w:tcBorders>
            <w:shd w:val="clear" w:color="auto" w:fill="E5E5E5"/>
          </w:tcPr>
          <w:p>
            <w:pPr>
              <w:spacing w:after="0"/>
              <w:rPr>
                <w:sz w:val="14"/>
                <w:szCs w:val="14"/>
                <w:color w:val="auto"/>
              </w:rPr>
            </w:pPr>
          </w:p>
        </w:tc>
        <w:tc>
          <w:tcPr>
            <w:tcW w:w="840" w:type="dxa"/>
            <w:vAlign w:val="bottom"/>
            <w:tcBorders>
              <w:bottom w:val="single" w:sz="8" w:color="003B71"/>
            </w:tcBorders>
            <w:shd w:val="clear" w:color="auto" w:fill="E5E5E5"/>
          </w:tcPr>
          <w:p>
            <w:pPr>
              <w:spacing w:after="0"/>
              <w:rPr>
                <w:sz w:val="14"/>
                <w:szCs w:val="14"/>
                <w:color w:val="auto"/>
              </w:rPr>
            </w:pPr>
          </w:p>
        </w:tc>
        <w:tc>
          <w:tcPr>
            <w:tcW w:w="1640" w:type="dxa"/>
            <w:vAlign w:val="bottom"/>
            <w:tcBorders>
              <w:bottom w:val="single" w:sz="8" w:color="003B71"/>
            </w:tcBorders>
            <w:shd w:val="clear" w:color="auto" w:fill="E5E5E5"/>
          </w:tcPr>
          <w:p>
            <w:pPr>
              <w:spacing w:after="0"/>
              <w:rPr>
                <w:sz w:val="14"/>
                <w:szCs w:val="14"/>
                <w:color w:val="auto"/>
              </w:rPr>
            </w:pPr>
          </w:p>
        </w:tc>
        <w:tc>
          <w:tcPr>
            <w:tcW w:w="1180" w:type="dxa"/>
            <w:vAlign w:val="bottom"/>
            <w:tcBorders>
              <w:bottom w:val="single" w:sz="8" w:color="003B71"/>
            </w:tcBorders>
            <w:shd w:val="clear" w:color="auto" w:fill="E5E5E5"/>
          </w:tcPr>
          <w:p>
            <w:pPr>
              <w:spacing w:after="0"/>
              <w:rPr>
                <w:sz w:val="14"/>
                <w:szCs w:val="14"/>
                <w:color w:val="auto"/>
              </w:rPr>
            </w:pPr>
          </w:p>
        </w:tc>
        <w:tc>
          <w:tcPr>
            <w:tcW w:w="1440" w:type="dxa"/>
            <w:vAlign w:val="bottom"/>
            <w:tcBorders>
              <w:bottom w:val="single" w:sz="8" w:color="003B71"/>
            </w:tcBorders>
            <w:shd w:val="clear" w:color="auto" w:fill="E5E5E5"/>
          </w:tcPr>
          <w:p>
            <w:pPr>
              <w:spacing w:after="0"/>
              <w:rPr>
                <w:sz w:val="14"/>
                <w:szCs w:val="14"/>
                <w:color w:val="auto"/>
              </w:rPr>
            </w:pPr>
          </w:p>
        </w:tc>
        <w:tc>
          <w:tcPr>
            <w:tcW w:w="340" w:type="dxa"/>
            <w:vAlign w:val="bottom"/>
            <w:tcBorders>
              <w:bottom w:val="single" w:sz="8" w:color="003B71"/>
            </w:tcBorders>
            <w:shd w:val="clear" w:color="auto" w:fill="E5E5E5"/>
          </w:tcPr>
          <w:p>
            <w:pPr>
              <w:spacing w:after="0"/>
              <w:rPr>
                <w:sz w:val="14"/>
                <w:szCs w:val="14"/>
                <w:color w:val="auto"/>
              </w:rPr>
            </w:pPr>
          </w:p>
        </w:tc>
        <w:tc>
          <w:tcPr>
            <w:tcW w:w="1820" w:type="dxa"/>
            <w:vAlign w:val="bottom"/>
            <w:tcBorders>
              <w:bottom w:val="single" w:sz="8" w:color="003B71"/>
            </w:tcBorders>
            <w:shd w:val="clear" w:color="auto" w:fill="E5E5E5"/>
          </w:tcPr>
          <w:p>
            <w:pPr>
              <w:jc w:val="right"/>
              <w:ind w:right="288"/>
              <w:spacing w:after="0"/>
              <w:rPr>
                <w:sz w:val="20"/>
                <w:szCs w:val="20"/>
                <w:color w:val="auto"/>
              </w:rPr>
            </w:pPr>
            <w:r>
              <w:rPr>
                <w:rFonts w:ascii="Arial" w:cs="Arial" w:eastAsia="Arial" w:hAnsi="Arial"/>
                <w:sz w:val="14"/>
                <w:szCs w:val="14"/>
                <w:color w:val="auto"/>
              </w:rPr>
              <w:t>818(16)</w:t>
            </w:r>
          </w:p>
        </w:tc>
        <w:tc>
          <w:tcPr>
            <w:tcW w:w="1800" w:type="dxa"/>
            <w:vAlign w:val="bottom"/>
            <w:tcBorders>
              <w:bottom w:val="single" w:sz="8" w:color="003B71"/>
            </w:tcBorders>
            <w:shd w:val="clear" w:color="auto" w:fill="E5E5E5"/>
          </w:tcPr>
          <w:p>
            <w:pPr>
              <w:jc w:val="right"/>
              <w:ind w:right="488"/>
              <w:spacing w:after="0"/>
              <w:rPr>
                <w:sz w:val="20"/>
                <w:szCs w:val="20"/>
                <w:color w:val="auto"/>
              </w:rPr>
            </w:pPr>
            <w:r>
              <w:rPr>
                <w:rFonts w:ascii="Arial" w:cs="Arial" w:eastAsia="Arial" w:hAnsi="Arial"/>
                <w:sz w:val="14"/>
                <w:szCs w:val="14"/>
                <w:color w:val="auto"/>
              </w:rPr>
              <w:t>27,828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-2579370</wp:posOffset>
            </wp:positionV>
            <wp:extent cx="5743575"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43575" cy="308610"/>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-1447800</wp:posOffset>
            </wp:positionV>
            <wp:extent cx="5743575"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43575" cy="308610"/>
                    </a:xfrm>
                    <a:prstGeom prst="rect">
                      <a:avLst/>
                    </a:prstGeom>
                    <a:noFill/>
                  </pic:spPr>
                </pic:pic>
              </a:graphicData>
            </a:graphic>
          </wp:anchor>
        </w:drawing>
      </w:r>
    </w:p>
    <w:p>
      <w:pPr>
        <w:spacing w:after="0" w:line="63"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represent vested service-based options granted under the 2014 Stock Incentive Plan.</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represent unvested service-based options granted under the 2014 Stock Incentive Plan. One-half of these options will vest on each of April 11, 2021 and April 11, 2022.</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represent unvested service-based options granted under the 2014 Stock Incentive Plan. These options will vest on April 12, 2021.</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represent unvested service-based options granted under the 2014 Stock Incentive Plan. One-half of these options will vest on each of May 6, 2021 and May 6, 2022.</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represent vested service-based options granted under the 2010 Stock Incentive Plan.</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options represent vested performance-based options granted under the 2010 Stock Incentive Plan.</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These grants reflect RSUs awarded under the 2020 Business Recovery and Transformation Plan. These RSUs vest in equal installments on May 6, 2021, May 6, 2022 and May 6, 2023.</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540" w:right="20" w:hanging="424"/>
        <w:spacing w:after="0" w:line="253"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These grants reflect maximum Market Share Units (“MSUs”) awards under the 2020 Business Recovery and Transformation Plan. These MSUs vest in equal installments on May 6, 2021, May 6, 2022 and May 6, 2023. The target MSUs received by Mr. Jenkins is 87,577, Mr. Bowman is 27,065, Ms. Manning is 36,324, Mr. Mulleady is 24,507 and Mr. Edmund is 21,402.</w:t>
      </w:r>
    </w:p>
    <w:p>
      <w:pPr>
        <w:spacing w:after="0" w:line="66" w:lineRule="exact"/>
        <w:rPr>
          <w:rFonts w:ascii="Arial" w:cs="Arial" w:eastAsia="Arial" w:hAnsi="Arial"/>
          <w:sz w:val="16"/>
          <w:szCs w:val="16"/>
          <w:color w:val="auto"/>
        </w:rPr>
      </w:pPr>
    </w:p>
    <w:p>
      <w:pPr>
        <w:ind w:left="540" w:hanging="424"/>
        <w:spacing w:after="0"/>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These grants reflect target RSU awards under the Fiscal 2019-2021 LTIP.</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These grants reflect target RSU awards under the Fiscal 2018-2020 LTIP.</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This grant reflects an award of RSUs to Mr. Jenkins in connection with his succession to CEO of the Company. These RSUs vest in equal installments on June 11, 2021 and June 11, 2022.</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This grant reflects an award of RSUs to Mr. Jenkins in recognition of his strong performance and contribution to the Company’s success. These RSUs vest in equal installments on September 7, 2021 and September 7, 2022.</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This grant reflects an award of RSUs to Mr. Bowman in connection with his joining the Company. One-half of these RSUs vest on each of May 6, 2021 and May 6, 2022.</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This grant reflects an award of RSUs to Ms. Manning in recognition of her strong performance and contribution to the Company’s success. These RSUs vest in equal installments on April 7, 2021 and April 7, 2022.</w:t>
      </w:r>
    </w:p>
    <w:p>
      <w:pPr>
        <w:spacing w:after="0" w:line="60"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This grant reflects an award of RSUs to Mr. Mulleady in recognition of his strong performance and contribution to the Company’s success. These RSUs vest in equal installments on April 7, 2021 and April 7, 2022.</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This grant reflects an award of RSUs to Mr. Edmund in connection with his joining the Company. These RSUs vest on October 8, 2021.</w:t>
      </w:r>
    </w:p>
    <w:p>
      <w:pPr>
        <w:spacing w:after="0" w:line="86" w:lineRule="exact"/>
        <w:rPr>
          <w:rFonts w:ascii="Arial" w:cs="Arial" w:eastAsia="Arial" w:hAnsi="Arial"/>
          <w:sz w:val="16"/>
          <w:szCs w:val="16"/>
          <w:color w:val="auto"/>
        </w:rPr>
      </w:pPr>
    </w:p>
    <w:p>
      <w:pPr>
        <w:jc w:val="both"/>
        <w:ind w:left="540" w:hanging="424"/>
        <w:spacing w:after="0" w:line="250" w:lineRule="auto"/>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market value is equal to the number of shares underlying the units based on achieving target or maximum performance goals, as applicable, multiplied by the closing market price ($34.02) of the Company’s common stock on January 29, 2021, the last trading day of the Company’s fiscal year. Actual payout and market value are dependent on achievement in any remaining term of the measurement period. Subsequent to the end of the 2020 fiscal year, attainment under the 2018 Long Term Incentive Plan was calculated. The actual number of shares awarded to each NEO under that plan are detailed in the table in the </w:t>
      </w:r>
      <w:r>
        <w:rPr>
          <w:rFonts w:ascii="Arial" w:cs="Arial" w:eastAsia="Arial" w:hAnsi="Arial"/>
          <w:sz w:val="16"/>
          <w:szCs w:val="16"/>
          <w:i w:val="1"/>
          <w:iCs w:val="1"/>
          <w:color w:val="auto"/>
        </w:rPr>
        <w:t>2018 Long Term Incentive Award Payout</w:t>
      </w:r>
      <w:r>
        <w:rPr>
          <w:rFonts w:ascii="Arial" w:cs="Arial" w:eastAsia="Arial" w:hAnsi="Arial"/>
          <w:sz w:val="16"/>
          <w:szCs w:val="16"/>
          <w:color w:val="auto"/>
        </w:rPr>
        <w:t xml:space="preserve"> discussion on pp. 33-34.</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Fiscal 2020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1740" w:type="dxa"/>
            <w:vAlign w:val="bottom"/>
            <w:tcBorders>
              <w:bottom w:val="single" w:sz="8" w:color="003B71"/>
            </w:tcBorders>
          </w:tcPr>
          <w:p>
            <w:pPr>
              <w:spacing w:after="0"/>
              <w:rPr>
                <w:sz w:val="15"/>
                <w:szCs w:val="15"/>
                <w:color w:val="auto"/>
              </w:rPr>
            </w:pPr>
          </w:p>
        </w:tc>
        <w:tc>
          <w:tcPr>
            <w:tcW w:w="2740" w:type="dxa"/>
            <w:vAlign w:val="bottom"/>
            <w:tcBorders>
              <w:bottom w:val="single" w:sz="8" w:color="003B71"/>
            </w:tcBorders>
          </w:tcPr>
          <w:p>
            <w:pPr>
              <w:jc w:val="right"/>
              <w:ind w:right="1442"/>
              <w:spacing w:after="0"/>
              <w:rPr>
                <w:sz w:val="20"/>
                <w:szCs w:val="20"/>
                <w:color w:val="auto"/>
              </w:rPr>
            </w:pPr>
            <w:r>
              <w:rPr>
                <w:rFonts w:ascii="Arial" w:cs="Arial" w:eastAsia="Arial" w:hAnsi="Arial"/>
                <w:sz w:val="14"/>
                <w:szCs w:val="14"/>
                <w:b w:val="1"/>
                <w:bCs w:val="1"/>
                <w:color w:val="003B71"/>
                <w:w w:val="99"/>
              </w:rPr>
              <w:t>OPTION AWARDS</w:t>
            </w:r>
          </w:p>
        </w:tc>
        <w:tc>
          <w:tcPr>
            <w:tcW w:w="420" w:type="dxa"/>
            <w:vAlign w:val="bottom"/>
          </w:tcPr>
          <w:p>
            <w:pPr>
              <w:spacing w:after="0"/>
              <w:rPr>
                <w:sz w:val="15"/>
                <w:szCs w:val="15"/>
                <w:color w:val="auto"/>
              </w:rPr>
            </w:pPr>
          </w:p>
        </w:tc>
        <w:tc>
          <w:tcPr>
            <w:tcW w:w="4400" w:type="dxa"/>
            <w:vAlign w:val="bottom"/>
            <w:tcBorders>
              <w:bottom w:val="single" w:sz="8" w:color="003B71"/>
            </w:tcBorders>
            <w:gridSpan w:val="2"/>
          </w:tcPr>
          <w:p>
            <w:pPr>
              <w:jc w:val="right"/>
              <w:ind w:right="1442"/>
              <w:spacing w:after="0"/>
              <w:rPr>
                <w:sz w:val="20"/>
                <w:szCs w:val="20"/>
                <w:color w:val="auto"/>
              </w:rPr>
            </w:pPr>
            <w:r>
              <w:rPr>
                <w:rFonts w:ascii="Arial" w:cs="Arial" w:eastAsia="Arial" w:hAnsi="Arial"/>
                <w:sz w:val="14"/>
                <w:szCs w:val="14"/>
                <w:b w:val="1"/>
                <w:bCs w:val="1"/>
                <w:color w:val="003B71"/>
              </w:rPr>
              <w:t>STOCK VESTED</w:t>
            </w:r>
          </w:p>
        </w:tc>
      </w:tr>
      <w:tr>
        <w:trPr>
          <w:trHeight w:val="142"/>
        </w:trPr>
        <w:tc>
          <w:tcPr>
            <w:tcW w:w="1720" w:type="dxa"/>
            <w:vAlign w:val="bottom"/>
          </w:tcPr>
          <w:p>
            <w:pPr>
              <w:spacing w:after="0"/>
              <w:rPr>
                <w:sz w:val="12"/>
                <w:szCs w:val="12"/>
                <w:color w:val="auto"/>
              </w:rPr>
            </w:pPr>
          </w:p>
        </w:tc>
        <w:tc>
          <w:tcPr>
            <w:tcW w:w="1740" w:type="dxa"/>
            <w:vAlign w:val="bottom"/>
          </w:tcPr>
          <w:p>
            <w:pPr>
              <w:jc w:val="right"/>
              <w:ind w:right="62"/>
              <w:spacing w:after="0" w:line="143" w:lineRule="exact"/>
              <w:rPr>
                <w:sz w:val="20"/>
                <w:szCs w:val="20"/>
                <w:color w:val="auto"/>
              </w:rPr>
            </w:pPr>
            <w:r>
              <w:rPr>
                <w:rFonts w:ascii="Arial" w:cs="Arial" w:eastAsia="Arial" w:hAnsi="Arial"/>
                <w:sz w:val="14"/>
                <w:szCs w:val="14"/>
                <w:b w:val="1"/>
                <w:bCs w:val="1"/>
                <w:color w:val="003B71"/>
              </w:rPr>
              <w:t>Number of Shares</w:t>
            </w:r>
          </w:p>
        </w:tc>
        <w:tc>
          <w:tcPr>
            <w:tcW w:w="3160" w:type="dxa"/>
            <w:vAlign w:val="bottom"/>
            <w:gridSpan w:val="2"/>
          </w:tcPr>
          <w:p>
            <w:pPr>
              <w:ind w:left="560"/>
              <w:spacing w:after="0" w:line="143" w:lineRule="exact"/>
              <w:rPr>
                <w:sz w:val="20"/>
                <w:szCs w:val="20"/>
                <w:color w:val="auto"/>
              </w:rPr>
            </w:pPr>
            <w:r>
              <w:rPr>
                <w:rFonts w:ascii="Arial" w:cs="Arial" w:eastAsia="Arial" w:hAnsi="Arial"/>
                <w:sz w:val="14"/>
                <w:szCs w:val="14"/>
                <w:b w:val="1"/>
                <w:bCs w:val="1"/>
                <w:color w:val="003B71"/>
              </w:rPr>
              <w:t>Value Realized on Exercise</w:t>
            </w:r>
          </w:p>
        </w:tc>
        <w:tc>
          <w:tcPr>
            <w:tcW w:w="2100" w:type="dxa"/>
            <w:vAlign w:val="bottom"/>
          </w:tcPr>
          <w:p>
            <w:pPr>
              <w:jc w:val="right"/>
              <w:ind w:right="342"/>
              <w:spacing w:after="0" w:line="143" w:lineRule="exact"/>
              <w:rPr>
                <w:sz w:val="20"/>
                <w:szCs w:val="20"/>
                <w:color w:val="auto"/>
              </w:rPr>
            </w:pPr>
            <w:r>
              <w:rPr>
                <w:rFonts w:ascii="Arial" w:cs="Arial" w:eastAsia="Arial" w:hAnsi="Arial"/>
                <w:sz w:val="14"/>
                <w:szCs w:val="14"/>
                <w:b w:val="1"/>
                <w:bCs w:val="1"/>
                <w:color w:val="003B71"/>
              </w:rPr>
              <w:t>Number of Shares</w:t>
            </w:r>
          </w:p>
        </w:tc>
        <w:tc>
          <w:tcPr>
            <w:tcW w:w="2300" w:type="dxa"/>
            <w:vAlign w:val="bottom"/>
          </w:tcPr>
          <w:p>
            <w:pPr>
              <w:jc w:val="right"/>
              <w:ind w:right="202"/>
              <w:spacing w:after="0" w:line="143" w:lineRule="exact"/>
              <w:rPr>
                <w:sz w:val="20"/>
                <w:szCs w:val="20"/>
                <w:color w:val="auto"/>
              </w:rPr>
            </w:pPr>
            <w:r>
              <w:rPr>
                <w:rFonts w:ascii="Arial" w:cs="Arial" w:eastAsia="Arial" w:hAnsi="Arial"/>
                <w:sz w:val="14"/>
                <w:szCs w:val="14"/>
                <w:b w:val="1"/>
                <w:bCs w:val="1"/>
                <w:color w:val="003B71"/>
              </w:rPr>
              <w:t>Value Realized on Vesting</w:t>
            </w:r>
          </w:p>
        </w:tc>
      </w:tr>
      <w:tr>
        <w:trPr>
          <w:trHeight w:val="189"/>
        </w:trPr>
        <w:tc>
          <w:tcPr>
            <w:tcW w:w="172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1740" w:type="dxa"/>
            <w:vAlign w:val="bottom"/>
            <w:tcBorders>
              <w:bottom w:val="single" w:sz="8" w:color="003B71"/>
            </w:tcBorders>
          </w:tcPr>
          <w:p>
            <w:pPr>
              <w:jc w:val="right"/>
              <w:spacing w:after="0"/>
              <w:rPr>
                <w:sz w:val="20"/>
                <w:szCs w:val="20"/>
                <w:color w:val="auto"/>
              </w:rPr>
            </w:pPr>
            <w:r>
              <w:rPr>
                <w:rFonts w:ascii="Arial" w:cs="Arial" w:eastAsia="Arial" w:hAnsi="Arial"/>
                <w:sz w:val="14"/>
                <w:szCs w:val="14"/>
                <w:b w:val="1"/>
                <w:bCs w:val="1"/>
                <w:color w:val="003B71"/>
              </w:rPr>
              <w:t>Acquired on Exercise</w:t>
            </w:r>
          </w:p>
        </w:tc>
        <w:tc>
          <w:tcPr>
            <w:tcW w:w="2740" w:type="dxa"/>
            <w:vAlign w:val="bottom"/>
            <w:tcBorders>
              <w:bottom w:val="single" w:sz="8" w:color="003B71"/>
            </w:tcBorders>
          </w:tcPr>
          <w:p>
            <w:pPr>
              <w:jc w:val="right"/>
              <w:ind w:right="1082"/>
              <w:spacing w:after="0"/>
              <w:rPr>
                <w:sz w:val="20"/>
                <w:szCs w:val="20"/>
                <w:color w:val="auto"/>
              </w:rPr>
            </w:pPr>
            <w:r>
              <w:rPr>
                <w:rFonts w:ascii="Arial" w:cs="Arial" w:eastAsia="Arial" w:hAnsi="Arial"/>
                <w:sz w:val="14"/>
                <w:szCs w:val="14"/>
                <w:b w:val="1"/>
                <w:bCs w:val="1"/>
                <w:color w:val="003B71"/>
              </w:rPr>
              <w:t>($)</w:t>
            </w:r>
          </w:p>
        </w:tc>
        <w:tc>
          <w:tcPr>
            <w:tcW w:w="420" w:type="dxa"/>
            <w:vAlign w:val="bottom"/>
            <w:tcBorders>
              <w:bottom w:val="single" w:sz="8" w:color="003B71"/>
            </w:tcBorders>
          </w:tcPr>
          <w:p>
            <w:pPr>
              <w:spacing w:after="0"/>
              <w:rPr>
                <w:sz w:val="16"/>
                <w:szCs w:val="16"/>
                <w:color w:val="auto"/>
              </w:rPr>
            </w:pPr>
          </w:p>
        </w:tc>
        <w:tc>
          <w:tcPr>
            <w:tcW w:w="2100" w:type="dxa"/>
            <w:vAlign w:val="bottom"/>
            <w:tcBorders>
              <w:bottom w:val="single" w:sz="8" w:color="003B71"/>
            </w:tcBorders>
          </w:tcPr>
          <w:p>
            <w:pPr>
              <w:jc w:val="right"/>
              <w:ind w:right="182"/>
              <w:spacing w:after="0"/>
              <w:rPr>
                <w:sz w:val="20"/>
                <w:szCs w:val="20"/>
                <w:color w:val="auto"/>
              </w:rPr>
            </w:pPr>
            <w:r>
              <w:rPr>
                <w:rFonts w:ascii="Arial" w:cs="Arial" w:eastAsia="Arial" w:hAnsi="Arial"/>
                <w:sz w:val="14"/>
                <w:szCs w:val="14"/>
                <w:b w:val="1"/>
                <w:bCs w:val="1"/>
                <w:color w:val="003B71"/>
              </w:rPr>
              <w:t>Acquired on Vesting(1)</w:t>
            </w:r>
          </w:p>
        </w:tc>
        <w:tc>
          <w:tcPr>
            <w:tcW w:w="2300" w:type="dxa"/>
            <w:vAlign w:val="bottom"/>
            <w:tcBorders>
              <w:bottom w:val="single" w:sz="8" w:color="003B71"/>
            </w:tcBorders>
          </w:tcPr>
          <w:p>
            <w:pPr>
              <w:jc w:val="right"/>
              <w:ind w:right="982"/>
              <w:spacing w:after="0"/>
              <w:rPr>
                <w:sz w:val="20"/>
                <w:szCs w:val="20"/>
                <w:color w:val="auto"/>
              </w:rPr>
            </w:pPr>
            <w:r>
              <w:rPr>
                <w:rFonts w:ascii="Arial" w:cs="Arial" w:eastAsia="Arial" w:hAnsi="Arial"/>
                <w:sz w:val="14"/>
                <w:szCs w:val="14"/>
                <w:b w:val="1"/>
                <w:bCs w:val="1"/>
                <w:color w:val="003B71"/>
              </w:rPr>
              <w:t>($)</w:t>
            </w:r>
          </w:p>
        </w:tc>
      </w:tr>
      <w:tr>
        <w:trPr>
          <w:trHeight w:val="183"/>
        </w:trPr>
        <w:tc>
          <w:tcPr>
            <w:tcW w:w="172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1740" w:type="dxa"/>
            <w:vAlign w:val="bottom"/>
            <w:shd w:val="clear" w:color="auto" w:fill="E5E5E5"/>
          </w:tcPr>
          <w:p>
            <w:pPr>
              <w:jc w:val="right"/>
              <w:ind w:right="262"/>
              <w:spacing w:after="0" w:line="183" w:lineRule="exact"/>
              <w:rPr>
                <w:sz w:val="20"/>
                <w:szCs w:val="20"/>
                <w:color w:val="auto"/>
              </w:rPr>
            </w:pPr>
            <w:r>
              <w:rPr>
                <w:rFonts w:ascii="Arial" w:cs="Arial" w:eastAsia="Arial" w:hAnsi="Arial"/>
                <w:sz w:val="16"/>
                <w:szCs w:val="16"/>
                <w:color w:val="auto"/>
              </w:rPr>
              <w:t>38,808</w:t>
            </w:r>
          </w:p>
        </w:tc>
        <w:tc>
          <w:tcPr>
            <w:tcW w:w="2740" w:type="dxa"/>
            <w:vAlign w:val="bottom"/>
            <w:shd w:val="clear" w:color="auto" w:fill="E5E5E5"/>
          </w:tcPr>
          <w:p>
            <w:pPr>
              <w:jc w:val="right"/>
              <w:ind w:right="802"/>
              <w:spacing w:after="0" w:line="183" w:lineRule="exact"/>
              <w:rPr>
                <w:sz w:val="20"/>
                <w:szCs w:val="20"/>
                <w:color w:val="auto"/>
              </w:rPr>
            </w:pPr>
            <w:r>
              <w:rPr>
                <w:rFonts w:ascii="Arial" w:cs="Arial" w:eastAsia="Arial" w:hAnsi="Arial"/>
                <w:sz w:val="16"/>
                <w:szCs w:val="16"/>
                <w:color w:val="auto"/>
              </w:rPr>
              <w:t>$328,273</w:t>
            </w:r>
          </w:p>
        </w:tc>
        <w:tc>
          <w:tcPr>
            <w:tcW w:w="420" w:type="dxa"/>
            <w:vAlign w:val="bottom"/>
            <w:shd w:val="clear" w:color="auto" w:fill="E5E5E5"/>
          </w:tcPr>
          <w:p>
            <w:pPr>
              <w:spacing w:after="0"/>
              <w:rPr>
                <w:sz w:val="15"/>
                <w:szCs w:val="15"/>
                <w:color w:val="auto"/>
              </w:rPr>
            </w:pPr>
          </w:p>
        </w:tc>
        <w:tc>
          <w:tcPr>
            <w:tcW w:w="2100" w:type="dxa"/>
            <w:vAlign w:val="bottom"/>
            <w:shd w:val="clear" w:color="auto" w:fill="E5E5E5"/>
          </w:tcPr>
          <w:p>
            <w:pPr>
              <w:jc w:val="right"/>
              <w:ind w:right="622"/>
              <w:spacing w:after="0" w:line="183" w:lineRule="exact"/>
              <w:rPr>
                <w:sz w:val="20"/>
                <w:szCs w:val="20"/>
                <w:color w:val="auto"/>
              </w:rPr>
            </w:pPr>
            <w:r>
              <w:rPr>
                <w:rFonts w:ascii="Arial" w:cs="Arial" w:eastAsia="Arial" w:hAnsi="Arial"/>
                <w:sz w:val="16"/>
                <w:szCs w:val="16"/>
                <w:color w:val="auto"/>
              </w:rPr>
              <w:t>4,076</w:t>
            </w:r>
          </w:p>
        </w:tc>
        <w:tc>
          <w:tcPr>
            <w:tcW w:w="2300" w:type="dxa"/>
            <w:vAlign w:val="bottom"/>
            <w:shd w:val="clear" w:color="auto" w:fill="E5E5E5"/>
          </w:tcPr>
          <w:p>
            <w:pPr>
              <w:jc w:val="right"/>
              <w:ind w:right="762"/>
              <w:spacing w:after="0" w:line="183" w:lineRule="exact"/>
              <w:rPr>
                <w:sz w:val="20"/>
                <w:szCs w:val="20"/>
                <w:color w:val="auto"/>
              </w:rPr>
            </w:pPr>
            <w:r>
              <w:rPr>
                <w:rFonts w:ascii="Arial" w:cs="Arial" w:eastAsia="Arial" w:hAnsi="Arial"/>
                <w:sz w:val="16"/>
                <w:szCs w:val="16"/>
                <w:color w:val="auto"/>
              </w:rPr>
              <w:t>$51,928</w:t>
            </w:r>
          </w:p>
        </w:tc>
      </w:tr>
      <w:tr>
        <w:trPr>
          <w:trHeight w:val="189"/>
        </w:trPr>
        <w:tc>
          <w:tcPr>
            <w:tcW w:w="172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174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3160" w:type="dxa"/>
            <w:vAlign w:val="bottom"/>
            <w:gridSpan w:val="2"/>
          </w:tcPr>
          <w:p>
            <w:pPr>
              <w:jc w:val="right"/>
              <w:ind w:right="130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622"/>
              <w:spacing w:after="0"/>
              <w:rPr>
                <w:sz w:val="20"/>
                <w:szCs w:val="20"/>
                <w:color w:val="auto"/>
              </w:rPr>
            </w:pPr>
            <w:r>
              <w:rPr>
                <w:rFonts w:ascii="Arial" w:cs="Arial" w:eastAsia="Arial" w:hAnsi="Arial"/>
                <w:sz w:val="16"/>
                <w:szCs w:val="16"/>
                <w:color w:val="auto"/>
              </w:rPr>
              <w:t>570</w:t>
            </w:r>
          </w:p>
        </w:tc>
        <w:tc>
          <w:tcPr>
            <w:tcW w:w="2300" w:type="dxa"/>
            <w:vAlign w:val="bottom"/>
          </w:tcPr>
          <w:p>
            <w:pPr>
              <w:jc w:val="right"/>
              <w:ind w:right="762"/>
              <w:spacing w:after="0"/>
              <w:rPr>
                <w:sz w:val="20"/>
                <w:szCs w:val="20"/>
                <w:color w:val="auto"/>
              </w:rPr>
            </w:pPr>
            <w:r>
              <w:rPr>
                <w:rFonts w:ascii="Arial" w:cs="Arial" w:eastAsia="Arial" w:hAnsi="Arial"/>
                <w:sz w:val="16"/>
                <w:szCs w:val="16"/>
                <w:color w:val="auto"/>
              </w:rPr>
              <w:t>$ 7,518</w:t>
            </w:r>
          </w:p>
        </w:tc>
      </w:tr>
      <w:tr>
        <w:trPr>
          <w:trHeight w:val="189"/>
        </w:trPr>
        <w:tc>
          <w:tcPr>
            <w:tcW w:w="172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1740" w:type="dxa"/>
            <w:vAlign w:val="bottom"/>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3160" w:type="dxa"/>
            <w:vAlign w:val="bottom"/>
            <w:gridSpan w:val="2"/>
            <w:shd w:val="clear" w:color="auto" w:fill="E5E5E5"/>
          </w:tcPr>
          <w:p>
            <w:pPr>
              <w:jc w:val="right"/>
              <w:ind w:right="1300"/>
              <w:spacing w:after="0"/>
              <w:rPr>
                <w:sz w:val="20"/>
                <w:szCs w:val="20"/>
                <w:color w:val="auto"/>
              </w:rPr>
            </w:pPr>
            <w:r>
              <w:rPr>
                <w:rFonts w:ascii="Arial" w:cs="Arial" w:eastAsia="Arial" w:hAnsi="Arial"/>
                <w:sz w:val="16"/>
                <w:szCs w:val="16"/>
                <w:color w:val="auto"/>
              </w:rPr>
              <w:t>—</w:t>
            </w:r>
          </w:p>
        </w:tc>
        <w:tc>
          <w:tcPr>
            <w:tcW w:w="2100" w:type="dxa"/>
            <w:vAlign w:val="bottom"/>
            <w:shd w:val="clear" w:color="auto" w:fill="E5E5E5"/>
          </w:tcPr>
          <w:p>
            <w:pPr>
              <w:jc w:val="right"/>
              <w:ind w:right="622"/>
              <w:spacing w:after="0"/>
              <w:rPr>
                <w:sz w:val="20"/>
                <w:szCs w:val="20"/>
                <w:color w:val="auto"/>
              </w:rPr>
            </w:pPr>
            <w:r>
              <w:rPr>
                <w:rFonts w:ascii="Arial" w:cs="Arial" w:eastAsia="Arial" w:hAnsi="Arial"/>
                <w:sz w:val="16"/>
                <w:szCs w:val="16"/>
                <w:color w:val="auto"/>
              </w:rPr>
              <w:t>4,129</w:t>
            </w:r>
          </w:p>
        </w:tc>
        <w:tc>
          <w:tcPr>
            <w:tcW w:w="2300" w:type="dxa"/>
            <w:vAlign w:val="bottom"/>
            <w:shd w:val="clear" w:color="auto" w:fill="E5E5E5"/>
          </w:tcPr>
          <w:p>
            <w:pPr>
              <w:jc w:val="right"/>
              <w:ind w:right="762"/>
              <w:spacing w:after="0"/>
              <w:rPr>
                <w:sz w:val="20"/>
                <w:szCs w:val="20"/>
                <w:color w:val="auto"/>
              </w:rPr>
            </w:pPr>
            <w:r>
              <w:rPr>
                <w:rFonts w:ascii="Arial" w:cs="Arial" w:eastAsia="Arial" w:hAnsi="Arial"/>
                <w:sz w:val="16"/>
                <w:szCs w:val="16"/>
                <w:color w:val="auto"/>
              </w:rPr>
              <w:t>$52,603</w:t>
            </w:r>
          </w:p>
        </w:tc>
      </w:tr>
      <w:tr>
        <w:trPr>
          <w:trHeight w:val="189"/>
        </w:trPr>
        <w:tc>
          <w:tcPr>
            <w:tcW w:w="1720" w:type="dxa"/>
            <w:vAlign w:val="bottom"/>
          </w:tcPr>
          <w:p>
            <w:pPr>
              <w:ind w:left="80"/>
              <w:spacing w:after="0"/>
              <w:rPr>
                <w:sz w:val="20"/>
                <w:szCs w:val="20"/>
                <w:color w:val="auto"/>
              </w:rPr>
            </w:pPr>
            <w:r>
              <w:rPr>
                <w:rFonts w:ascii="Arial" w:cs="Arial" w:eastAsia="Arial" w:hAnsi="Arial"/>
                <w:sz w:val="16"/>
                <w:szCs w:val="16"/>
                <w:color w:val="auto"/>
              </w:rPr>
              <w:t>John B. Mulleady</w:t>
            </w:r>
          </w:p>
        </w:tc>
        <w:tc>
          <w:tcPr>
            <w:tcW w:w="174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3160" w:type="dxa"/>
            <w:vAlign w:val="bottom"/>
            <w:gridSpan w:val="2"/>
          </w:tcPr>
          <w:p>
            <w:pPr>
              <w:jc w:val="right"/>
              <w:ind w:right="1300"/>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622"/>
              <w:spacing w:after="0"/>
              <w:rPr>
                <w:sz w:val="20"/>
                <w:szCs w:val="20"/>
                <w:color w:val="auto"/>
              </w:rPr>
            </w:pPr>
            <w:r>
              <w:rPr>
                <w:rFonts w:ascii="Arial" w:cs="Arial" w:eastAsia="Arial" w:hAnsi="Arial"/>
                <w:sz w:val="16"/>
                <w:szCs w:val="16"/>
                <w:color w:val="auto"/>
              </w:rPr>
              <w:t>2,586</w:t>
            </w:r>
          </w:p>
        </w:tc>
        <w:tc>
          <w:tcPr>
            <w:tcW w:w="2300" w:type="dxa"/>
            <w:vAlign w:val="bottom"/>
          </w:tcPr>
          <w:p>
            <w:pPr>
              <w:jc w:val="right"/>
              <w:ind w:right="762"/>
              <w:spacing w:after="0"/>
              <w:rPr>
                <w:sz w:val="20"/>
                <w:szCs w:val="20"/>
                <w:color w:val="auto"/>
              </w:rPr>
            </w:pPr>
            <w:r>
              <w:rPr>
                <w:rFonts w:ascii="Arial" w:cs="Arial" w:eastAsia="Arial" w:hAnsi="Arial"/>
                <w:sz w:val="16"/>
                <w:szCs w:val="16"/>
                <w:color w:val="auto"/>
              </w:rPr>
              <w:t>$32,946</w:t>
            </w:r>
          </w:p>
        </w:tc>
      </w:tr>
      <w:tr>
        <w:trPr>
          <w:trHeight w:val="189"/>
        </w:trPr>
        <w:tc>
          <w:tcPr>
            <w:tcW w:w="1720" w:type="dxa"/>
            <w:vAlign w:val="bottom"/>
            <w:tcBorders>
              <w:bottom w:val="single" w:sz="8" w:color="003B71"/>
            </w:tcBorders>
            <w:shd w:val="clear" w:color="auto" w:fill="E5E5E5"/>
          </w:tcPr>
          <w:p>
            <w:pPr>
              <w:ind w:left="80"/>
              <w:spacing w:after="0"/>
              <w:rPr>
                <w:sz w:val="20"/>
                <w:szCs w:val="20"/>
                <w:color w:val="auto"/>
              </w:rPr>
            </w:pPr>
            <w:r>
              <w:rPr>
                <w:rFonts w:ascii="Arial" w:cs="Arial" w:eastAsia="Arial" w:hAnsi="Arial"/>
                <w:sz w:val="16"/>
                <w:szCs w:val="16"/>
                <w:color w:val="auto"/>
              </w:rPr>
              <w:t>Robert W. Edmund</w:t>
            </w:r>
          </w:p>
        </w:tc>
        <w:tc>
          <w:tcPr>
            <w:tcW w:w="1740" w:type="dxa"/>
            <w:vAlign w:val="bottom"/>
            <w:tcBorders>
              <w:bottom w:val="single" w:sz="8" w:color="003B71"/>
            </w:tcBorders>
            <w:shd w:val="clear" w:color="auto" w:fill="E5E5E5"/>
          </w:tcPr>
          <w:p>
            <w:pPr>
              <w:jc w:val="right"/>
              <w:ind w:right="262"/>
              <w:spacing w:after="0"/>
              <w:rPr>
                <w:sz w:val="20"/>
                <w:szCs w:val="20"/>
                <w:color w:val="auto"/>
              </w:rPr>
            </w:pPr>
            <w:r>
              <w:rPr>
                <w:rFonts w:ascii="Arial" w:cs="Arial" w:eastAsia="Arial" w:hAnsi="Arial"/>
                <w:sz w:val="16"/>
                <w:szCs w:val="16"/>
                <w:color w:val="auto"/>
              </w:rPr>
              <w:t>—</w:t>
            </w:r>
          </w:p>
        </w:tc>
        <w:tc>
          <w:tcPr>
            <w:tcW w:w="3160" w:type="dxa"/>
            <w:vAlign w:val="bottom"/>
            <w:tcBorders>
              <w:bottom w:val="single" w:sz="8" w:color="003B71"/>
            </w:tcBorders>
            <w:gridSpan w:val="2"/>
            <w:shd w:val="clear" w:color="auto" w:fill="E5E5E5"/>
          </w:tcPr>
          <w:p>
            <w:pPr>
              <w:jc w:val="right"/>
              <w:ind w:right="13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003B71"/>
            </w:tcBorders>
            <w:shd w:val="clear" w:color="auto" w:fill="E5E5E5"/>
          </w:tcPr>
          <w:p>
            <w:pPr>
              <w:jc w:val="right"/>
              <w:ind w:right="622"/>
              <w:spacing w:after="0"/>
              <w:rPr>
                <w:sz w:val="20"/>
                <w:szCs w:val="20"/>
                <w:color w:val="auto"/>
              </w:rPr>
            </w:pPr>
            <w:r>
              <w:rPr>
                <w:rFonts w:ascii="Arial" w:cs="Arial" w:eastAsia="Arial" w:hAnsi="Arial"/>
                <w:sz w:val="16"/>
                <w:szCs w:val="16"/>
                <w:color w:val="auto"/>
              </w:rPr>
              <w:t>818</w:t>
            </w:r>
          </w:p>
        </w:tc>
        <w:tc>
          <w:tcPr>
            <w:tcW w:w="2300" w:type="dxa"/>
            <w:vAlign w:val="bottom"/>
            <w:tcBorders>
              <w:bottom w:val="single" w:sz="8" w:color="003B71"/>
            </w:tcBorders>
            <w:shd w:val="clear" w:color="auto" w:fill="E5E5E5"/>
          </w:tcPr>
          <w:p>
            <w:pPr>
              <w:jc w:val="right"/>
              <w:ind w:right="762"/>
              <w:spacing w:after="0"/>
              <w:rPr>
                <w:sz w:val="20"/>
                <w:szCs w:val="20"/>
                <w:color w:val="auto"/>
              </w:rPr>
            </w:pPr>
            <w:r>
              <w:rPr>
                <w:rFonts w:ascii="Arial" w:cs="Arial" w:eastAsia="Arial" w:hAnsi="Arial"/>
                <w:sz w:val="16"/>
                <w:szCs w:val="16"/>
                <w:color w:val="auto"/>
              </w:rPr>
              <w:t>$13,121</w:t>
            </w:r>
          </w:p>
        </w:tc>
      </w:tr>
    </w:tbl>
    <w:p>
      <w:pPr>
        <w:spacing w:after="0" w:line="83"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These shares do not reflect reductions for shares withheld for taxes at time of distribution.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2020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SERP is a defined contribution plan designed to permit a select group of management or highly compensated employees to set aside base salary on a pre-tax basis. The SERP has a variety of investment options similar in type to our 401(k) plan. Each pay period, the Company matches 25% of the employee’s contributions, up to the first 6% of salary deferred. At the end of the year, if the Company’s EBITDA target is forecasted to be met, the Company may contribute an additional amount, equal to the employer match contributed each pay period. As part of the COVID-19 Action Plan announced in April 2020, the Company suspended matches to both the 401(k) and SERP plans. Employer contributions to a participant’s account vest in equal portions over the first five years a participant is eligible to participate in the SERP and become immediately vested upon termination of a participant’s employment on or after age 65 or by reason of the participant’s death or disability, and upon a change of control (as defined in the SERP). Pursuant to Section 409A of the Code, however, such distribution cannot be made to certain employees of a publicly traded corporation before the earlier of six months following the employee’s termination date or the death of the employee. Employer contributions are fully vested after five years of eligibility. Withdrawals from the SERP may be permitted in the event of an unforeseeable emergency.</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following table shows contributions to each NEO’s deferred compensation account in fiscal 2020 and the aggregate amount of such officer’s deferred compensation as of January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080" w:type="dxa"/>
            <w:vAlign w:val="bottom"/>
          </w:tcPr>
          <w:p>
            <w:pPr>
              <w:jc w:val="center"/>
              <w:ind w:left="123"/>
              <w:spacing w:after="0"/>
              <w:rPr>
                <w:sz w:val="20"/>
                <w:szCs w:val="20"/>
                <w:color w:val="auto"/>
              </w:rPr>
            </w:pPr>
            <w:r>
              <w:rPr>
                <w:rFonts w:ascii="Arial" w:cs="Arial" w:eastAsia="Arial" w:hAnsi="Arial"/>
                <w:sz w:val="14"/>
                <w:szCs w:val="14"/>
                <w:b w:val="1"/>
                <w:bCs w:val="1"/>
                <w:color w:val="003B71"/>
              </w:rPr>
              <w:t>Executive</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03B71"/>
              </w:rPr>
              <w:t>Registrant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B71"/>
              </w:rPr>
              <w:t>Aggregate</w:t>
            </w:r>
          </w:p>
        </w:tc>
        <w:tc>
          <w:tcPr>
            <w:tcW w:w="1460" w:type="dxa"/>
            <w:vAlign w:val="bottom"/>
          </w:tcPr>
          <w:p>
            <w:pPr>
              <w:spacing w:after="0"/>
              <w:rPr>
                <w:sz w:val="14"/>
                <w:szCs w:val="14"/>
                <w:color w:val="auto"/>
              </w:rPr>
            </w:pPr>
          </w:p>
        </w:tc>
        <w:tc>
          <w:tcPr>
            <w:tcW w:w="2220" w:type="dxa"/>
            <w:vAlign w:val="bottom"/>
          </w:tcPr>
          <w:p>
            <w:pPr>
              <w:jc w:val="right"/>
              <w:ind w:right="283"/>
              <w:spacing w:after="0"/>
              <w:rPr>
                <w:sz w:val="20"/>
                <w:szCs w:val="20"/>
                <w:color w:val="auto"/>
              </w:rPr>
            </w:pPr>
            <w:r>
              <w:rPr>
                <w:rFonts w:ascii="Arial" w:cs="Arial" w:eastAsia="Arial" w:hAnsi="Arial"/>
                <w:sz w:val="14"/>
                <w:szCs w:val="14"/>
                <w:b w:val="1"/>
                <w:bCs w:val="1"/>
                <w:color w:val="003B71"/>
              </w:rPr>
              <w:t>Aggregate Balance at</w:t>
            </w:r>
          </w:p>
        </w:tc>
      </w:tr>
      <w:tr>
        <w:trPr>
          <w:trHeight w:val="162"/>
        </w:trPr>
        <w:tc>
          <w:tcPr>
            <w:tcW w:w="1880" w:type="dxa"/>
            <w:vAlign w:val="bottom"/>
          </w:tcPr>
          <w:p>
            <w:pPr>
              <w:spacing w:after="0"/>
              <w:rPr>
                <w:sz w:val="14"/>
                <w:szCs w:val="14"/>
                <w:color w:val="auto"/>
              </w:rPr>
            </w:pPr>
          </w:p>
        </w:tc>
        <w:tc>
          <w:tcPr>
            <w:tcW w:w="2080" w:type="dxa"/>
            <w:vAlign w:val="bottom"/>
          </w:tcPr>
          <w:p>
            <w:pPr>
              <w:jc w:val="center"/>
              <w:ind w:left="123"/>
              <w:spacing w:after="0"/>
              <w:rPr>
                <w:sz w:val="20"/>
                <w:szCs w:val="20"/>
                <w:color w:val="auto"/>
              </w:rPr>
            </w:pPr>
            <w:r>
              <w:rPr>
                <w:rFonts w:ascii="Arial" w:cs="Arial" w:eastAsia="Arial" w:hAnsi="Arial"/>
                <w:sz w:val="14"/>
                <w:szCs w:val="14"/>
                <w:b w:val="1"/>
                <w:bCs w:val="1"/>
                <w:color w:val="003B71"/>
              </w:rPr>
              <w:t>Contributions in Last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03B71"/>
              </w:rPr>
              <w:t>Contributions in Last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B71"/>
              </w:rPr>
              <w:t>Earnings in Last</w:t>
            </w:r>
          </w:p>
        </w:tc>
        <w:tc>
          <w:tcPr>
            <w:tcW w:w="1460" w:type="dxa"/>
            <w:vAlign w:val="bottom"/>
          </w:tcPr>
          <w:p>
            <w:pPr>
              <w:jc w:val="center"/>
              <w:ind w:right="82"/>
              <w:spacing w:after="0"/>
              <w:rPr>
                <w:sz w:val="20"/>
                <w:szCs w:val="20"/>
                <w:color w:val="auto"/>
              </w:rPr>
            </w:pPr>
            <w:r>
              <w:rPr>
                <w:rFonts w:ascii="Arial" w:cs="Arial" w:eastAsia="Arial" w:hAnsi="Arial"/>
                <w:sz w:val="14"/>
                <w:szCs w:val="14"/>
                <w:b w:val="1"/>
                <w:bCs w:val="1"/>
                <w:color w:val="003B71"/>
              </w:rPr>
              <w:t>Fees and</w:t>
            </w:r>
          </w:p>
        </w:tc>
        <w:tc>
          <w:tcPr>
            <w:tcW w:w="2220" w:type="dxa"/>
            <w:vAlign w:val="bottom"/>
          </w:tcPr>
          <w:p>
            <w:pPr>
              <w:jc w:val="right"/>
              <w:ind w:right="463"/>
              <w:spacing w:after="0"/>
              <w:rPr>
                <w:sz w:val="20"/>
                <w:szCs w:val="20"/>
                <w:color w:val="auto"/>
              </w:rPr>
            </w:pPr>
            <w:r>
              <w:rPr>
                <w:rFonts w:ascii="Arial" w:cs="Arial" w:eastAsia="Arial" w:hAnsi="Arial"/>
                <w:sz w:val="14"/>
                <w:szCs w:val="14"/>
                <w:b w:val="1"/>
                <w:bCs w:val="1"/>
                <w:color w:val="003B71"/>
              </w:rPr>
              <w:t>Last Fiscal Year-</w:t>
            </w:r>
          </w:p>
        </w:tc>
      </w:tr>
      <w:tr>
        <w:trPr>
          <w:trHeight w:val="162"/>
        </w:trPr>
        <w:tc>
          <w:tcPr>
            <w:tcW w:w="1880" w:type="dxa"/>
            <w:vAlign w:val="bottom"/>
          </w:tcPr>
          <w:p>
            <w:pPr>
              <w:spacing w:after="0"/>
              <w:rPr>
                <w:sz w:val="14"/>
                <w:szCs w:val="14"/>
                <w:color w:val="auto"/>
              </w:rPr>
            </w:pPr>
          </w:p>
        </w:tc>
        <w:tc>
          <w:tcPr>
            <w:tcW w:w="2080" w:type="dxa"/>
            <w:vAlign w:val="bottom"/>
          </w:tcPr>
          <w:p>
            <w:pPr>
              <w:jc w:val="center"/>
              <w:ind w:left="123"/>
              <w:spacing w:after="0"/>
              <w:rPr>
                <w:sz w:val="20"/>
                <w:szCs w:val="20"/>
                <w:color w:val="auto"/>
              </w:rPr>
            </w:pPr>
            <w:r>
              <w:rPr>
                <w:rFonts w:ascii="Arial" w:cs="Arial" w:eastAsia="Arial" w:hAnsi="Arial"/>
                <w:sz w:val="14"/>
                <w:szCs w:val="14"/>
                <w:b w:val="1"/>
                <w:bCs w:val="1"/>
                <w:color w:val="003B71"/>
              </w:rPr>
              <w:t>Fiscal Year(1)</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003B71"/>
              </w:rPr>
              <w:t>Fiscal Year(2)(3)</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B71"/>
              </w:rPr>
              <w:t>Fiscal Year(3)</w:t>
            </w:r>
          </w:p>
        </w:tc>
        <w:tc>
          <w:tcPr>
            <w:tcW w:w="1460" w:type="dxa"/>
            <w:vAlign w:val="bottom"/>
          </w:tcPr>
          <w:p>
            <w:pPr>
              <w:jc w:val="center"/>
              <w:ind w:right="62"/>
              <w:spacing w:after="0"/>
              <w:rPr>
                <w:sz w:val="20"/>
                <w:szCs w:val="20"/>
                <w:color w:val="auto"/>
              </w:rPr>
            </w:pPr>
            <w:r>
              <w:rPr>
                <w:rFonts w:ascii="Arial" w:cs="Arial" w:eastAsia="Arial" w:hAnsi="Arial"/>
                <w:sz w:val="14"/>
                <w:szCs w:val="14"/>
                <w:b w:val="1"/>
                <w:bCs w:val="1"/>
                <w:color w:val="003B71"/>
              </w:rPr>
              <w:t>Adjustments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003B71"/>
              </w:rPr>
              <w:t>End(4)</w:t>
            </w:r>
          </w:p>
        </w:tc>
      </w:tr>
      <w:tr>
        <w:trPr>
          <w:trHeight w:val="189"/>
        </w:trPr>
        <w:tc>
          <w:tcPr>
            <w:tcW w:w="188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2080" w:type="dxa"/>
            <w:vAlign w:val="bottom"/>
            <w:tcBorders>
              <w:bottom w:val="single" w:sz="8" w:color="003B71"/>
            </w:tcBorders>
          </w:tcPr>
          <w:p>
            <w:pPr>
              <w:jc w:val="center"/>
              <w:ind w:left="123"/>
              <w:spacing w:after="0"/>
              <w:rPr>
                <w:sz w:val="20"/>
                <w:szCs w:val="20"/>
                <w:color w:val="auto"/>
              </w:rPr>
            </w:pPr>
            <w:r>
              <w:rPr>
                <w:rFonts w:ascii="Arial" w:cs="Arial" w:eastAsia="Arial" w:hAnsi="Arial"/>
                <w:sz w:val="14"/>
                <w:szCs w:val="14"/>
                <w:b w:val="1"/>
                <w:bCs w:val="1"/>
                <w:color w:val="003B71"/>
                <w:w w:val="93"/>
              </w:rPr>
              <w:t>($)</w:t>
            </w:r>
          </w:p>
        </w:tc>
        <w:tc>
          <w:tcPr>
            <w:tcW w:w="186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w:t>
            </w:r>
          </w:p>
        </w:tc>
        <w:tc>
          <w:tcPr>
            <w:tcW w:w="152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w:t>
            </w:r>
          </w:p>
        </w:tc>
        <w:tc>
          <w:tcPr>
            <w:tcW w:w="1460" w:type="dxa"/>
            <w:vAlign w:val="bottom"/>
            <w:tcBorders>
              <w:bottom w:val="single" w:sz="8" w:color="003B71"/>
            </w:tcBorders>
          </w:tcPr>
          <w:p>
            <w:pPr>
              <w:jc w:val="center"/>
              <w:ind w:right="82"/>
              <w:spacing w:after="0"/>
              <w:rPr>
                <w:sz w:val="20"/>
                <w:szCs w:val="20"/>
                <w:color w:val="auto"/>
              </w:rPr>
            </w:pPr>
            <w:r>
              <w:rPr>
                <w:rFonts w:ascii="Arial" w:cs="Arial" w:eastAsia="Arial" w:hAnsi="Arial"/>
                <w:sz w:val="14"/>
                <w:szCs w:val="14"/>
                <w:b w:val="1"/>
                <w:bCs w:val="1"/>
                <w:color w:val="003B71"/>
              </w:rPr>
              <w:t>($)</w:t>
            </w:r>
          </w:p>
        </w:tc>
        <w:tc>
          <w:tcPr>
            <w:tcW w:w="2220" w:type="dxa"/>
            <w:vAlign w:val="bottom"/>
            <w:tcBorders>
              <w:bottom w:val="single" w:sz="8" w:color="003B71"/>
            </w:tcBorders>
          </w:tcPr>
          <w:p>
            <w:pPr>
              <w:jc w:val="right"/>
              <w:ind w:right="943"/>
              <w:spacing w:after="0"/>
              <w:rPr>
                <w:sz w:val="20"/>
                <w:szCs w:val="20"/>
                <w:color w:val="auto"/>
              </w:rPr>
            </w:pPr>
            <w:r>
              <w:rPr>
                <w:rFonts w:ascii="Arial" w:cs="Arial" w:eastAsia="Arial" w:hAnsi="Arial"/>
                <w:sz w:val="14"/>
                <w:szCs w:val="14"/>
                <w:b w:val="1"/>
                <w:bCs w:val="1"/>
                <w:color w:val="003B71"/>
              </w:rPr>
              <w:t>($)</w:t>
            </w:r>
          </w:p>
        </w:tc>
      </w:tr>
      <w:tr>
        <w:trPr>
          <w:trHeight w:val="183"/>
        </w:trPr>
        <w:tc>
          <w:tcPr>
            <w:tcW w:w="1880" w:type="dxa"/>
            <w:vAlign w:val="bottom"/>
            <w:shd w:val="clear" w:color="auto" w:fill="E5E5E5"/>
          </w:tcPr>
          <w:p>
            <w:pPr>
              <w:ind w:left="80"/>
              <w:spacing w:after="0" w:line="183" w:lineRule="exact"/>
              <w:rPr>
                <w:sz w:val="20"/>
                <w:szCs w:val="20"/>
                <w:color w:val="auto"/>
              </w:rPr>
            </w:pPr>
            <w:r>
              <w:rPr>
                <w:rFonts w:ascii="Arial" w:cs="Arial" w:eastAsia="Arial" w:hAnsi="Arial"/>
                <w:sz w:val="16"/>
                <w:szCs w:val="16"/>
                <w:color w:val="auto"/>
              </w:rPr>
              <w:t>Brian A. Jenkins</w:t>
            </w:r>
          </w:p>
        </w:tc>
        <w:tc>
          <w:tcPr>
            <w:tcW w:w="2080" w:type="dxa"/>
            <w:vAlign w:val="bottom"/>
            <w:shd w:val="clear" w:color="auto" w:fill="E5E5E5"/>
          </w:tcPr>
          <w:p>
            <w:pPr>
              <w:jc w:val="right"/>
              <w:ind w:right="383"/>
              <w:spacing w:after="0" w:line="183" w:lineRule="exact"/>
              <w:rPr>
                <w:sz w:val="20"/>
                <w:szCs w:val="20"/>
                <w:color w:val="auto"/>
              </w:rPr>
            </w:pPr>
            <w:r>
              <w:rPr>
                <w:rFonts w:ascii="Arial" w:cs="Arial" w:eastAsia="Arial" w:hAnsi="Arial"/>
                <w:sz w:val="16"/>
                <w:szCs w:val="16"/>
                <w:color w:val="auto"/>
              </w:rPr>
              <w:t>60,000</w:t>
            </w:r>
          </w:p>
        </w:tc>
        <w:tc>
          <w:tcPr>
            <w:tcW w:w="1860" w:type="dxa"/>
            <w:vAlign w:val="bottom"/>
            <w:shd w:val="clear" w:color="auto" w:fill="E5E5E5"/>
          </w:tcPr>
          <w:p>
            <w:pPr>
              <w:jc w:val="right"/>
              <w:ind w:right="523"/>
              <w:spacing w:after="0" w:line="183" w:lineRule="exact"/>
              <w:rPr>
                <w:sz w:val="20"/>
                <w:szCs w:val="20"/>
                <w:color w:val="auto"/>
              </w:rPr>
            </w:pPr>
            <w:r>
              <w:rPr>
                <w:rFonts w:ascii="Arial" w:cs="Arial" w:eastAsia="Arial" w:hAnsi="Arial"/>
                <w:sz w:val="16"/>
                <w:szCs w:val="16"/>
                <w:color w:val="auto"/>
              </w:rPr>
              <w:t>1,350</w:t>
            </w:r>
          </w:p>
        </w:tc>
        <w:tc>
          <w:tcPr>
            <w:tcW w:w="1520" w:type="dxa"/>
            <w:vAlign w:val="bottom"/>
            <w:shd w:val="clear" w:color="auto" w:fill="E5E5E5"/>
          </w:tcPr>
          <w:p>
            <w:pPr>
              <w:jc w:val="right"/>
              <w:ind w:right="183"/>
              <w:spacing w:after="0" w:line="183" w:lineRule="exact"/>
              <w:rPr>
                <w:sz w:val="20"/>
                <w:szCs w:val="20"/>
                <w:color w:val="auto"/>
              </w:rPr>
            </w:pPr>
            <w:r>
              <w:rPr>
                <w:rFonts w:ascii="Arial" w:cs="Arial" w:eastAsia="Arial" w:hAnsi="Arial"/>
                <w:sz w:val="16"/>
                <w:szCs w:val="16"/>
                <w:color w:val="auto"/>
              </w:rPr>
              <w:t>90,988</w:t>
            </w:r>
          </w:p>
        </w:tc>
        <w:tc>
          <w:tcPr>
            <w:tcW w:w="1460" w:type="dxa"/>
            <w:vAlign w:val="bottom"/>
            <w:shd w:val="clear" w:color="auto" w:fill="E5E5E5"/>
          </w:tcPr>
          <w:p>
            <w:pPr>
              <w:jc w:val="right"/>
              <w:ind w:right="362"/>
              <w:spacing w:after="0" w:line="183" w:lineRule="exact"/>
              <w:rPr>
                <w:sz w:val="20"/>
                <w:szCs w:val="20"/>
                <w:color w:val="auto"/>
              </w:rPr>
            </w:pPr>
            <w:r>
              <w:rPr>
                <w:rFonts w:ascii="Arial" w:cs="Arial" w:eastAsia="Arial" w:hAnsi="Arial"/>
                <w:sz w:val="16"/>
                <w:szCs w:val="16"/>
                <w:color w:val="auto"/>
              </w:rPr>
              <w:t>990</w:t>
            </w:r>
          </w:p>
        </w:tc>
        <w:tc>
          <w:tcPr>
            <w:tcW w:w="2220" w:type="dxa"/>
            <w:vAlign w:val="bottom"/>
            <w:shd w:val="clear" w:color="auto" w:fill="E5E5E5"/>
          </w:tcPr>
          <w:p>
            <w:pPr>
              <w:jc w:val="right"/>
              <w:ind w:right="623"/>
              <w:spacing w:after="0" w:line="183" w:lineRule="exact"/>
              <w:rPr>
                <w:sz w:val="20"/>
                <w:szCs w:val="20"/>
                <w:color w:val="auto"/>
              </w:rPr>
            </w:pPr>
            <w:r>
              <w:rPr>
                <w:rFonts w:ascii="Arial" w:cs="Arial" w:eastAsia="Arial" w:hAnsi="Arial"/>
                <w:sz w:val="16"/>
                <w:szCs w:val="16"/>
                <w:color w:val="auto"/>
              </w:rPr>
              <w:t>749,390</w:t>
            </w:r>
          </w:p>
        </w:tc>
      </w:tr>
      <w:tr>
        <w:trPr>
          <w:trHeight w:val="189"/>
        </w:trPr>
        <w:tc>
          <w:tcPr>
            <w:tcW w:w="1880" w:type="dxa"/>
            <w:vAlign w:val="bottom"/>
          </w:tcPr>
          <w:p>
            <w:pPr>
              <w:ind w:left="80"/>
              <w:spacing w:after="0"/>
              <w:rPr>
                <w:sz w:val="20"/>
                <w:szCs w:val="20"/>
                <w:color w:val="auto"/>
              </w:rPr>
            </w:pPr>
            <w:r>
              <w:rPr>
                <w:rFonts w:ascii="Arial" w:cs="Arial" w:eastAsia="Arial" w:hAnsi="Arial"/>
                <w:sz w:val="16"/>
                <w:szCs w:val="16"/>
                <w:color w:val="auto"/>
              </w:rPr>
              <w:t>Scott Bowman</w:t>
            </w:r>
          </w:p>
        </w:tc>
        <w:tc>
          <w:tcPr>
            <w:tcW w:w="2080" w:type="dxa"/>
            <w:vAlign w:val="bottom"/>
          </w:tcPr>
          <w:p>
            <w:pPr>
              <w:jc w:val="right"/>
              <w:ind w:right="383"/>
              <w:spacing w:after="0"/>
              <w:rPr>
                <w:sz w:val="20"/>
                <w:szCs w:val="20"/>
                <w:color w:val="auto"/>
              </w:rPr>
            </w:pPr>
            <w:r>
              <w:rPr>
                <w:rFonts w:ascii="Arial" w:cs="Arial" w:eastAsia="Arial" w:hAnsi="Arial"/>
                <w:sz w:val="16"/>
                <w:szCs w:val="16"/>
                <w:color w:val="auto"/>
              </w:rPr>
              <w:t>21,000</w:t>
            </w:r>
          </w:p>
        </w:tc>
        <w:tc>
          <w:tcPr>
            <w:tcW w:w="1860" w:type="dxa"/>
            <w:vAlign w:val="bottom"/>
          </w:tcPr>
          <w:p>
            <w:pPr>
              <w:jc w:val="right"/>
              <w:ind w:right="523"/>
              <w:spacing w:after="0"/>
              <w:rPr>
                <w:sz w:val="20"/>
                <w:szCs w:val="20"/>
                <w:color w:val="auto"/>
              </w:rPr>
            </w:pPr>
            <w:r>
              <w:rPr>
                <w:rFonts w:ascii="Arial" w:cs="Arial" w:eastAsia="Arial" w:hAnsi="Arial"/>
                <w:sz w:val="16"/>
                <w:szCs w:val="16"/>
                <w:color w:val="auto"/>
              </w:rPr>
              <w:t>787</w:t>
            </w:r>
          </w:p>
        </w:tc>
        <w:tc>
          <w:tcPr>
            <w:tcW w:w="1520" w:type="dxa"/>
            <w:vAlign w:val="bottom"/>
          </w:tcPr>
          <w:p>
            <w:pPr>
              <w:jc w:val="right"/>
              <w:ind w:right="183"/>
              <w:spacing w:after="0"/>
              <w:rPr>
                <w:sz w:val="20"/>
                <w:szCs w:val="20"/>
                <w:color w:val="auto"/>
              </w:rPr>
            </w:pPr>
            <w:r>
              <w:rPr>
                <w:rFonts w:ascii="Arial" w:cs="Arial" w:eastAsia="Arial" w:hAnsi="Arial"/>
                <w:sz w:val="16"/>
                <w:szCs w:val="16"/>
                <w:color w:val="auto"/>
              </w:rPr>
              <w:t>4,945</w:t>
            </w:r>
          </w:p>
        </w:tc>
        <w:tc>
          <w:tcPr>
            <w:tcW w:w="1460" w:type="dxa"/>
            <w:vAlign w:val="bottom"/>
          </w:tcPr>
          <w:p>
            <w:pPr>
              <w:jc w:val="right"/>
              <w:ind w:right="302"/>
              <w:spacing w:after="0"/>
              <w:rPr>
                <w:sz w:val="20"/>
                <w:szCs w:val="20"/>
                <w:color w:val="auto"/>
              </w:rPr>
            </w:pPr>
            <w:r>
              <w:rPr>
                <w:rFonts w:ascii="Arial" w:cs="Arial" w:eastAsia="Arial" w:hAnsi="Arial"/>
                <w:sz w:val="16"/>
                <w:szCs w:val="16"/>
                <w:color w:val="auto"/>
              </w:rPr>
              <w:t>(253)</w:t>
            </w:r>
          </w:p>
        </w:tc>
        <w:tc>
          <w:tcPr>
            <w:tcW w:w="2220" w:type="dxa"/>
            <w:vAlign w:val="bottom"/>
          </w:tcPr>
          <w:p>
            <w:pPr>
              <w:jc w:val="right"/>
              <w:ind w:right="623"/>
              <w:spacing w:after="0"/>
              <w:rPr>
                <w:sz w:val="20"/>
                <w:szCs w:val="20"/>
                <w:color w:val="auto"/>
              </w:rPr>
            </w:pPr>
            <w:r>
              <w:rPr>
                <w:rFonts w:ascii="Arial" w:cs="Arial" w:eastAsia="Arial" w:hAnsi="Arial"/>
                <w:sz w:val="16"/>
                <w:szCs w:val="16"/>
                <w:color w:val="auto"/>
              </w:rPr>
              <w:t>29,041</w:t>
            </w:r>
          </w:p>
        </w:tc>
      </w:tr>
      <w:tr>
        <w:trPr>
          <w:trHeight w:val="189"/>
        </w:trPr>
        <w:tc>
          <w:tcPr>
            <w:tcW w:w="1880" w:type="dxa"/>
            <w:vAlign w:val="bottom"/>
            <w:shd w:val="clear" w:color="auto" w:fill="E5E5E5"/>
          </w:tcPr>
          <w:p>
            <w:pPr>
              <w:ind w:left="80"/>
              <w:spacing w:after="0"/>
              <w:rPr>
                <w:sz w:val="20"/>
                <w:szCs w:val="20"/>
                <w:color w:val="auto"/>
              </w:rPr>
            </w:pPr>
            <w:r>
              <w:rPr>
                <w:rFonts w:ascii="Arial" w:cs="Arial" w:eastAsia="Arial" w:hAnsi="Arial"/>
                <w:sz w:val="16"/>
                <w:szCs w:val="16"/>
                <w:color w:val="auto"/>
              </w:rPr>
              <w:t>Margo L. Manning</w:t>
            </w:r>
          </w:p>
        </w:tc>
        <w:tc>
          <w:tcPr>
            <w:tcW w:w="2080" w:type="dxa"/>
            <w:vAlign w:val="bottom"/>
            <w:shd w:val="clear" w:color="auto" w:fill="E5E5E5"/>
          </w:tcPr>
          <w:p>
            <w:pPr>
              <w:jc w:val="right"/>
              <w:ind w:right="383"/>
              <w:spacing w:after="0"/>
              <w:rPr>
                <w:sz w:val="20"/>
                <w:szCs w:val="20"/>
                <w:color w:val="auto"/>
              </w:rPr>
            </w:pPr>
            <w:r>
              <w:rPr>
                <w:rFonts w:ascii="Arial" w:cs="Arial" w:eastAsia="Arial" w:hAnsi="Arial"/>
                <w:sz w:val="16"/>
                <w:szCs w:val="16"/>
                <w:color w:val="auto"/>
              </w:rPr>
              <w:t>101,227</w:t>
            </w:r>
          </w:p>
        </w:tc>
        <w:tc>
          <w:tcPr>
            <w:tcW w:w="1860" w:type="dxa"/>
            <w:vAlign w:val="bottom"/>
            <w:shd w:val="clear" w:color="auto" w:fill="E5E5E5"/>
          </w:tcPr>
          <w:p>
            <w:pPr>
              <w:jc w:val="right"/>
              <w:ind w:right="523"/>
              <w:spacing w:after="0"/>
              <w:rPr>
                <w:sz w:val="20"/>
                <w:szCs w:val="20"/>
                <w:color w:val="auto"/>
              </w:rPr>
            </w:pPr>
            <w:r>
              <w:rPr>
                <w:rFonts w:ascii="Arial" w:cs="Arial" w:eastAsia="Arial" w:hAnsi="Arial"/>
                <w:sz w:val="16"/>
                <w:szCs w:val="16"/>
                <w:color w:val="auto"/>
              </w:rPr>
              <w:t>805</w:t>
            </w:r>
          </w:p>
        </w:tc>
        <w:tc>
          <w:tcPr>
            <w:tcW w:w="1520" w:type="dxa"/>
            <w:vAlign w:val="bottom"/>
            <w:shd w:val="clear" w:color="auto" w:fill="E5E5E5"/>
          </w:tcPr>
          <w:p>
            <w:pPr>
              <w:jc w:val="right"/>
              <w:ind w:right="183"/>
              <w:spacing w:after="0"/>
              <w:rPr>
                <w:sz w:val="20"/>
                <w:szCs w:val="20"/>
                <w:color w:val="auto"/>
              </w:rPr>
            </w:pPr>
            <w:r>
              <w:rPr>
                <w:rFonts w:ascii="Arial" w:cs="Arial" w:eastAsia="Arial" w:hAnsi="Arial"/>
                <w:sz w:val="16"/>
                <w:szCs w:val="16"/>
                <w:color w:val="auto"/>
              </w:rPr>
              <w:t>206,382</w:t>
            </w:r>
          </w:p>
        </w:tc>
        <w:tc>
          <w:tcPr>
            <w:tcW w:w="1460" w:type="dxa"/>
            <w:vAlign w:val="bottom"/>
            <w:shd w:val="clear" w:color="auto" w:fill="E5E5E5"/>
          </w:tcPr>
          <w:p>
            <w:pPr>
              <w:jc w:val="right"/>
              <w:ind w:right="362"/>
              <w:spacing w:after="0"/>
              <w:rPr>
                <w:sz w:val="20"/>
                <w:szCs w:val="20"/>
                <w:color w:val="auto"/>
              </w:rPr>
            </w:pPr>
            <w:r>
              <w:rPr>
                <w:rFonts w:ascii="Arial" w:cs="Arial" w:eastAsia="Arial" w:hAnsi="Arial"/>
                <w:sz w:val="16"/>
                <w:szCs w:val="16"/>
                <w:color w:val="auto"/>
              </w:rPr>
              <w:t>2,159</w:t>
            </w:r>
          </w:p>
        </w:tc>
        <w:tc>
          <w:tcPr>
            <w:tcW w:w="2220" w:type="dxa"/>
            <w:vAlign w:val="bottom"/>
            <w:shd w:val="clear" w:color="auto" w:fill="E5E5E5"/>
          </w:tcPr>
          <w:p>
            <w:pPr>
              <w:jc w:val="right"/>
              <w:ind w:right="623"/>
              <w:spacing w:after="0"/>
              <w:rPr>
                <w:sz w:val="20"/>
                <w:szCs w:val="20"/>
                <w:color w:val="auto"/>
              </w:rPr>
            </w:pPr>
            <w:r>
              <w:rPr>
                <w:rFonts w:ascii="Arial" w:cs="Arial" w:eastAsia="Arial" w:hAnsi="Arial"/>
                <w:sz w:val="16"/>
                <w:szCs w:val="16"/>
                <w:color w:val="auto"/>
              </w:rPr>
              <w:t>1,373,061</w:t>
            </w:r>
          </w:p>
        </w:tc>
      </w:tr>
      <w:tr>
        <w:trPr>
          <w:trHeight w:val="189"/>
        </w:trPr>
        <w:tc>
          <w:tcPr>
            <w:tcW w:w="1880" w:type="dxa"/>
            <w:vAlign w:val="bottom"/>
          </w:tcPr>
          <w:p>
            <w:pPr>
              <w:ind w:left="80"/>
              <w:spacing w:after="0"/>
              <w:rPr>
                <w:sz w:val="20"/>
                <w:szCs w:val="20"/>
                <w:color w:val="auto"/>
              </w:rPr>
            </w:pPr>
            <w:r>
              <w:rPr>
                <w:rFonts w:ascii="Arial" w:cs="Arial" w:eastAsia="Arial" w:hAnsi="Arial"/>
                <w:sz w:val="16"/>
                <w:szCs w:val="16"/>
                <w:color w:val="auto"/>
              </w:rPr>
              <w:t>John B. Mulleady</w:t>
            </w:r>
          </w:p>
        </w:tc>
        <w:tc>
          <w:tcPr>
            <w:tcW w:w="208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2220" w:type="dxa"/>
            <w:vAlign w:val="bottom"/>
          </w:tcPr>
          <w:p>
            <w:pPr>
              <w:jc w:val="right"/>
              <w:ind w:right="623"/>
              <w:spacing w:after="0"/>
              <w:rPr>
                <w:sz w:val="20"/>
                <w:szCs w:val="20"/>
                <w:color w:val="auto"/>
              </w:rPr>
            </w:pPr>
            <w:r>
              <w:rPr>
                <w:rFonts w:ascii="Arial" w:cs="Arial" w:eastAsia="Arial" w:hAnsi="Arial"/>
                <w:sz w:val="16"/>
                <w:szCs w:val="16"/>
                <w:color w:val="auto"/>
              </w:rPr>
              <w:t>—</w:t>
            </w:r>
          </w:p>
        </w:tc>
      </w:tr>
      <w:tr>
        <w:trPr>
          <w:trHeight w:val="189"/>
        </w:trPr>
        <w:tc>
          <w:tcPr>
            <w:tcW w:w="1880" w:type="dxa"/>
            <w:vAlign w:val="bottom"/>
            <w:tcBorders>
              <w:bottom w:val="single" w:sz="8" w:color="003B71"/>
            </w:tcBorders>
            <w:shd w:val="clear" w:color="auto" w:fill="E5E5E5"/>
          </w:tcPr>
          <w:p>
            <w:pPr>
              <w:ind w:left="80"/>
              <w:spacing w:after="0"/>
              <w:rPr>
                <w:sz w:val="20"/>
                <w:szCs w:val="20"/>
                <w:color w:val="auto"/>
              </w:rPr>
            </w:pPr>
            <w:r>
              <w:rPr>
                <w:rFonts w:ascii="Arial" w:cs="Arial" w:eastAsia="Arial" w:hAnsi="Arial"/>
                <w:sz w:val="16"/>
                <w:szCs w:val="16"/>
                <w:color w:val="auto"/>
              </w:rPr>
              <w:t>Robert W. Edmund</w:t>
            </w:r>
          </w:p>
        </w:tc>
        <w:tc>
          <w:tcPr>
            <w:tcW w:w="2080" w:type="dxa"/>
            <w:vAlign w:val="bottom"/>
            <w:tcBorders>
              <w:bottom w:val="single" w:sz="8" w:color="003B71"/>
            </w:tcBorders>
            <w:shd w:val="clear" w:color="auto" w:fill="E5E5E5"/>
          </w:tcPr>
          <w:p>
            <w:pPr>
              <w:jc w:val="right"/>
              <w:ind w:right="383"/>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003B71"/>
            </w:tcBorders>
            <w:shd w:val="clear" w:color="auto" w:fill="E5E5E5"/>
          </w:tcPr>
          <w:p>
            <w:pPr>
              <w:jc w:val="right"/>
              <w:ind w:right="523"/>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003B71"/>
            </w:tcBorders>
            <w:shd w:val="clear" w:color="auto" w:fill="E5E5E5"/>
          </w:tcPr>
          <w:p>
            <w:pPr>
              <w:jc w:val="right"/>
              <w:ind w:right="183"/>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003B71"/>
            </w:tcBorders>
            <w:shd w:val="clear" w:color="auto" w:fill="E5E5E5"/>
          </w:tcPr>
          <w:p>
            <w:pPr>
              <w:jc w:val="right"/>
              <w:ind w:right="362"/>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003B71"/>
            </w:tcBorders>
            <w:shd w:val="clear" w:color="auto" w:fill="E5E5E5"/>
          </w:tcPr>
          <w:p>
            <w:pPr>
              <w:jc w:val="right"/>
              <w:ind w:right="623"/>
              <w:spacing w:after="0"/>
              <w:rPr>
                <w:sz w:val="20"/>
                <w:szCs w:val="20"/>
                <w:color w:val="auto"/>
              </w:rPr>
            </w:pPr>
            <w:r>
              <w:rPr>
                <w:rFonts w:ascii="Arial" w:cs="Arial" w:eastAsia="Arial" w:hAnsi="Arial"/>
                <w:sz w:val="16"/>
                <w:szCs w:val="16"/>
                <w:color w:val="auto"/>
              </w:rPr>
              <w:t>—</w:t>
            </w:r>
          </w:p>
        </w:tc>
      </w:tr>
    </w:tbl>
    <w:p>
      <w:pPr>
        <w:spacing w:after="0" w:line="83"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Amounts are included in the “Salary” column of the “2020 Summary Compensation Table.”</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Amounts shown are matching contributions pursuant to the deferred compensation plan. These amounts are included in the “All Other Compensation” column of the “2020 Summary Compensation Table.”</w:t>
      </w:r>
    </w:p>
    <w:p>
      <w:pPr>
        <w:spacing w:after="0" w:line="60" w:lineRule="exact"/>
        <w:rPr>
          <w:rFonts w:ascii="Arial" w:cs="Arial" w:eastAsia="Arial" w:hAnsi="Arial"/>
          <w:sz w:val="16"/>
          <w:szCs w:val="16"/>
          <w:color w:val="auto"/>
        </w:rPr>
      </w:pPr>
    </w:p>
    <w:p>
      <w:pPr>
        <w:ind w:left="540" w:hanging="424"/>
        <w:spacing w:after="0"/>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 amount reported in this column was reported as compensation to the officer in the “2020 Summary Compensation Table” in previous years.</w:t>
      </w:r>
    </w:p>
    <w:p>
      <w:pPr>
        <w:spacing w:after="0" w:line="86"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portion of these amounts derived from executive contributions made in previous years was included in the “Salary” column of the “Summary Compensation Table” in the years when the contributions were made. The portions of these amounts derived from matching contributions made in previous years were included in the “All Other Compensation” column of the “Summary Compensation Table” in the years when the executive contributions were made.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have entered into employment agreements with our NEOs to reflect the then current compensation arrangements of each of the NEOs and to include additional restrictive covenants, including a one-year non- competition provision and a two-year non-solicitation and non-hire provision. The employment agreement for each NEO provides for an initial term of one year, subject to automatic one-year renewals unless terminated earlier by the NEO or us. Under the terms of the employment agreements, each NEO is entitled to a minimum base salary and may receive an annual salary increase commensurate with such officer’s performance during the year, as determined by our Board of Directors. Our NEOs are also entitled to participate in the Executive Incentive Plan, the 2014 Stock Incentive Plan and in any profit sharing, qualified and nonqualified retirement plans and any health, life, accident, disability insurance, sick leave, supplemental medical reimbursement insurance, or benefit plans or programs as we may choose to make available now or in the future. NEOs also receive an annual perquisite allowance. In addition, the employment agreements contain provisions providing for severance payments and continuation of benefits under certain circumstances including termination by us without Cause (as defined in the employment agreement), upon execution of a general release of claims in favor of us.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is a discussion of the rights of the NEOs under the 2010 Stock Incentive Plan, the 2014 Stock Incentive Plan and the employment agreements with the NEOs following a termination of employment or change of control.</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Payments pursuant to 2010 Stock Incentive Plan</w:t>
      </w:r>
    </w:p>
    <w:p>
      <w:pPr>
        <w:spacing w:after="0" w:line="126"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18"/>
          <w:szCs w:val="18"/>
          <w:color w:val="auto"/>
        </w:rPr>
        <w:t>Pursuant to the 2010 Stock Incentive Plan, certain vested stock options shall terminate on the earliest of (a) the day on which the executive officer is no longer employed by us due to the termination of such employment for cause, (b) the thirty-first day following the date the executive officer is no longer employed by us due to the termination of such employment upon notice to us by the executive officer without good reason having been shown, (c) the 366th day following the date the executive officer is no longer employed by us by reason of death, disability, or due to the termination of such employment (i) by the executive officer for good reason having been shown or</w:t>
      </w:r>
    </w:p>
    <w:p>
      <w:pPr>
        <w:spacing w:after="0" w:line="3" w:lineRule="exact"/>
        <w:rPr>
          <w:sz w:val="20"/>
          <w:szCs w:val="20"/>
          <w:color w:val="auto"/>
        </w:rPr>
      </w:pPr>
    </w:p>
    <w:p>
      <w:pPr>
        <w:ind w:left="120" w:right="20" w:hanging="4"/>
        <w:spacing w:after="0" w:line="246" w:lineRule="auto"/>
        <w:tabs>
          <w:tab w:leader="none" w:pos="3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us for reason other than for cause, or (d) the tenth anniversary of the date of grant. All options that are not vested and exercisable on the date of termination of employment shall immediately terminate and expire on such termination</w:t>
      </w:r>
    </w:p>
    <w:p>
      <w:pPr>
        <w:spacing w:after="0" w:line="121"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date. Following the adoption of the 2014 Stock Incentive Plan, no further grants of stock options, stock appreciation rights, restricted stock, other stock-based awards, or cash-based awards will be made pursuant to the 2010 Stock Incentive Plan.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Payments pursuant to 2014 Stock Incentive Plan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address grants under the 2014 Stock Incentive Plan.</w:t>
      </w:r>
    </w:p>
    <w:p>
      <w:pPr>
        <w:spacing w:after="0" w:line="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B71"/>
        </w:rPr>
        <w:t>Stock Options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60" w:type="dxa"/>
            <w:vAlign w:val="bottom"/>
            <w:tcBorders>
              <w:bottom w:val="single" w:sz="8" w:color="003B71"/>
            </w:tcBorders>
            <w:gridSpan w:val="3"/>
          </w:tcPr>
          <w:p>
            <w:pPr>
              <w:ind w:left="60"/>
              <w:spacing w:after="0"/>
              <w:rPr>
                <w:sz w:val="20"/>
                <w:szCs w:val="20"/>
                <w:color w:val="auto"/>
              </w:rPr>
            </w:pPr>
            <w:r>
              <w:rPr>
                <w:rFonts w:ascii="Arial" w:cs="Arial" w:eastAsia="Arial" w:hAnsi="Arial"/>
                <w:sz w:val="14"/>
                <w:szCs w:val="14"/>
                <w:b w:val="1"/>
                <w:bCs w:val="1"/>
                <w:color w:val="003B71"/>
              </w:rPr>
              <w:t>Reason for Termination</w:t>
            </w:r>
          </w:p>
        </w:tc>
        <w:tc>
          <w:tcPr>
            <w:tcW w:w="5000" w:type="dxa"/>
            <w:vAlign w:val="bottom"/>
            <w:tcBorders>
              <w:bottom w:val="single" w:sz="8" w:color="003B71"/>
            </w:tcBorders>
          </w:tcPr>
          <w:p>
            <w:pPr>
              <w:ind w:left="3320"/>
              <w:spacing w:after="0"/>
              <w:rPr>
                <w:sz w:val="20"/>
                <w:szCs w:val="20"/>
                <w:color w:val="auto"/>
              </w:rPr>
            </w:pPr>
            <w:r>
              <w:rPr>
                <w:rFonts w:ascii="Arial" w:cs="Arial" w:eastAsia="Arial" w:hAnsi="Arial"/>
                <w:sz w:val="14"/>
                <w:szCs w:val="14"/>
                <w:b w:val="1"/>
                <w:bCs w:val="1"/>
                <w:color w:val="003B71"/>
              </w:rPr>
              <w:t>Unvested</w:t>
            </w:r>
          </w:p>
        </w:tc>
        <w:tc>
          <w:tcPr>
            <w:tcW w:w="3960" w:type="dxa"/>
            <w:vAlign w:val="bottom"/>
            <w:tcBorders>
              <w:bottom w:val="single" w:sz="8" w:color="003B71"/>
            </w:tcBorders>
          </w:tcPr>
          <w:p>
            <w:pPr>
              <w:ind w:left="1980"/>
              <w:spacing w:after="0"/>
              <w:rPr>
                <w:sz w:val="20"/>
                <w:szCs w:val="20"/>
                <w:color w:val="auto"/>
              </w:rPr>
            </w:pPr>
            <w:r>
              <w:rPr>
                <w:rFonts w:ascii="Arial" w:cs="Arial" w:eastAsia="Arial" w:hAnsi="Arial"/>
                <w:sz w:val="14"/>
                <w:szCs w:val="14"/>
                <w:b w:val="1"/>
                <w:bCs w:val="1"/>
                <w:color w:val="003B71"/>
              </w:rPr>
              <w:t>Vested</w:t>
            </w:r>
          </w:p>
        </w:tc>
      </w:tr>
      <w:tr>
        <w:trPr>
          <w:trHeight w:val="163"/>
        </w:trPr>
        <w:tc>
          <w:tcPr>
            <w:tcW w:w="80" w:type="dxa"/>
            <w:vAlign w:val="bottom"/>
          </w:tcPr>
          <w:p>
            <w:pPr>
              <w:spacing w:after="0"/>
              <w:rPr>
                <w:sz w:val="14"/>
                <w:szCs w:val="14"/>
                <w:color w:val="auto"/>
              </w:rPr>
            </w:pPr>
          </w:p>
        </w:tc>
        <w:tc>
          <w:tcPr>
            <w:tcW w:w="1980" w:type="dxa"/>
            <w:vAlign w:val="bottom"/>
            <w:tcBorders>
              <w:bottom w:val="single" w:sz="8" w:color="003B71"/>
            </w:tcBorders>
            <w:gridSpan w:val="2"/>
          </w:tcPr>
          <w:p>
            <w:pPr>
              <w:spacing w:after="0" w:line="155" w:lineRule="exact"/>
              <w:rPr>
                <w:sz w:val="20"/>
                <w:szCs w:val="20"/>
                <w:color w:val="auto"/>
              </w:rPr>
            </w:pPr>
            <w:r>
              <w:rPr>
                <w:rFonts w:ascii="Arial" w:cs="Arial" w:eastAsia="Arial" w:hAnsi="Arial"/>
                <w:sz w:val="16"/>
                <w:szCs w:val="16"/>
                <w:b w:val="1"/>
                <w:bCs w:val="1"/>
                <w:color w:val="003B71"/>
              </w:rPr>
              <w:t>Fiscal 2020 &amp; prior grants</w:t>
            </w:r>
          </w:p>
        </w:tc>
        <w:tc>
          <w:tcPr>
            <w:tcW w:w="500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89"/>
        </w:trPr>
        <w:tc>
          <w:tcPr>
            <w:tcW w:w="80" w:type="dxa"/>
            <w:vAlign w:val="bottom"/>
            <w:shd w:val="clear" w:color="auto" w:fill="E5E5E5"/>
          </w:tcPr>
          <w:p>
            <w:pPr>
              <w:spacing w:after="0"/>
              <w:rPr>
                <w:sz w:val="16"/>
                <w:szCs w:val="16"/>
                <w:color w:val="auto"/>
              </w:rPr>
            </w:pPr>
          </w:p>
        </w:tc>
        <w:tc>
          <w:tcPr>
            <w:tcW w:w="198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For cause</w:t>
            </w:r>
          </w:p>
        </w:tc>
        <w:tc>
          <w:tcPr>
            <w:tcW w:w="500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Immediate forfeiture</w:t>
            </w: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Immediate forfeiture</w:t>
            </w:r>
          </w:p>
        </w:tc>
      </w:tr>
      <w:tr>
        <w:trPr>
          <w:trHeight w:val="191"/>
        </w:trPr>
        <w:tc>
          <w:tcPr>
            <w:tcW w:w="8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Death or disability</w:t>
            </w:r>
          </w:p>
        </w:tc>
        <w:tc>
          <w:tcPr>
            <w:tcW w:w="5000" w:type="dxa"/>
            <w:vAlign w:val="bottom"/>
          </w:tcPr>
          <w:p>
            <w:pPr>
              <w:ind w:left="1900"/>
              <w:spacing w:after="0"/>
              <w:rPr>
                <w:sz w:val="20"/>
                <w:szCs w:val="20"/>
                <w:color w:val="auto"/>
              </w:rPr>
            </w:pPr>
            <w:r>
              <w:rPr>
                <w:rFonts w:ascii="Arial" w:cs="Arial" w:eastAsia="Arial" w:hAnsi="Arial"/>
                <w:sz w:val="16"/>
                <w:szCs w:val="16"/>
                <w:color w:val="auto"/>
              </w:rPr>
              <w:t>Immediate vesting</w:t>
            </w:r>
          </w:p>
        </w:tc>
        <w:tc>
          <w:tcPr>
            <w:tcW w:w="3960" w:type="dxa"/>
            <w:vAlign w:val="bottom"/>
          </w:tcPr>
          <w:p>
            <w:pPr>
              <w:ind w:left="560"/>
              <w:spacing w:after="0"/>
              <w:rPr>
                <w:sz w:val="20"/>
                <w:szCs w:val="20"/>
                <w:color w:val="auto"/>
              </w:rPr>
            </w:pPr>
            <w:r>
              <w:rPr>
                <w:rFonts w:ascii="Arial" w:cs="Arial" w:eastAsia="Arial" w:hAnsi="Arial"/>
                <w:sz w:val="16"/>
                <w:szCs w:val="16"/>
                <w:color w:val="auto"/>
              </w:rPr>
              <w:t>Exercisable for earlier of (i) 1 year after death</w:t>
            </w:r>
          </w:p>
        </w:tc>
      </w:tr>
      <w:tr>
        <w:trPr>
          <w:trHeight w:val="187"/>
        </w:trPr>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960" w:type="dxa"/>
            <w:vAlign w:val="bottom"/>
          </w:tcPr>
          <w:p>
            <w:pPr>
              <w:ind w:left="560"/>
              <w:spacing w:after="0"/>
              <w:rPr>
                <w:sz w:val="20"/>
                <w:szCs w:val="20"/>
                <w:color w:val="auto"/>
              </w:rPr>
            </w:pPr>
            <w:r>
              <w:rPr>
                <w:rFonts w:ascii="Arial" w:cs="Arial" w:eastAsia="Arial" w:hAnsi="Arial"/>
                <w:sz w:val="16"/>
                <w:szCs w:val="16"/>
                <w:color w:val="auto"/>
              </w:rPr>
              <w:t>or disability or (ii) the remainder of option term</w:t>
            </w:r>
          </w:p>
        </w:tc>
      </w:tr>
      <w:tr>
        <w:trPr>
          <w:trHeight w:val="189"/>
        </w:trPr>
        <w:tc>
          <w:tcPr>
            <w:tcW w:w="80" w:type="dxa"/>
            <w:vAlign w:val="bottom"/>
            <w:shd w:val="clear" w:color="auto" w:fill="E5E5E5"/>
          </w:tcPr>
          <w:p>
            <w:pPr>
              <w:spacing w:after="0"/>
              <w:rPr>
                <w:sz w:val="16"/>
                <w:szCs w:val="16"/>
                <w:color w:val="auto"/>
              </w:rPr>
            </w:pPr>
          </w:p>
        </w:tc>
        <w:tc>
          <w:tcPr>
            <w:tcW w:w="198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Retirement(1)</w:t>
            </w:r>
          </w:p>
        </w:tc>
        <w:tc>
          <w:tcPr>
            <w:tcW w:w="500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Continued vesting per grant terms</w:t>
            </w: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Exercisable for remainder of option term</w:t>
            </w:r>
          </w:p>
        </w:tc>
      </w:tr>
      <w:tr>
        <w:trPr>
          <w:trHeight w:val="189"/>
        </w:trPr>
        <w:tc>
          <w:tcPr>
            <w:tcW w:w="8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Change in control(2)</w:t>
            </w:r>
          </w:p>
        </w:tc>
        <w:tc>
          <w:tcPr>
            <w:tcW w:w="5000" w:type="dxa"/>
            <w:vAlign w:val="bottom"/>
          </w:tcPr>
          <w:p>
            <w:pPr>
              <w:ind w:left="1900"/>
              <w:spacing w:after="0"/>
              <w:rPr>
                <w:sz w:val="20"/>
                <w:szCs w:val="20"/>
                <w:color w:val="auto"/>
              </w:rPr>
            </w:pPr>
            <w:r>
              <w:rPr>
                <w:rFonts w:ascii="Arial" w:cs="Arial" w:eastAsia="Arial" w:hAnsi="Arial"/>
                <w:sz w:val="16"/>
                <w:szCs w:val="16"/>
                <w:color w:val="auto"/>
              </w:rPr>
              <w:t>Continued vesting per grant terms</w:t>
            </w:r>
          </w:p>
        </w:tc>
        <w:tc>
          <w:tcPr>
            <w:tcW w:w="3960" w:type="dxa"/>
            <w:vAlign w:val="bottom"/>
          </w:tcPr>
          <w:p>
            <w:pPr>
              <w:ind w:left="560"/>
              <w:spacing w:after="0"/>
              <w:rPr>
                <w:sz w:val="20"/>
                <w:szCs w:val="20"/>
                <w:color w:val="auto"/>
              </w:rPr>
            </w:pPr>
            <w:r>
              <w:rPr>
                <w:rFonts w:ascii="Arial" w:cs="Arial" w:eastAsia="Arial" w:hAnsi="Arial"/>
                <w:sz w:val="16"/>
                <w:szCs w:val="16"/>
                <w:color w:val="auto"/>
              </w:rPr>
              <w:t>Exercisable for remainder of option term</w:t>
            </w:r>
          </w:p>
        </w:tc>
      </w:tr>
      <w:tr>
        <w:trPr>
          <w:trHeight w:val="191"/>
        </w:trPr>
        <w:tc>
          <w:tcPr>
            <w:tcW w:w="80" w:type="dxa"/>
            <w:vAlign w:val="bottom"/>
            <w:shd w:val="clear" w:color="auto" w:fill="E5E5E5"/>
          </w:tcPr>
          <w:p>
            <w:pPr>
              <w:spacing w:after="0"/>
              <w:rPr>
                <w:sz w:val="16"/>
                <w:szCs w:val="16"/>
                <w:color w:val="auto"/>
              </w:rPr>
            </w:pPr>
          </w:p>
        </w:tc>
        <w:tc>
          <w:tcPr>
            <w:tcW w:w="198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Any other reason</w:t>
            </w:r>
          </w:p>
        </w:tc>
        <w:tc>
          <w:tcPr>
            <w:tcW w:w="500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Immediate forfeiture</w:t>
            </w: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Exercisable for earlier of (i) 90 days from date</w:t>
            </w:r>
          </w:p>
        </w:tc>
      </w:tr>
      <w:tr>
        <w:trPr>
          <w:trHeight w:val="189"/>
        </w:trPr>
        <w:tc>
          <w:tcPr>
            <w:tcW w:w="80" w:type="dxa"/>
            <w:vAlign w:val="bottom"/>
            <w:shd w:val="clear" w:color="auto" w:fill="E5E5E5"/>
          </w:tcPr>
          <w:p>
            <w:pPr>
              <w:spacing w:after="0"/>
              <w:rPr>
                <w:sz w:val="16"/>
                <w:szCs w:val="16"/>
                <w:color w:val="auto"/>
              </w:rPr>
            </w:pPr>
          </w:p>
        </w:tc>
        <w:tc>
          <w:tcPr>
            <w:tcW w:w="19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5000" w:type="dxa"/>
            <w:vAlign w:val="bottom"/>
            <w:shd w:val="clear" w:color="auto" w:fill="E5E5E5"/>
          </w:tcPr>
          <w:p>
            <w:pPr>
              <w:spacing w:after="0"/>
              <w:rPr>
                <w:sz w:val="16"/>
                <w:szCs w:val="16"/>
                <w:color w:val="auto"/>
              </w:rPr>
            </w:pP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of termination or (ii) the remainder of the</w:t>
            </w:r>
          </w:p>
        </w:tc>
      </w:tr>
      <w:tr>
        <w:trPr>
          <w:trHeight w:val="187"/>
        </w:trPr>
        <w:tc>
          <w:tcPr>
            <w:tcW w:w="80" w:type="dxa"/>
            <w:vAlign w:val="bottom"/>
            <w:shd w:val="clear" w:color="auto" w:fill="E5E5E5"/>
          </w:tcPr>
          <w:p>
            <w:pPr>
              <w:spacing w:after="0"/>
              <w:rPr>
                <w:sz w:val="16"/>
                <w:szCs w:val="16"/>
                <w:color w:val="auto"/>
              </w:rPr>
            </w:pPr>
          </w:p>
        </w:tc>
        <w:tc>
          <w:tcPr>
            <w:tcW w:w="19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5000" w:type="dxa"/>
            <w:vAlign w:val="bottom"/>
            <w:shd w:val="clear" w:color="auto" w:fill="E5E5E5"/>
          </w:tcPr>
          <w:p>
            <w:pPr>
              <w:spacing w:after="0"/>
              <w:rPr>
                <w:sz w:val="16"/>
                <w:szCs w:val="16"/>
                <w:color w:val="auto"/>
              </w:rPr>
            </w:pP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option term</w:t>
            </w:r>
          </w:p>
        </w:tc>
      </w:tr>
      <w:tr>
        <w:trPr>
          <w:trHeight w:val="270"/>
        </w:trPr>
        <w:tc>
          <w:tcPr>
            <w:tcW w:w="80" w:type="dxa"/>
            <w:vAlign w:val="bottom"/>
          </w:tcPr>
          <w:p>
            <w:pPr>
              <w:spacing w:after="0"/>
              <w:rPr>
                <w:sz w:val="23"/>
                <w:szCs w:val="23"/>
                <w:color w:val="auto"/>
              </w:rPr>
            </w:pP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003B71"/>
              </w:rPr>
              <w:t>Fiscal 2021 &amp; later grants</w:t>
            </w:r>
          </w:p>
        </w:tc>
        <w:tc>
          <w:tcPr>
            <w:tcW w:w="500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75"/>
        </w:trPr>
        <w:tc>
          <w:tcPr>
            <w:tcW w:w="80" w:type="dxa"/>
            <w:vAlign w:val="bottom"/>
          </w:tcPr>
          <w:p>
            <w:pPr>
              <w:spacing w:after="0"/>
              <w:rPr>
                <w:sz w:val="6"/>
                <w:szCs w:val="6"/>
                <w:color w:val="auto"/>
              </w:rPr>
            </w:pPr>
          </w:p>
        </w:tc>
        <w:tc>
          <w:tcPr>
            <w:tcW w:w="1960" w:type="dxa"/>
            <w:vAlign w:val="bottom"/>
            <w:tcBorders>
              <w:top w:val="single" w:sz="8" w:color="003B71"/>
            </w:tcBorders>
          </w:tcPr>
          <w:p>
            <w:pPr>
              <w:spacing w:after="0"/>
              <w:rPr>
                <w:sz w:val="6"/>
                <w:szCs w:val="6"/>
                <w:color w:val="auto"/>
              </w:rPr>
            </w:pPr>
          </w:p>
        </w:tc>
        <w:tc>
          <w:tcPr>
            <w:tcW w:w="20" w:type="dxa"/>
            <w:vAlign w:val="bottom"/>
          </w:tcPr>
          <w:p>
            <w:pPr>
              <w:spacing w:after="0"/>
              <w:rPr>
                <w:sz w:val="6"/>
                <w:szCs w:val="6"/>
                <w:color w:val="auto"/>
              </w:rPr>
            </w:pPr>
          </w:p>
        </w:tc>
        <w:tc>
          <w:tcPr>
            <w:tcW w:w="5000" w:type="dxa"/>
            <w:vAlign w:val="bottom"/>
          </w:tcPr>
          <w:p>
            <w:pPr>
              <w:spacing w:after="0"/>
              <w:rPr>
                <w:sz w:val="6"/>
                <w:szCs w:val="6"/>
                <w:color w:val="auto"/>
              </w:rPr>
            </w:pPr>
          </w:p>
        </w:tc>
        <w:tc>
          <w:tcPr>
            <w:tcW w:w="3960" w:type="dxa"/>
            <w:vAlign w:val="bottom"/>
          </w:tcPr>
          <w:p>
            <w:pPr>
              <w:spacing w:after="0"/>
              <w:rPr>
                <w:sz w:val="6"/>
                <w:szCs w:val="6"/>
                <w:color w:val="auto"/>
              </w:rPr>
            </w:pPr>
          </w:p>
        </w:tc>
      </w:tr>
      <w:tr>
        <w:trPr>
          <w:trHeight w:val="189"/>
        </w:trPr>
        <w:tc>
          <w:tcPr>
            <w:tcW w:w="80" w:type="dxa"/>
            <w:vAlign w:val="bottom"/>
            <w:shd w:val="clear" w:color="auto" w:fill="E5E5E5"/>
          </w:tcPr>
          <w:p>
            <w:pPr>
              <w:spacing w:after="0"/>
              <w:rPr>
                <w:sz w:val="16"/>
                <w:szCs w:val="16"/>
                <w:color w:val="auto"/>
              </w:rPr>
            </w:pPr>
          </w:p>
        </w:tc>
        <w:tc>
          <w:tcPr>
            <w:tcW w:w="198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For cause</w:t>
            </w:r>
          </w:p>
        </w:tc>
        <w:tc>
          <w:tcPr>
            <w:tcW w:w="500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Immediate forfeiture</w:t>
            </w: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Immediate forfeiture</w:t>
            </w:r>
          </w:p>
        </w:tc>
      </w:tr>
      <w:tr>
        <w:trPr>
          <w:trHeight w:val="191"/>
        </w:trPr>
        <w:tc>
          <w:tcPr>
            <w:tcW w:w="8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Death or disability</w:t>
            </w:r>
          </w:p>
        </w:tc>
        <w:tc>
          <w:tcPr>
            <w:tcW w:w="5000" w:type="dxa"/>
            <w:vAlign w:val="bottom"/>
          </w:tcPr>
          <w:p>
            <w:pPr>
              <w:ind w:left="1900"/>
              <w:spacing w:after="0"/>
              <w:rPr>
                <w:sz w:val="20"/>
                <w:szCs w:val="20"/>
                <w:color w:val="auto"/>
              </w:rPr>
            </w:pPr>
            <w:r>
              <w:rPr>
                <w:rFonts w:ascii="Arial" w:cs="Arial" w:eastAsia="Arial" w:hAnsi="Arial"/>
                <w:sz w:val="16"/>
                <w:szCs w:val="16"/>
                <w:color w:val="auto"/>
              </w:rPr>
              <w:t>Immediate vesting</w:t>
            </w:r>
          </w:p>
        </w:tc>
        <w:tc>
          <w:tcPr>
            <w:tcW w:w="3960" w:type="dxa"/>
            <w:vAlign w:val="bottom"/>
          </w:tcPr>
          <w:p>
            <w:pPr>
              <w:ind w:left="560"/>
              <w:spacing w:after="0"/>
              <w:rPr>
                <w:sz w:val="20"/>
                <w:szCs w:val="20"/>
                <w:color w:val="auto"/>
              </w:rPr>
            </w:pPr>
            <w:r>
              <w:rPr>
                <w:rFonts w:ascii="Arial" w:cs="Arial" w:eastAsia="Arial" w:hAnsi="Arial"/>
                <w:sz w:val="16"/>
                <w:szCs w:val="16"/>
                <w:color w:val="auto"/>
              </w:rPr>
              <w:t>Exercisable for earlier of (i) 1 year after death</w:t>
            </w:r>
          </w:p>
        </w:tc>
      </w:tr>
      <w:tr>
        <w:trPr>
          <w:trHeight w:val="187"/>
        </w:trPr>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960" w:type="dxa"/>
            <w:vAlign w:val="bottom"/>
          </w:tcPr>
          <w:p>
            <w:pPr>
              <w:ind w:left="560"/>
              <w:spacing w:after="0"/>
              <w:rPr>
                <w:sz w:val="20"/>
                <w:szCs w:val="20"/>
                <w:color w:val="auto"/>
              </w:rPr>
            </w:pPr>
            <w:r>
              <w:rPr>
                <w:rFonts w:ascii="Arial" w:cs="Arial" w:eastAsia="Arial" w:hAnsi="Arial"/>
                <w:sz w:val="16"/>
                <w:szCs w:val="16"/>
                <w:color w:val="auto"/>
              </w:rPr>
              <w:t>or disability or (ii) the remainder of option term</w:t>
            </w:r>
          </w:p>
        </w:tc>
      </w:tr>
      <w:tr>
        <w:trPr>
          <w:trHeight w:val="189"/>
        </w:trPr>
        <w:tc>
          <w:tcPr>
            <w:tcW w:w="80" w:type="dxa"/>
            <w:vAlign w:val="bottom"/>
            <w:shd w:val="clear" w:color="auto" w:fill="E5E5E5"/>
          </w:tcPr>
          <w:p>
            <w:pPr>
              <w:spacing w:after="0"/>
              <w:rPr>
                <w:sz w:val="16"/>
                <w:szCs w:val="16"/>
                <w:color w:val="auto"/>
              </w:rPr>
            </w:pPr>
          </w:p>
        </w:tc>
        <w:tc>
          <w:tcPr>
            <w:tcW w:w="198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Retirement(1)</w:t>
            </w:r>
          </w:p>
        </w:tc>
        <w:tc>
          <w:tcPr>
            <w:tcW w:w="500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Continued vesting per grant terms</w:t>
            </w: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Exercisable for remainder of option term</w:t>
            </w:r>
          </w:p>
        </w:tc>
      </w:tr>
      <w:tr>
        <w:trPr>
          <w:trHeight w:val="189"/>
        </w:trPr>
        <w:tc>
          <w:tcPr>
            <w:tcW w:w="80" w:type="dxa"/>
            <w:vAlign w:val="bottom"/>
          </w:tcPr>
          <w:p>
            <w:pPr>
              <w:spacing w:after="0"/>
              <w:rPr>
                <w:sz w:val="16"/>
                <w:szCs w:val="16"/>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Change in control(2)</w:t>
            </w:r>
          </w:p>
        </w:tc>
        <w:tc>
          <w:tcPr>
            <w:tcW w:w="5000" w:type="dxa"/>
            <w:vAlign w:val="bottom"/>
          </w:tcPr>
          <w:p>
            <w:pPr>
              <w:ind w:left="1900"/>
              <w:spacing w:after="0"/>
              <w:rPr>
                <w:sz w:val="20"/>
                <w:szCs w:val="20"/>
                <w:color w:val="auto"/>
              </w:rPr>
            </w:pPr>
            <w:r>
              <w:rPr>
                <w:rFonts w:ascii="Arial" w:cs="Arial" w:eastAsia="Arial" w:hAnsi="Arial"/>
                <w:sz w:val="16"/>
                <w:szCs w:val="16"/>
                <w:color w:val="auto"/>
              </w:rPr>
              <w:t>Immediate vesting upon termination</w:t>
            </w:r>
          </w:p>
        </w:tc>
        <w:tc>
          <w:tcPr>
            <w:tcW w:w="3960" w:type="dxa"/>
            <w:vAlign w:val="bottom"/>
          </w:tcPr>
          <w:p>
            <w:pPr>
              <w:ind w:left="560"/>
              <w:spacing w:after="0"/>
              <w:rPr>
                <w:sz w:val="20"/>
                <w:szCs w:val="20"/>
                <w:color w:val="auto"/>
              </w:rPr>
            </w:pPr>
            <w:r>
              <w:rPr>
                <w:rFonts w:ascii="Arial" w:cs="Arial" w:eastAsia="Arial" w:hAnsi="Arial"/>
                <w:sz w:val="16"/>
                <w:szCs w:val="16"/>
                <w:color w:val="auto"/>
              </w:rPr>
              <w:t>Exercisable for remainder of option term</w:t>
            </w:r>
          </w:p>
        </w:tc>
      </w:tr>
      <w:tr>
        <w:trPr>
          <w:trHeight w:val="191"/>
        </w:trPr>
        <w:tc>
          <w:tcPr>
            <w:tcW w:w="80" w:type="dxa"/>
            <w:vAlign w:val="bottom"/>
            <w:shd w:val="clear" w:color="auto" w:fill="E5E5E5"/>
          </w:tcPr>
          <w:p>
            <w:pPr>
              <w:spacing w:after="0"/>
              <w:rPr>
                <w:sz w:val="16"/>
                <w:szCs w:val="16"/>
                <w:color w:val="auto"/>
              </w:rPr>
            </w:pPr>
          </w:p>
        </w:tc>
        <w:tc>
          <w:tcPr>
            <w:tcW w:w="198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Any other reason</w:t>
            </w:r>
          </w:p>
        </w:tc>
        <w:tc>
          <w:tcPr>
            <w:tcW w:w="5000" w:type="dxa"/>
            <w:vAlign w:val="bottom"/>
            <w:shd w:val="clear" w:color="auto" w:fill="E5E5E5"/>
          </w:tcPr>
          <w:p>
            <w:pPr>
              <w:ind w:left="1900"/>
              <w:spacing w:after="0"/>
              <w:rPr>
                <w:sz w:val="20"/>
                <w:szCs w:val="20"/>
                <w:color w:val="auto"/>
              </w:rPr>
            </w:pPr>
            <w:r>
              <w:rPr>
                <w:rFonts w:ascii="Arial" w:cs="Arial" w:eastAsia="Arial" w:hAnsi="Arial"/>
                <w:sz w:val="16"/>
                <w:szCs w:val="16"/>
                <w:color w:val="auto"/>
              </w:rPr>
              <w:t>Immediate forfeiture</w:t>
            </w: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Exercisable for earlier of (i) 90 days from date</w:t>
            </w:r>
          </w:p>
        </w:tc>
      </w:tr>
      <w:tr>
        <w:trPr>
          <w:trHeight w:val="189"/>
        </w:trPr>
        <w:tc>
          <w:tcPr>
            <w:tcW w:w="80" w:type="dxa"/>
            <w:vAlign w:val="bottom"/>
            <w:shd w:val="clear" w:color="auto" w:fill="E5E5E5"/>
          </w:tcPr>
          <w:p>
            <w:pPr>
              <w:spacing w:after="0"/>
              <w:rPr>
                <w:sz w:val="16"/>
                <w:szCs w:val="16"/>
                <w:color w:val="auto"/>
              </w:rPr>
            </w:pPr>
          </w:p>
        </w:tc>
        <w:tc>
          <w:tcPr>
            <w:tcW w:w="1960" w:type="dxa"/>
            <w:vAlign w:val="bottom"/>
            <w:shd w:val="clear" w:color="auto" w:fill="E5E5E5"/>
          </w:tcPr>
          <w:p>
            <w:pPr>
              <w:spacing w:after="0"/>
              <w:rPr>
                <w:sz w:val="16"/>
                <w:szCs w:val="16"/>
                <w:color w:val="auto"/>
              </w:rPr>
            </w:pPr>
          </w:p>
        </w:tc>
        <w:tc>
          <w:tcPr>
            <w:tcW w:w="20" w:type="dxa"/>
            <w:vAlign w:val="bottom"/>
            <w:shd w:val="clear" w:color="auto" w:fill="E5E5E5"/>
          </w:tcPr>
          <w:p>
            <w:pPr>
              <w:spacing w:after="0"/>
              <w:rPr>
                <w:sz w:val="16"/>
                <w:szCs w:val="16"/>
                <w:color w:val="auto"/>
              </w:rPr>
            </w:pPr>
          </w:p>
        </w:tc>
        <w:tc>
          <w:tcPr>
            <w:tcW w:w="5000" w:type="dxa"/>
            <w:vAlign w:val="bottom"/>
            <w:shd w:val="clear" w:color="auto" w:fill="E5E5E5"/>
          </w:tcPr>
          <w:p>
            <w:pPr>
              <w:spacing w:after="0"/>
              <w:rPr>
                <w:sz w:val="16"/>
                <w:szCs w:val="16"/>
                <w:color w:val="auto"/>
              </w:rPr>
            </w:pPr>
          </w:p>
        </w:tc>
        <w:tc>
          <w:tcPr>
            <w:tcW w:w="3960" w:type="dxa"/>
            <w:vAlign w:val="bottom"/>
            <w:shd w:val="clear" w:color="auto" w:fill="E5E5E5"/>
          </w:tcPr>
          <w:p>
            <w:pPr>
              <w:ind w:left="560"/>
              <w:spacing w:after="0"/>
              <w:rPr>
                <w:sz w:val="20"/>
                <w:szCs w:val="20"/>
                <w:color w:val="auto"/>
              </w:rPr>
            </w:pPr>
            <w:r>
              <w:rPr>
                <w:rFonts w:ascii="Arial" w:cs="Arial" w:eastAsia="Arial" w:hAnsi="Arial"/>
                <w:sz w:val="16"/>
                <w:szCs w:val="16"/>
                <w:color w:val="auto"/>
              </w:rPr>
              <w:t>of termination or (ii) the remainder of the</w:t>
            </w:r>
          </w:p>
        </w:tc>
      </w:tr>
      <w:tr>
        <w:trPr>
          <w:trHeight w:val="187"/>
        </w:trPr>
        <w:tc>
          <w:tcPr>
            <w:tcW w:w="80" w:type="dxa"/>
            <w:vAlign w:val="bottom"/>
            <w:tcBorders>
              <w:bottom w:val="single" w:sz="8" w:color="003B71"/>
            </w:tcBorders>
            <w:shd w:val="clear" w:color="auto" w:fill="E5E5E5"/>
          </w:tcPr>
          <w:p>
            <w:pPr>
              <w:spacing w:after="0"/>
              <w:rPr>
                <w:sz w:val="16"/>
                <w:szCs w:val="16"/>
                <w:color w:val="auto"/>
              </w:rPr>
            </w:pPr>
          </w:p>
        </w:tc>
        <w:tc>
          <w:tcPr>
            <w:tcW w:w="1960" w:type="dxa"/>
            <w:vAlign w:val="bottom"/>
            <w:tcBorders>
              <w:bottom w:val="single" w:sz="8" w:color="003B71"/>
            </w:tcBorders>
            <w:shd w:val="clear" w:color="auto" w:fill="E5E5E5"/>
          </w:tcPr>
          <w:p>
            <w:pPr>
              <w:spacing w:after="0"/>
              <w:rPr>
                <w:sz w:val="16"/>
                <w:szCs w:val="16"/>
                <w:color w:val="auto"/>
              </w:rPr>
            </w:pPr>
          </w:p>
        </w:tc>
        <w:tc>
          <w:tcPr>
            <w:tcW w:w="20" w:type="dxa"/>
            <w:vAlign w:val="bottom"/>
            <w:tcBorders>
              <w:bottom w:val="single" w:sz="8" w:color="003B71"/>
            </w:tcBorders>
            <w:shd w:val="clear" w:color="auto" w:fill="E5E5E5"/>
          </w:tcPr>
          <w:p>
            <w:pPr>
              <w:spacing w:after="0"/>
              <w:rPr>
                <w:sz w:val="16"/>
                <w:szCs w:val="16"/>
                <w:color w:val="auto"/>
              </w:rPr>
            </w:pPr>
          </w:p>
        </w:tc>
        <w:tc>
          <w:tcPr>
            <w:tcW w:w="5000" w:type="dxa"/>
            <w:vAlign w:val="bottom"/>
            <w:tcBorders>
              <w:bottom w:val="single" w:sz="8" w:color="003B71"/>
            </w:tcBorders>
            <w:shd w:val="clear" w:color="auto" w:fill="E5E5E5"/>
          </w:tcPr>
          <w:p>
            <w:pPr>
              <w:spacing w:after="0"/>
              <w:rPr>
                <w:sz w:val="16"/>
                <w:szCs w:val="16"/>
                <w:color w:val="auto"/>
              </w:rPr>
            </w:pPr>
          </w:p>
        </w:tc>
        <w:tc>
          <w:tcPr>
            <w:tcW w:w="3960" w:type="dxa"/>
            <w:vAlign w:val="bottom"/>
            <w:tcBorders>
              <w:bottom w:val="single" w:sz="8" w:color="003B71"/>
            </w:tcBorders>
            <w:shd w:val="clear" w:color="auto" w:fill="E5E5E5"/>
          </w:tcPr>
          <w:p>
            <w:pPr>
              <w:ind w:left="560"/>
              <w:spacing w:after="0"/>
              <w:rPr>
                <w:sz w:val="20"/>
                <w:szCs w:val="20"/>
                <w:color w:val="auto"/>
              </w:rPr>
            </w:pPr>
            <w:r>
              <w:rPr>
                <w:rFonts w:ascii="Arial" w:cs="Arial" w:eastAsia="Arial" w:hAnsi="Arial"/>
                <w:sz w:val="16"/>
                <w:szCs w:val="16"/>
                <w:color w:val="auto"/>
              </w:rPr>
              <w:t>option term</w:t>
            </w:r>
          </w:p>
        </w:tc>
      </w:tr>
    </w:tbl>
    <w:p>
      <w:pPr>
        <w:spacing w:after="0" w:line="83"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Retirement is defined as termination other than for cause after obtaining either the age of 60 plus 10 years of service or age 65.</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Change in control is defined as termination without cause or for good reason within period from 90 days before to one year after a change of control in the Company. If all Stock Options and the Plan are terminated as part of the change in control of the Company, the above is not applicable.</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3B71"/>
        </w:rPr>
        <w:t>Performance Based RSUs and Cash, RSUs &amp; MSUs</w:t>
      </w:r>
    </w:p>
    <w:p>
      <w:pPr>
        <w:spacing w:after="0" w:line="248"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003B71"/>
        </w:rPr>
        <w:t>Performance Based RSUs and</w:t>
      </w:r>
    </w:p>
    <w:p>
      <w:pPr>
        <w:spacing w:after="0" w:line="19" w:lineRule="exact"/>
        <w:rPr>
          <w:sz w:val="20"/>
          <w:szCs w:val="20"/>
          <w:color w:val="auto"/>
        </w:rPr>
      </w:pPr>
    </w:p>
    <w:p>
      <w:pPr>
        <w:ind w:left="180"/>
        <w:spacing w:after="0"/>
        <w:tabs>
          <w:tab w:leader="none" w:pos="3660" w:val="left"/>
          <w:tab w:leader="none" w:pos="6540" w:val="left"/>
          <w:tab w:leader="none" w:pos="9640" w:val="left"/>
        </w:tabs>
        <w:rPr>
          <w:sz w:val="20"/>
          <w:szCs w:val="20"/>
          <w:color w:val="auto"/>
        </w:rPr>
      </w:pPr>
      <w:r>
        <w:rPr>
          <w:rFonts w:ascii="Arial" w:cs="Arial" w:eastAsia="Arial" w:hAnsi="Arial"/>
          <w:sz w:val="14"/>
          <w:szCs w:val="14"/>
          <w:b w:val="1"/>
          <w:bCs w:val="1"/>
          <w:color w:val="003B71"/>
        </w:rPr>
        <w:t>Reason for Termination</w:t>
      </w:r>
      <w:r>
        <w:rPr>
          <w:sz w:val="20"/>
          <w:szCs w:val="20"/>
          <w:color w:val="auto"/>
        </w:rPr>
        <w:tab/>
      </w:r>
      <w:r>
        <w:rPr>
          <w:rFonts w:ascii="Arial" w:cs="Arial" w:eastAsia="Arial" w:hAnsi="Arial"/>
          <w:sz w:val="14"/>
          <w:szCs w:val="14"/>
          <w:b w:val="1"/>
          <w:bCs w:val="1"/>
          <w:color w:val="003B71"/>
        </w:rPr>
        <w:t>Performance Cash</w:t>
      </w:r>
      <w:r>
        <w:rPr>
          <w:sz w:val="20"/>
          <w:szCs w:val="20"/>
          <w:color w:val="auto"/>
        </w:rPr>
        <w:tab/>
      </w:r>
      <w:r>
        <w:rPr>
          <w:rFonts w:ascii="Arial" w:cs="Arial" w:eastAsia="Arial" w:hAnsi="Arial"/>
          <w:sz w:val="14"/>
          <w:szCs w:val="14"/>
          <w:b w:val="1"/>
          <w:bCs w:val="1"/>
          <w:color w:val="003B71"/>
        </w:rPr>
        <w:t>Time Based RSUs</w:t>
      </w:r>
      <w:r>
        <w:rPr>
          <w:sz w:val="20"/>
          <w:szCs w:val="20"/>
          <w:color w:val="auto"/>
        </w:rPr>
        <w:tab/>
      </w:r>
      <w:r>
        <w:rPr>
          <w:rFonts w:ascii="Arial" w:cs="Arial" w:eastAsia="Arial" w:hAnsi="Arial"/>
          <w:sz w:val="14"/>
          <w:szCs w:val="14"/>
          <w:b w:val="1"/>
          <w:bCs w:val="1"/>
          <w:color w:val="003B71"/>
        </w:rPr>
        <w:t>MSUs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ind w:left="200"/>
        <w:spacing w:after="0" w:line="224" w:lineRule="auto"/>
        <w:rPr>
          <w:sz w:val="20"/>
          <w:szCs w:val="20"/>
          <w:color w:val="auto"/>
        </w:rPr>
      </w:pPr>
      <w:r>
        <w:rPr>
          <w:rFonts w:ascii="Arial" w:cs="Arial" w:eastAsia="Arial" w:hAnsi="Arial"/>
          <w:sz w:val="16"/>
          <w:szCs w:val="16"/>
          <w:b w:val="1"/>
          <w:bCs w:val="1"/>
          <w:color w:val="003B71"/>
        </w:rPr>
        <w:t>Fiscal 2020 &amp; prior grants</w:t>
      </w:r>
    </w:p>
    <w:tbl>
      <w:tblPr>
        <w:tblLayout w:type="fixed"/>
        <w:tblInd w:w="200" w:type="dxa"/>
        <w:tblCellMar>
          <w:top w:w="0" w:type="dxa"/>
          <w:left w:w="0" w:type="dxa"/>
          <w:bottom w:w="0" w:type="dxa"/>
          <w:right w:w="0" w:type="dxa"/>
        </w:tblCellMar>
      </w:tblPr>
      <w:tr>
        <w:trPr>
          <w:trHeight w:val="198"/>
        </w:trPr>
        <w:tc>
          <w:tcPr>
            <w:tcW w:w="1980" w:type="dxa"/>
            <w:vAlign w:val="bottom"/>
            <w:tcBorders>
              <w:top w:val="single" w:sz="8" w:color="003B71"/>
            </w:tcBorders>
          </w:tcPr>
          <w:p>
            <w:pPr>
              <w:spacing w:after="0"/>
              <w:rPr>
                <w:sz w:val="20"/>
                <w:szCs w:val="20"/>
                <w:color w:val="auto"/>
              </w:rPr>
            </w:pPr>
            <w:r>
              <w:rPr>
                <w:rFonts w:ascii="Arial" w:cs="Arial" w:eastAsia="Arial" w:hAnsi="Arial"/>
                <w:sz w:val="16"/>
                <w:szCs w:val="16"/>
                <w:color w:val="auto"/>
              </w:rPr>
              <w:t>For cause</w:t>
            </w:r>
          </w:p>
        </w:tc>
        <w:tc>
          <w:tcPr>
            <w:tcW w:w="3620" w:type="dxa"/>
            <w:vAlign w:val="bottom"/>
          </w:tcPr>
          <w:p>
            <w:pPr>
              <w:ind w:left="700"/>
              <w:spacing w:after="0"/>
              <w:rPr>
                <w:sz w:val="20"/>
                <w:szCs w:val="20"/>
                <w:color w:val="auto"/>
              </w:rPr>
            </w:pPr>
            <w:r>
              <w:rPr>
                <w:rFonts w:ascii="Arial" w:cs="Arial" w:eastAsia="Arial" w:hAnsi="Arial"/>
                <w:sz w:val="16"/>
                <w:szCs w:val="16"/>
                <w:color w:val="auto"/>
              </w:rPr>
              <w:t>Immediate forfeiture</w:t>
            </w:r>
          </w:p>
        </w:tc>
        <w:tc>
          <w:tcPr>
            <w:tcW w:w="2400" w:type="dxa"/>
            <w:vAlign w:val="bottom"/>
          </w:tcPr>
          <w:p>
            <w:pPr>
              <w:ind w:left="60"/>
              <w:spacing w:after="0"/>
              <w:rPr>
                <w:sz w:val="20"/>
                <w:szCs w:val="20"/>
                <w:color w:val="auto"/>
              </w:rPr>
            </w:pPr>
            <w:r>
              <w:rPr>
                <w:rFonts w:ascii="Arial" w:cs="Arial" w:eastAsia="Arial" w:hAnsi="Arial"/>
                <w:sz w:val="16"/>
                <w:szCs w:val="16"/>
                <w:color w:val="auto"/>
              </w:rPr>
              <w:t>Immediate forfeiture of unvested</w:t>
            </w:r>
          </w:p>
        </w:tc>
      </w:tr>
      <w:tr>
        <w:trPr>
          <w:trHeight w:val="189"/>
        </w:trPr>
        <w:tc>
          <w:tcPr>
            <w:tcW w:w="19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400" w:type="dxa"/>
            <w:vAlign w:val="bottom"/>
          </w:tcPr>
          <w:p>
            <w:pPr>
              <w:ind w:left="60"/>
              <w:spacing w:after="0"/>
              <w:rPr>
                <w:sz w:val="20"/>
                <w:szCs w:val="20"/>
                <w:color w:val="auto"/>
              </w:rPr>
            </w:pPr>
            <w:r>
              <w:rPr>
                <w:rFonts w:ascii="Arial" w:cs="Arial" w:eastAsia="Arial" w:hAnsi="Arial"/>
                <w:sz w:val="16"/>
                <w:szCs w:val="16"/>
                <w:color w:val="auto"/>
              </w:rPr>
              <w:t>RSUs</w:t>
            </w:r>
          </w:p>
        </w:tc>
      </w:tr>
      <w:tr>
        <w:trPr>
          <w:trHeight w:val="189"/>
        </w:trPr>
        <w:tc>
          <w:tcPr>
            <w:tcW w:w="1980" w:type="dxa"/>
            <w:vAlign w:val="bottom"/>
          </w:tcPr>
          <w:p>
            <w:pPr>
              <w:spacing w:after="0"/>
              <w:rPr>
                <w:sz w:val="20"/>
                <w:szCs w:val="20"/>
                <w:color w:val="auto"/>
              </w:rPr>
            </w:pPr>
            <w:r>
              <w:rPr>
                <w:rFonts w:ascii="Arial" w:cs="Arial" w:eastAsia="Arial" w:hAnsi="Arial"/>
                <w:sz w:val="16"/>
                <w:szCs w:val="16"/>
                <w:color w:val="auto"/>
              </w:rPr>
              <w:t>Death or disability</w:t>
            </w:r>
          </w:p>
        </w:tc>
        <w:tc>
          <w:tcPr>
            <w:tcW w:w="3620" w:type="dxa"/>
            <w:vAlign w:val="bottom"/>
          </w:tcPr>
          <w:p>
            <w:pPr>
              <w:ind w:left="700"/>
              <w:spacing w:after="0"/>
              <w:rPr>
                <w:sz w:val="20"/>
                <w:szCs w:val="20"/>
                <w:color w:val="auto"/>
              </w:rPr>
            </w:pPr>
            <w:r>
              <w:rPr>
                <w:rFonts w:ascii="Arial" w:cs="Arial" w:eastAsia="Arial" w:hAnsi="Arial"/>
                <w:sz w:val="16"/>
                <w:szCs w:val="16"/>
                <w:color w:val="auto"/>
              </w:rPr>
              <w:t>Settlement based on actual</w:t>
            </w:r>
          </w:p>
        </w:tc>
        <w:tc>
          <w:tcPr>
            <w:tcW w:w="2400" w:type="dxa"/>
            <w:vAlign w:val="bottom"/>
          </w:tcPr>
          <w:p>
            <w:pPr>
              <w:ind w:left="60"/>
              <w:spacing w:after="0"/>
              <w:rPr>
                <w:sz w:val="20"/>
                <w:szCs w:val="20"/>
                <w:color w:val="auto"/>
              </w:rPr>
            </w:pPr>
            <w:r>
              <w:rPr>
                <w:rFonts w:ascii="Arial" w:cs="Arial" w:eastAsia="Arial" w:hAnsi="Arial"/>
                <w:sz w:val="16"/>
                <w:szCs w:val="16"/>
                <w:color w:val="auto"/>
              </w:rPr>
              <w:t>Settlement prorated for term of</w:t>
            </w:r>
          </w:p>
        </w:tc>
      </w:tr>
      <w:tr>
        <w:trPr>
          <w:trHeight w:val="189"/>
        </w:trPr>
        <w:tc>
          <w:tcPr>
            <w:tcW w:w="1980" w:type="dxa"/>
            <w:vAlign w:val="bottom"/>
          </w:tcPr>
          <w:p>
            <w:pPr>
              <w:spacing w:after="0"/>
              <w:rPr>
                <w:sz w:val="16"/>
                <w:szCs w:val="16"/>
                <w:color w:val="auto"/>
              </w:rPr>
            </w:pPr>
          </w:p>
        </w:tc>
        <w:tc>
          <w:tcPr>
            <w:tcW w:w="3620" w:type="dxa"/>
            <w:vAlign w:val="bottom"/>
          </w:tcPr>
          <w:p>
            <w:pPr>
              <w:ind w:left="700"/>
              <w:spacing w:after="0"/>
              <w:rPr>
                <w:sz w:val="20"/>
                <w:szCs w:val="20"/>
                <w:color w:val="auto"/>
              </w:rPr>
            </w:pPr>
            <w:r>
              <w:rPr>
                <w:rFonts w:ascii="Arial" w:cs="Arial" w:eastAsia="Arial" w:hAnsi="Arial"/>
                <w:sz w:val="16"/>
                <w:szCs w:val="16"/>
                <w:color w:val="auto"/>
              </w:rPr>
              <w:t>performance for full performance period</w:t>
            </w:r>
          </w:p>
        </w:tc>
        <w:tc>
          <w:tcPr>
            <w:tcW w:w="2400" w:type="dxa"/>
            <w:vAlign w:val="bottom"/>
          </w:tcPr>
          <w:p>
            <w:pPr>
              <w:ind w:left="60"/>
              <w:spacing w:after="0"/>
              <w:rPr>
                <w:sz w:val="20"/>
                <w:szCs w:val="20"/>
                <w:color w:val="auto"/>
              </w:rPr>
            </w:pPr>
            <w:r>
              <w:rPr>
                <w:rFonts w:ascii="Arial" w:cs="Arial" w:eastAsia="Arial" w:hAnsi="Arial"/>
                <w:sz w:val="16"/>
                <w:szCs w:val="16"/>
                <w:color w:val="auto"/>
              </w:rPr>
              <w:t>service between grant date and</w:t>
            </w:r>
          </w:p>
        </w:tc>
      </w:tr>
      <w:tr>
        <w:trPr>
          <w:trHeight w:val="195"/>
        </w:trPr>
        <w:tc>
          <w:tcPr>
            <w:tcW w:w="1980" w:type="dxa"/>
            <w:vAlign w:val="bottom"/>
          </w:tcPr>
          <w:p>
            <w:pPr>
              <w:spacing w:after="0"/>
              <w:rPr>
                <w:sz w:val="16"/>
                <w:szCs w:val="16"/>
                <w:color w:val="auto"/>
              </w:rPr>
            </w:pPr>
          </w:p>
        </w:tc>
        <w:tc>
          <w:tcPr>
            <w:tcW w:w="3620" w:type="dxa"/>
            <w:vAlign w:val="bottom"/>
          </w:tcPr>
          <w:p>
            <w:pPr>
              <w:ind w:left="700"/>
              <w:spacing w:after="0"/>
              <w:rPr>
                <w:sz w:val="20"/>
                <w:szCs w:val="20"/>
                <w:color w:val="auto"/>
              </w:rPr>
            </w:pPr>
            <w:r>
              <w:rPr>
                <w:rFonts w:ascii="Arial" w:cs="Arial" w:eastAsia="Arial" w:hAnsi="Arial"/>
                <w:sz w:val="16"/>
                <w:szCs w:val="16"/>
                <w:color w:val="auto"/>
              </w:rPr>
              <w:t>notwithstanding termination of service</w:t>
            </w:r>
          </w:p>
        </w:tc>
        <w:tc>
          <w:tcPr>
            <w:tcW w:w="2400" w:type="dxa"/>
            <w:vAlign w:val="bottom"/>
          </w:tcPr>
          <w:p>
            <w:pPr>
              <w:ind w:left="60"/>
              <w:spacing w:after="0"/>
              <w:rPr>
                <w:sz w:val="20"/>
                <w:szCs w:val="20"/>
                <w:color w:val="auto"/>
              </w:rPr>
            </w:pPr>
            <w:r>
              <w:rPr>
                <w:rFonts w:ascii="Arial" w:cs="Arial" w:eastAsia="Arial" w:hAnsi="Arial"/>
                <w:sz w:val="16"/>
                <w:szCs w:val="16"/>
                <w:color w:val="auto"/>
              </w:rPr>
              <w:t>death or disability(3)(4)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-604520</wp:posOffset>
            </wp:positionV>
            <wp:extent cx="6995160" cy="2400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2400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6000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Immediate forfeiture</w:t>
      </w:r>
    </w:p>
    <w:p>
      <w:pPr>
        <w:spacing w:after="0" w:line="19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Settlement based on actual performance for full performance period notwithstanding termination of service</w:t>
      </w:r>
    </w:p>
    <w:p>
      <w:pPr>
        <w:spacing w:after="0" w:line="2" w:lineRule="exact"/>
        <w:rPr>
          <w:sz w:val="20"/>
          <w:szCs w:val="20"/>
          <w:color w:val="auto"/>
        </w:rPr>
      </w:pPr>
    </w:p>
    <w:p>
      <w:pPr>
        <w:sectPr>
          <w:pgSz w:w="11900" w:h="16838" w:orient="portrait"/>
          <w:cols w:equalWidth="0" w:num="2">
            <w:col w:w="8200" w:space="400"/>
            <w:col w:w="2540"/>
          </w:cols>
          <w:pgMar w:left="320" w:top="459" w:right="439" w:bottom="1440" w:gutter="0" w:footer="0" w:header="0"/>
          <w:type w:val="continuous"/>
        </w:sectPr>
      </w:pPr>
    </w:p>
    <w:tbl>
      <w:tblPr>
        <w:tblLayout w:type="fixed"/>
        <w:tblInd w:w="200" w:type="dxa"/>
        <w:tblCellMar>
          <w:top w:w="0" w:type="dxa"/>
          <w:left w:w="0" w:type="dxa"/>
          <w:bottom w:w="0" w:type="dxa"/>
          <w:right w:w="0" w:type="dxa"/>
        </w:tblCellMar>
      </w:tblPr>
      <w:tr>
        <w:trPr>
          <w:trHeight w:val="189"/>
        </w:trPr>
        <w:tc>
          <w:tcPr>
            <w:tcW w:w="1960" w:type="dxa"/>
            <w:vAlign w:val="bottom"/>
          </w:tcPr>
          <w:p>
            <w:pPr>
              <w:spacing w:after="0"/>
              <w:rPr>
                <w:sz w:val="20"/>
                <w:szCs w:val="20"/>
                <w:color w:val="auto"/>
              </w:rPr>
            </w:pPr>
            <w:r>
              <w:rPr>
                <w:rFonts w:ascii="Arial" w:cs="Arial" w:eastAsia="Arial" w:hAnsi="Arial"/>
                <w:sz w:val="16"/>
                <w:szCs w:val="16"/>
                <w:color w:val="auto"/>
              </w:rPr>
              <w:t>Retirement(1)</w:t>
            </w:r>
          </w:p>
        </w:tc>
        <w:tc>
          <w:tcPr>
            <w:tcW w:w="3560" w:type="dxa"/>
            <w:vAlign w:val="bottom"/>
          </w:tcPr>
          <w:p>
            <w:pPr>
              <w:ind w:left="720"/>
              <w:spacing w:after="0"/>
              <w:rPr>
                <w:sz w:val="20"/>
                <w:szCs w:val="20"/>
                <w:color w:val="auto"/>
              </w:rPr>
            </w:pPr>
            <w:r>
              <w:rPr>
                <w:rFonts w:ascii="Arial" w:cs="Arial" w:eastAsia="Arial" w:hAnsi="Arial"/>
                <w:sz w:val="16"/>
                <w:szCs w:val="16"/>
                <w:color w:val="auto"/>
              </w:rPr>
              <w:t>Settlement based on actual</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performance for full performance period</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notwithstanding termination of service,</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prorated for term of service during</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performance period</w:t>
            </w:r>
          </w:p>
        </w:tc>
      </w:tr>
      <w:tr>
        <w:trPr>
          <w:trHeight w:val="189"/>
        </w:trPr>
        <w:tc>
          <w:tcPr>
            <w:tcW w:w="1960" w:type="dxa"/>
            <w:vAlign w:val="bottom"/>
          </w:tcPr>
          <w:p>
            <w:pPr>
              <w:spacing w:after="0"/>
              <w:rPr>
                <w:sz w:val="20"/>
                <w:szCs w:val="20"/>
                <w:color w:val="auto"/>
              </w:rPr>
            </w:pPr>
            <w:r>
              <w:rPr>
                <w:rFonts w:ascii="Arial" w:cs="Arial" w:eastAsia="Arial" w:hAnsi="Arial"/>
                <w:sz w:val="16"/>
                <w:szCs w:val="16"/>
                <w:color w:val="auto"/>
              </w:rPr>
              <w:t>Change in control(2)</w:t>
            </w:r>
          </w:p>
        </w:tc>
        <w:tc>
          <w:tcPr>
            <w:tcW w:w="3560" w:type="dxa"/>
            <w:vAlign w:val="bottom"/>
          </w:tcPr>
          <w:p>
            <w:pPr>
              <w:ind w:left="720"/>
              <w:spacing w:after="0"/>
              <w:rPr>
                <w:sz w:val="20"/>
                <w:szCs w:val="20"/>
                <w:color w:val="auto"/>
              </w:rPr>
            </w:pPr>
            <w:r>
              <w:rPr>
                <w:rFonts w:ascii="Arial" w:cs="Arial" w:eastAsia="Arial" w:hAnsi="Arial"/>
                <w:sz w:val="16"/>
                <w:szCs w:val="16"/>
                <w:color w:val="auto"/>
              </w:rPr>
              <w:t>Settlement based on actual</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performance for full performance period</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notwithstanding termination of service,</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prorated for term of service during</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performance period</w:t>
            </w:r>
          </w:p>
        </w:tc>
      </w:tr>
      <w:tr>
        <w:trPr>
          <w:trHeight w:val="195"/>
        </w:trPr>
        <w:tc>
          <w:tcPr>
            <w:tcW w:w="1960" w:type="dxa"/>
            <w:vAlign w:val="bottom"/>
          </w:tcPr>
          <w:p>
            <w:pPr>
              <w:spacing w:after="0"/>
              <w:rPr>
                <w:sz w:val="20"/>
                <w:szCs w:val="20"/>
                <w:color w:val="auto"/>
              </w:rPr>
            </w:pPr>
            <w:r>
              <w:rPr>
                <w:rFonts w:ascii="Arial" w:cs="Arial" w:eastAsia="Arial" w:hAnsi="Arial"/>
                <w:sz w:val="16"/>
                <w:szCs w:val="16"/>
                <w:color w:val="auto"/>
              </w:rPr>
              <w:t>Any other reason</w:t>
            </w:r>
          </w:p>
        </w:tc>
        <w:tc>
          <w:tcPr>
            <w:tcW w:w="3560" w:type="dxa"/>
            <w:vAlign w:val="bottom"/>
          </w:tcPr>
          <w:p>
            <w:pPr>
              <w:ind w:left="720"/>
              <w:spacing w:after="0"/>
              <w:rPr>
                <w:sz w:val="20"/>
                <w:szCs w:val="20"/>
                <w:color w:val="auto"/>
              </w:rPr>
            </w:pPr>
            <w:r>
              <w:rPr>
                <w:rFonts w:ascii="Arial" w:cs="Arial" w:eastAsia="Arial" w:hAnsi="Arial"/>
                <w:sz w:val="16"/>
                <w:szCs w:val="16"/>
                <w:color w:val="auto"/>
              </w:rPr>
              <w:t>Immediate forfeiture</w:t>
            </w:r>
          </w:p>
        </w:tc>
      </w:tr>
      <w:tr>
        <w:trPr>
          <w:trHeight w:val="451"/>
        </w:trPr>
        <w:tc>
          <w:tcPr>
            <w:tcW w:w="1960" w:type="dxa"/>
            <w:vAlign w:val="bottom"/>
            <w:tcBorders>
              <w:bottom w:val="single" w:sz="8" w:color="003B71"/>
            </w:tcBorders>
          </w:tcPr>
          <w:p>
            <w:pPr>
              <w:spacing w:after="0"/>
              <w:rPr>
                <w:sz w:val="20"/>
                <w:szCs w:val="20"/>
                <w:color w:val="auto"/>
              </w:rPr>
            </w:pPr>
            <w:r>
              <w:rPr>
                <w:rFonts w:ascii="Arial" w:cs="Arial" w:eastAsia="Arial" w:hAnsi="Arial"/>
                <w:sz w:val="16"/>
                <w:szCs w:val="16"/>
                <w:b w:val="1"/>
                <w:bCs w:val="1"/>
                <w:color w:val="003B71"/>
              </w:rPr>
              <w:t>Fiscal 2021 &amp; later grants</w:t>
            </w:r>
          </w:p>
        </w:tc>
        <w:tc>
          <w:tcPr>
            <w:tcW w:w="3560" w:type="dxa"/>
            <w:vAlign w:val="bottom"/>
          </w:tcPr>
          <w:p>
            <w:pPr>
              <w:spacing w:after="0"/>
              <w:rPr>
                <w:sz w:val="24"/>
                <w:szCs w:val="24"/>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6"/>
                <w:szCs w:val="16"/>
                <w:color w:val="auto"/>
              </w:rPr>
              <w:t>For cause</w:t>
            </w:r>
          </w:p>
        </w:tc>
        <w:tc>
          <w:tcPr>
            <w:tcW w:w="3560" w:type="dxa"/>
            <w:vAlign w:val="bottom"/>
          </w:tcPr>
          <w:p>
            <w:pPr>
              <w:ind w:left="720"/>
              <w:spacing w:after="0"/>
              <w:rPr>
                <w:sz w:val="20"/>
                <w:szCs w:val="20"/>
                <w:color w:val="auto"/>
              </w:rPr>
            </w:pPr>
            <w:r>
              <w:rPr>
                <w:rFonts w:ascii="Arial" w:cs="Arial" w:eastAsia="Arial" w:hAnsi="Arial"/>
                <w:sz w:val="16"/>
                <w:szCs w:val="16"/>
                <w:color w:val="auto"/>
              </w:rPr>
              <w:t>Immediate forfeiture</w:t>
            </w:r>
          </w:p>
        </w:tc>
      </w:tr>
      <w:tr>
        <w:trPr>
          <w:trHeight w:val="372"/>
        </w:trPr>
        <w:tc>
          <w:tcPr>
            <w:tcW w:w="1960" w:type="dxa"/>
            <w:vAlign w:val="bottom"/>
          </w:tcPr>
          <w:p>
            <w:pPr>
              <w:spacing w:after="0"/>
              <w:rPr>
                <w:sz w:val="20"/>
                <w:szCs w:val="20"/>
                <w:color w:val="auto"/>
              </w:rPr>
            </w:pPr>
            <w:r>
              <w:rPr>
                <w:rFonts w:ascii="Arial" w:cs="Arial" w:eastAsia="Arial" w:hAnsi="Arial"/>
                <w:sz w:val="16"/>
                <w:szCs w:val="16"/>
                <w:color w:val="auto"/>
              </w:rPr>
              <w:t>Death or disability</w:t>
            </w:r>
          </w:p>
        </w:tc>
        <w:tc>
          <w:tcPr>
            <w:tcW w:w="3560" w:type="dxa"/>
            <w:vAlign w:val="bottom"/>
          </w:tcPr>
          <w:p>
            <w:pPr>
              <w:ind w:left="720"/>
              <w:spacing w:after="0"/>
              <w:rPr>
                <w:sz w:val="20"/>
                <w:szCs w:val="20"/>
                <w:color w:val="auto"/>
              </w:rPr>
            </w:pPr>
            <w:r>
              <w:rPr>
                <w:rFonts w:ascii="Arial" w:cs="Arial" w:eastAsia="Arial" w:hAnsi="Arial"/>
                <w:sz w:val="16"/>
                <w:szCs w:val="16"/>
                <w:color w:val="auto"/>
              </w:rPr>
              <w:t>Immediate vesting and settlement</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based on target performance for full</w:t>
            </w:r>
          </w:p>
        </w:tc>
      </w:tr>
      <w:tr>
        <w:trPr>
          <w:trHeight w:val="189"/>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performance period notwithstanding</w:t>
            </w:r>
          </w:p>
        </w:tc>
      </w:tr>
      <w:tr>
        <w:trPr>
          <w:trHeight w:val="195"/>
        </w:trPr>
        <w:tc>
          <w:tcPr>
            <w:tcW w:w="1960" w:type="dxa"/>
            <w:vAlign w:val="bottom"/>
          </w:tcPr>
          <w:p>
            <w:pPr>
              <w:spacing w:after="0"/>
              <w:rPr>
                <w:sz w:val="16"/>
                <w:szCs w:val="16"/>
                <w:color w:val="auto"/>
              </w:rPr>
            </w:pPr>
          </w:p>
        </w:tc>
        <w:tc>
          <w:tcPr>
            <w:tcW w:w="3560" w:type="dxa"/>
            <w:vAlign w:val="bottom"/>
          </w:tcPr>
          <w:p>
            <w:pPr>
              <w:ind w:left="720"/>
              <w:spacing w:after="0"/>
              <w:rPr>
                <w:sz w:val="20"/>
                <w:szCs w:val="20"/>
                <w:color w:val="auto"/>
              </w:rPr>
            </w:pPr>
            <w:r>
              <w:rPr>
                <w:rFonts w:ascii="Arial" w:cs="Arial" w:eastAsia="Arial" w:hAnsi="Arial"/>
                <w:sz w:val="16"/>
                <w:szCs w:val="16"/>
                <w:color w:val="auto"/>
              </w:rPr>
              <w:t>termination of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-1152525</wp:posOffset>
            </wp:positionV>
            <wp:extent cx="6995160" cy="240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2400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-723900</wp:posOffset>
            </wp:positionV>
            <wp:extent cx="6995160" cy="240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24003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234950</wp:posOffset>
            </wp:positionV>
            <wp:extent cx="6995160" cy="6000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0" w:lineRule="auto"/>
        <w:rPr>
          <w:sz w:val="20"/>
          <w:szCs w:val="20"/>
          <w:color w:val="auto"/>
        </w:rPr>
      </w:pPr>
      <w:r>
        <w:rPr>
          <w:rFonts w:ascii="Arial" w:cs="Arial" w:eastAsia="Arial" w:hAnsi="Arial"/>
          <w:sz w:val="16"/>
          <w:szCs w:val="16"/>
          <w:color w:val="auto"/>
        </w:rPr>
        <w:t>Immediate forfeiture of unvested RSUs(5)</w:t>
      </w:r>
    </w:p>
    <w:p>
      <w:pPr>
        <w:spacing w:after="0" w:line="200" w:lineRule="exact"/>
        <w:rPr>
          <w:sz w:val="20"/>
          <w:szCs w:val="20"/>
          <w:color w:val="auto"/>
        </w:rPr>
      </w:pPr>
    </w:p>
    <w:p>
      <w:pPr>
        <w:spacing w:after="0" w:line="346"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Settlement prorated for term of service between grant date and termination of service(3)</w:t>
      </w:r>
    </w:p>
    <w:p>
      <w:pPr>
        <w:spacing w:after="0" w:line="36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Immediate forfeiture of unvested RSUs(3)(5)</w:t>
      </w:r>
    </w:p>
    <w:p>
      <w:pPr>
        <w:spacing w:after="0" w:line="276"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Immediate forfeiture of unvested RSUs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Immediate vesting and settlement</w:t>
      </w:r>
    </w:p>
    <w:p>
      <w:pPr>
        <w:spacing w:after="0" w:line="20" w:lineRule="exact"/>
        <w:rPr>
          <w:sz w:val="20"/>
          <w:szCs w:val="20"/>
          <w:color w:val="auto"/>
        </w:rPr>
      </w:pPr>
      <w:r>
        <w:rPr>
          <w:sz w:val="20"/>
          <w:szCs w:val="20"/>
          <w:color w:val="auto"/>
        </w:rPr>
        <w:br w:type="column"/>
      </w:r>
    </w:p>
    <w:p>
      <w:pPr>
        <w:ind w:right="60"/>
        <w:spacing w:after="0" w:line="248" w:lineRule="auto"/>
        <w:rPr>
          <w:sz w:val="20"/>
          <w:szCs w:val="20"/>
          <w:color w:val="auto"/>
        </w:rPr>
      </w:pPr>
      <w:r>
        <w:rPr>
          <w:rFonts w:ascii="Arial" w:cs="Arial" w:eastAsia="Arial" w:hAnsi="Arial"/>
          <w:sz w:val="16"/>
          <w:szCs w:val="16"/>
          <w:color w:val="auto"/>
        </w:rPr>
        <w:t>Settlement based on actual performance for full performance period notwithstanding termination of service, prorated for term of service during performance period Settlement based on performance as of change in control for full performance period notwithstanding termination of service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Immediate vesting and settlement</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Immediate forfeiture</w:t>
      </w:r>
    </w:p>
    <w:p>
      <w:pPr>
        <w:spacing w:after="0" w:line="19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Settlement based on target performance for full performance period, if prior to end of full performance period, notwithstanding termination of service</w:t>
      </w:r>
    </w:p>
    <w:p>
      <w:pPr>
        <w:spacing w:after="0" w:line="2" w:lineRule="exact"/>
        <w:rPr>
          <w:sz w:val="20"/>
          <w:szCs w:val="20"/>
          <w:color w:val="auto"/>
        </w:rPr>
      </w:pPr>
    </w:p>
    <w:p>
      <w:pPr>
        <w:sectPr>
          <w:pgSz w:w="11900" w:h="16838" w:orient="portrait"/>
          <w:cols w:equalWidth="0" w:num="3">
            <w:col w:w="5720" w:space="140"/>
            <w:col w:w="2420" w:space="320"/>
            <w:col w:w="2540"/>
          </w:cols>
          <w:pgMar w:left="320" w:top="459" w:right="439" w:bottom="1440" w:gutter="0" w:footer="0" w:header="0"/>
          <w:type w:val="continuous"/>
        </w:sectPr>
      </w:pPr>
    </w:p>
    <w:p>
      <w:pPr>
        <w:ind w:left="200"/>
        <w:spacing w:after="0"/>
        <w:tabs>
          <w:tab w:leader="none" w:pos="2860" w:val="left"/>
          <w:tab w:leader="none" w:pos="5840" w:val="left"/>
        </w:tabs>
        <w:rPr>
          <w:sz w:val="20"/>
          <w:szCs w:val="20"/>
          <w:color w:val="auto"/>
        </w:rPr>
      </w:pPr>
      <w:r>
        <w:rPr>
          <w:rFonts w:ascii="Arial" w:cs="Arial" w:eastAsia="Arial" w:hAnsi="Arial"/>
          <w:sz w:val="16"/>
          <w:szCs w:val="16"/>
          <w:color w:val="auto"/>
        </w:rPr>
        <w:t>Retirement(1)</w:t>
      </w:r>
      <w:r>
        <w:rPr>
          <w:sz w:val="20"/>
          <w:szCs w:val="20"/>
          <w:color w:val="auto"/>
        </w:rPr>
        <w:tab/>
      </w:r>
      <w:r>
        <w:rPr>
          <w:rFonts w:ascii="Arial" w:cs="Arial" w:eastAsia="Arial" w:hAnsi="Arial"/>
          <w:sz w:val="16"/>
          <w:szCs w:val="16"/>
          <w:color w:val="auto"/>
        </w:rPr>
        <w:t>Settlement based on actual</w:t>
      </w:r>
      <w:r>
        <w:rPr>
          <w:sz w:val="20"/>
          <w:szCs w:val="20"/>
          <w:color w:val="auto"/>
        </w:rPr>
        <w:tab/>
      </w:r>
      <w:r>
        <w:rPr>
          <w:rFonts w:ascii="Arial" w:cs="Arial" w:eastAsia="Arial" w:hAnsi="Arial"/>
          <w:sz w:val="16"/>
          <w:szCs w:val="16"/>
          <w:color w:val="auto"/>
        </w:rPr>
        <w:t>Continued vesting per grant terms</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performance for full performance period</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notwithstanding termination of service,</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prorated for term of service during</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performance period</w:t>
      </w:r>
    </w:p>
    <w:p>
      <w:pPr>
        <w:spacing w:after="0" w:line="5" w:lineRule="exact"/>
        <w:rPr>
          <w:sz w:val="20"/>
          <w:szCs w:val="20"/>
          <w:color w:val="auto"/>
        </w:rPr>
      </w:pPr>
    </w:p>
    <w:p>
      <w:pPr>
        <w:ind w:left="200"/>
        <w:spacing w:after="0"/>
        <w:tabs>
          <w:tab w:leader="none" w:pos="2860" w:val="left"/>
          <w:tab w:leader="none" w:pos="5840" w:val="left"/>
        </w:tabs>
        <w:rPr>
          <w:sz w:val="20"/>
          <w:szCs w:val="20"/>
          <w:color w:val="auto"/>
        </w:rPr>
      </w:pPr>
      <w:r>
        <w:rPr>
          <w:rFonts w:ascii="Arial" w:cs="Arial" w:eastAsia="Arial" w:hAnsi="Arial"/>
          <w:sz w:val="16"/>
          <w:szCs w:val="16"/>
          <w:color w:val="auto"/>
        </w:rPr>
        <w:t>Change in control(2)</w:t>
      </w:r>
      <w:r>
        <w:rPr>
          <w:sz w:val="20"/>
          <w:szCs w:val="20"/>
          <w:color w:val="auto"/>
        </w:rPr>
        <w:tab/>
      </w:r>
      <w:r>
        <w:rPr>
          <w:rFonts w:ascii="Arial" w:cs="Arial" w:eastAsia="Arial" w:hAnsi="Arial"/>
          <w:sz w:val="16"/>
          <w:szCs w:val="16"/>
          <w:color w:val="auto"/>
        </w:rPr>
        <w:t>Convert to time-based RSUs based on</w:t>
        <w:tab/>
        <w:t>Immediate vesting upon termination</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target performance for full performance</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period; continued vesting per grant</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terms; settlement to occur upon earlier</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of termination or original vesting</w:t>
      </w:r>
    </w:p>
    <w:p>
      <w:pPr>
        <w:spacing w:after="0" w:line="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schedule</w:t>
      </w:r>
    </w:p>
    <w:p>
      <w:pPr>
        <w:spacing w:after="0" w:line="20" w:lineRule="exact"/>
        <w:rPr>
          <w:sz w:val="20"/>
          <w:szCs w:val="20"/>
          <w:color w:val="auto"/>
        </w:rPr>
      </w:pPr>
      <w:r>
        <w:rPr>
          <w:sz w:val="20"/>
          <w:szCs w:val="20"/>
          <w:color w:val="auto"/>
        </w:rPr>
        <w:br w:type="column"/>
      </w:r>
    </w:p>
    <w:p>
      <w:pPr>
        <w:ind w:right="60"/>
        <w:spacing w:after="0" w:line="246" w:lineRule="auto"/>
        <w:rPr>
          <w:sz w:val="20"/>
          <w:szCs w:val="20"/>
          <w:color w:val="auto"/>
        </w:rPr>
      </w:pPr>
      <w:r>
        <w:rPr>
          <w:rFonts w:ascii="Arial" w:cs="Arial" w:eastAsia="Arial" w:hAnsi="Arial"/>
          <w:sz w:val="16"/>
          <w:szCs w:val="16"/>
          <w:color w:val="auto"/>
        </w:rPr>
        <w:t>Settlement based on actual performance for full performance period notwithstanding termination of service, prorated for term of service during performance period Convert to time-based RSUs based on actual performance for full performance period; continued vesting per grant terms; settlement to occur upon earlier of termination or original vesting schedule</w:t>
      </w:r>
    </w:p>
    <w:p>
      <w:pPr>
        <w:spacing w:after="0" w:line="199" w:lineRule="exact"/>
        <w:rPr>
          <w:sz w:val="20"/>
          <w:szCs w:val="20"/>
          <w:color w:val="auto"/>
        </w:rPr>
      </w:pPr>
    </w:p>
    <w:p>
      <w:pPr>
        <w:sectPr>
          <w:pgSz w:w="11900" w:h="16838" w:orient="portrait"/>
          <w:cols w:equalWidth="0" w:num="2">
            <w:col w:w="8440" w:space="160"/>
            <w:col w:w="25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84"/>
        </w:trPr>
        <w:tc>
          <w:tcPr>
            <w:tcW w:w="2040" w:type="dxa"/>
            <w:vAlign w:val="bottom"/>
            <w:shd w:val="clear" w:color="auto" w:fill="E5E5E5"/>
          </w:tcPr>
          <w:p>
            <w:pPr>
              <w:ind w:left="80"/>
              <w:spacing w:after="0"/>
              <w:rPr>
                <w:sz w:val="20"/>
                <w:szCs w:val="20"/>
                <w:color w:val="auto"/>
              </w:rPr>
            </w:pPr>
            <w:r>
              <w:rPr>
                <w:rFonts w:ascii="Arial" w:cs="Arial" w:eastAsia="Arial" w:hAnsi="Arial"/>
                <w:sz w:val="16"/>
                <w:szCs w:val="16"/>
                <w:color w:val="auto"/>
              </w:rPr>
              <w:t>Any other reason</w:t>
            </w:r>
          </w:p>
        </w:tc>
        <w:tc>
          <w:tcPr>
            <w:tcW w:w="3320" w:type="dxa"/>
            <w:vAlign w:val="bottom"/>
            <w:shd w:val="clear" w:color="auto" w:fill="E5E5E5"/>
          </w:tcPr>
          <w:p>
            <w:pPr>
              <w:ind w:left="720"/>
              <w:spacing w:after="0"/>
              <w:rPr>
                <w:sz w:val="20"/>
                <w:szCs w:val="20"/>
                <w:color w:val="auto"/>
              </w:rPr>
            </w:pPr>
            <w:r>
              <w:rPr>
                <w:rFonts w:ascii="Arial" w:cs="Arial" w:eastAsia="Arial" w:hAnsi="Arial"/>
                <w:sz w:val="16"/>
                <w:szCs w:val="16"/>
                <w:color w:val="auto"/>
              </w:rPr>
              <w:t>Settlement based on actual</w:t>
            </w:r>
          </w:p>
        </w:tc>
        <w:tc>
          <w:tcPr>
            <w:tcW w:w="360" w:type="dxa"/>
            <w:vAlign w:val="bottom"/>
            <w:shd w:val="clear" w:color="auto" w:fill="E5E5E5"/>
          </w:tcPr>
          <w:p>
            <w:pPr>
              <w:spacing w:after="0"/>
              <w:rPr>
                <w:sz w:val="16"/>
                <w:szCs w:val="16"/>
                <w:color w:val="auto"/>
              </w:rPr>
            </w:pPr>
          </w:p>
        </w:tc>
        <w:tc>
          <w:tcPr>
            <w:tcW w:w="2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Settlement prorated for term of</w:t>
            </w:r>
          </w:p>
        </w:tc>
        <w:tc>
          <w:tcPr>
            <w:tcW w:w="2780" w:type="dxa"/>
            <w:vAlign w:val="bottom"/>
            <w:shd w:val="clear" w:color="auto" w:fill="E5E5E5"/>
          </w:tcPr>
          <w:p>
            <w:pPr>
              <w:ind w:left="240"/>
              <w:spacing w:after="0"/>
              <w:rPr>
                <w:sz w:val="20"/>
                <w:szCs w:val="20"/>
                <w:color w:val="auto"/>
              </w:rPr>
            </w:pPr>
            <w:r>
              <w:rPr>
                <w:rFonts w:ascii="Arial" w:cs="Arial" w:eastAsia="Arial" w:hAnsi="Arial"/>
                <w:sz w:val="16"/>
                <w:szCs w:val="16"/>
                <w:color w:val="auto"/>
              </w:rPr>
              <w:t>Settlement based on actual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5E5E5"/>
          </w:tcPr>
          <w:p>
            <w:pPr>
              <w:spacing w:after="0"/>
              <w:rPr>
                <w:sz w:val="16"/>
                <w:szCs w:val="16"/>
                <w:color w:val="auto"/>
              </w:rPr>
            </w:pPr>
          </w:p>
        </w:tc>
        <w:tc>
          <w:tcPr>
            <w:tcW w:w="3680" w:type="dxa"/>
            <w:vAlign w:val="bottom"/>
            <w:gridSpan w:val="2"/>
            <w:shd w:val="clear" w:color="auto" w:fill="E5E5E5"/>
          </w:tcPr>
          <w:p>
            <w:pPr>
              <w:ind w:left="720"/>
              <w:spacing w:after="0"/>
              <w:rPr>
                <w:sz w:val="20"/>
                <w:szCs w:val="20"/>
                <w:color w:val="auto"/>
              </w:rPr>
            </w:pPr>
            <w:r>
              <w:rPr>
                <w:rFonts w:ascii="Arial" w:cs="Arial" w:eastAsia="Arial" w:hAnsi="Arial"/>
                <w:sz w:val="16"/>
                <w:szCs w:val="16"/>
                <w:color w:val="auto"/>
              </w:rPr>
              <w:t>performance for full performance period</w:t>
            </w:r>
          </w:p>
        </w:tc>
        <w:tc>
          <w:tcPr>
            <w:tcW w:w="2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service between grant date and</w:t>
            </w:r>
          </w:p>
        </w:tc>
        <w:tc>
          <w:tcPr>
            <w:tcW w:w="2780" w:type="dxa"/>
            <w:vAlign w:val="bottom"/>
            <w:shd w:val="clear" w:color="auto" w:fill="E5E5E5"/>
          </w:tcPr>
          <w:p>
            <w:pPr>
              <w:ind w:left="240"/>
              <w:spacing w:after="0"/>
              <w:rPr>
                <w:sz w:val="20"/>
                <w:szCs w:val="20"/>
                <w:color w:val="auto"/>
              </w:rPr>
            </w:pPr>
            <w:r>
              <w:rPr>
                <w:rFonts w:ascii="Arial" w:cs="Arial" w:eastAsia="Arial" w:hAnsi="Arial"/>
                <w:sz w:val="16"/>
                <w:szCs w:val="16"/>
                <w:color w:val="auto"/>
              </w:rPr>
              <w:t>performance for full performance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5E5E5"/>
          </w:tcPr>
          <w:p>
            <w:pPr>
              <w:spacing w:after="0"/>
              <w:rPr>
                <w:sz w:val="16"/>
                <w:szCs w:val="16"/>
                <w:color w:val="auto"/>
              </w:rPr>
            </w:pPr>
          </w:p>
        </w:tc>
        <w:tc>
          <w:tcPr>
            <w:tcW w:w="3680" w:type="dxa"/>
            <w:vAlign w:val="bottom"/>
            <w:gridSpan w:val="2"/>
            <w:shd w:val="clear" w:color="auto" w:fill="E5E5E5"/>
          </w:tcPr>
          <w:p>
            <w:pPr>
              <w:ind w:left="720"/>
              <w:spacing w:after="0"/>
              <w:rPr>
                <w:sz w:val="20"/>
                <w:szCs w:val="20"/>
                <w:color w:val="auto"/>
              </w:rPr>
            </w:pPr>
            <w:r>
              <w:rPr>
                <w:rFonts w:ascii="Arial" w:cs="Arial" w:eastAsia="Arial" w:hAnsi="Arial"/>
                <w:sz w:val="16"/>
                <w:szCs w:val="16"/>
                <w:color w:val="auto"/>
              </w:rPr>
              <w:t>notwithstanding termination of service,</w:t>
            </w:r>
          </w:p>
        </w:tc>
        <w:tc>
          <w:tcPr>
            <w:tcW w:w="2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termination of service</w:t>
            </w:r>
          </w:p>
        </w:tc>
        <w:tc>
          <w:tcPr>
            <w:tcW w:w="2780" w:type="dxa"/>
            <w:vAlign w:val="bottom"/>
            <w:shd w:val="clear" w:color="auto" w:fill="E5E5E5"/>
          </w:tcPr>
          <w:p>
            <w:pPr>
              <w:ind w:left="240"/>
              <w:spacing w:after="0"/>
              <w:rPr>
                <w:sz w:val="20"/>
                <w:szCs w:val="20"/>
                <w:color w:val="auto"/>
              </w:rPr>
            </w:pPr>
            <w:r>
              <w:rPr>
                <w:rFonts w:ascii="Arial" w:cs="Arial" w:eastAsia="Arial" w:hAnsi="Arial"/>
                <w:sz w:val="16"/>
                <w:szCs w:val="16"/>
                <w:color w:val="auto"/>
              </w:rPr>
              <w:t>period notwithstanding termination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E5E5E5"/>
          </w:tcPr>
          <w:p>
            <w:pPr>
              <w:spacing w:after="0"/>
              <w:rPr>
                <w:sz w:val="16"/>
                <w:szCs w:val="16"/>
                <w:color w:val="auto"/>
              </w:rPr>
            </w:pPr>
          </w:p>
        </w:tc>
        <w:tc>
          <w:tcPr>
            <w:tcW w:w="3320" w:type="dxa"/>
            <w:vAlign w:val="bottom"/>
            <w:shd w:val="clear" w:color="auto" w:fill="E5E5E5"/>
          </w:tcPr>
          <w:p>
            <w:pPr>
              <w:ind w:left="720"/>
              <w:spacing w:after="0"/>
              <w:rPr>
                <w:sz w:val="20"/>
                <w:szCs w:val="20"/>
                <w:color w:val="auto"/>
              </w:rPr>
            </w:pPr>
            <w:r>
              <w:rPr>
                <w:rFonts w:ascii="Arial" w:cs="Arial" w:eastAsia="Arial" w:hAnsi="Arial"/>
                <w:sz w:val="16"/>
                <w:szCs w:val="16"/>
                <w:color w:val="auto"/>
              </w:rPr>
              <w:t>prorated for term of service during</w:t>
            </w:r>
          </w:p>
        </w:tc>
        <w:tc>
          <w:tcPr>
            <w:tcW w:w="360" w:type="dxa"/>
            <w:vAlign w:val="bottom"/>
            <w:shd w:val="clear" w:color="auto" w:fill="E5E5E5"/>
          </w:tcPr>
          <w:p>
            <w:pPr>
              <w:spacing w:after="0"/>
              <w:rPr>
                <w:sz w:val="16"/>
                <w:szCs w:val="16"/>
                <w:color w:val="auto"/>
              </w:rPr>
            </w:pPr>
          </w:p>
        </w:tc>
        <w:tc>
          <w:tcPr>
            <w:tcW w:w="2520" w:type="dxa"/>
            <w:vAlign w:val="bottom"/>
            <w:shd w:val="clear" w:color="auto" w:fill="E5E5E5"/>
          </w:tcPr>
          <w:p>
            <w:pPr>
              <w:spacing w:after="0"/>
              <w:rPr>
                <w:sz w:val="16"/>
                <w:szCs w:val="16"/>
                <w:color w:val="auto"/>
              </w:rPr>
            </w:pPr>
          </w:p>
        </w:tc>
        <w:tc>
          <w:tcPr>
            <w:tcW w:w="2780" w:type="dxa"/>
            <w:vAlign w:val="bottom"/>
            <w:shd w:val="clear" w:color="auto" w:fill="E5E5E5"/>
          </w:tcPr>
          <w:p>
            <w:pPr>
              <w:ind w:left="240"/>
              <w:spacing w:after="0"/>
              <w:rPr>
                <w:sz w:val="20"/>
                <w:szCs w:val="20"/>
                <w:color w:val="auto"/>
              </w:rPr>
            </w:pPr>
            <w:r>
              <w:rPr>
                <w:rFonts w:ascii="Arial" w:cs="Arial" w:eastAsia="Arial" w:hAnsi="Arial"/>
                <w:sz w:val="16"/>
                <w:szCs w:val="16"/>
                <w:color w:val="auto"/>
              </w:rPr>
              <w:t>of service, prorated for term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40" w:type="dxa"/>
            <w:vAlign w:val="bottom"/>
            <w:tcBorders>
              <w:bottom w:val="single" w:sz="8" w:color="003B71"/>
            </w:tcBorders>
            <w:shd w:val="clear" w:color="auto" w:fill="E5E5E5"/>
          </w:tcPr>
          <w:p>
            <w:pPr>
              <w:spacing w:after="0"/>
              <w:rPr>
                <w:sz w:val="16"/>
                <w:szCs w:val="16"/>
                <w:color w:val="auto"/>
              </w:rPr>
            </w:pPr>
          </w:p>
        </w:tc>
        <w:tc>
          <w:tcPr>
            <w:tcW w:w="3320" w:type="dxa"/>
            <w:vAlign w:val="bottom"/>
            <w:tcBorders>
              <w:bottom w:val="single" w:sz="8" w:color="003B71"/>
            </w:tcBorders>
            <w:shd w:val="clear" w:color="auto" w:fill="E5E5E5"/>
          </w:tcPr>
          <w:p>
            <w:pPr>
              <w:ind w:left="720"/>
              <w:spacing w:after="0"/>
              <w:rPr>
                <w:sz w:val="20"/>
                <w:szCs w:val="20"/>
                <w:color w:val="auto"/>
              </w:rPr>
            </w:pPr>
            <w:r>
              <w:rPr>
                <w:rFonts w:ascii="Arial" w:cs="Arial" w:eastAsia="Arial" w:hAnsi="Arial"/>
                <w:sz w:val="16"/>
                <w:szCs w:val="16"/>
                <w:color w:val="auto"/>
              </w:rPr>
              <w:t>performance period</w:t>
            </w:r>
          </w:p>
        </w:tc>
        <w:tc>
          <w:tcPr>
            <w:tcW w:w="360" w:type="dxa"/>
            <w:vAlign w:val="bottom"/>
            <w:tcBorders>
              <w:bottom w:val="single" w:sz="8" w:color="003B71"/>
            </w:tcBorders>
            <w:shd w:val="clear" w:color="auto" w:fill="E5E5E5"/>
          </w:tcPr>
          <w:p>
            <w:pPr>
              <w:spacing w:after="0"/>
              <w:rPr>
                <w:sz w:val="16"/>
                <w:szCs w:val="16"/>
                <w:color w:val="auto"/>
              </w:rPr>
            </w:pPr>
          </w:p>
        </w:tc>
        <w:tc>
          <w:tcPr>
            <w:tcW w:w="2520" w:type="dxa"/>
            <w:vAlign w:val="bottom"/>
            <w:tcBorders>
              <w:bottom w:val="single" w:sz="8" w:color="003B71"/>
            </w:tcBorders>
            <w:shd w:val="clear" w:color="auto" w:fill="E5E5E5"/>
          </w:tcPr>
          <w:p>
            <w:pPr>
              <w:spacing w:after="0"/>
              <w:rPr>
                <w:sz w:val="16"/>
                <w:szCs w:val="16"/>
                <w:color w:val="auto"/>
              </w:rPr>
            </w:pPr>
          </w:p>
        </w:tc>
        <w:tc>
          <w:tcPr>
            <w:tcW w:w="2780" w:type="dxa"/>
            <w:vAlign w:val="bottom"/>
            <w:tcBorders>
              <w:bottom w:val="single" w:sz="8" w:color="003B71"/>
            </w:tcBorders>
            <w:shd w:val="clear" w:color="auto" w:fill="E5E5E5"/>
          </w:tcPr>
          <w:p>
            <w:pPr>
              <w:ind w:left="240"/>
              <w:spacing w:after="0"/>
              <w:rPr>
                <w:sz w:val="20"/>
                <w:szCs w:val="20"/>
                <w:color w:val="auto"/>
              </w:rPr>
            </w:pPr>
            <w:r>
              <w:rPr>
                <w:rFonts w:ascii="Arial" w:cs="Arial" w:eastAsia="Arial" w:hAnsi="Arial"/>
                <w:sz w:val="16"/>
                <w:szCs w:val="16"/>
                <w:color w:val="auto"/>
              </w:rPr>
              <w:t>service during performance 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360" w:type="dxa"/>
            <w:vAlign w:val="bottom"/>
            <w:tcBorders>
              <w:bottom w:val="single" w:sz="8" w:color="003B71"/>
            </w:tcBorders>
            <w:gridSpan w:val="2"/>
          </w:tcPr>
          <w:p>
            <w:pPr>
              <w:spacing w:after="0"/>
              <w:rPr>
                <w:sz w:val="12"/>
                <w:szCs w:val="12"/>
                <w:color w:val="auto"/>
              </w:rPr>
            </w:pPr>
          </w:p>
        </w:tc>
        <w:tc>
          <w:tcPr>
            <w:tcW w:w="360" w:type="dxa"/>
            <w:vAlign w:val="bottom"/>
            <w:tcBorders>
              <w:bottom w:val="single" w:sz="8" w:color="003B71"/>
            </w:tcBorders>
          </w:tcPr>
          <w:p>
            <w:pPr>
              <w:spacing w:after="0"/>
              <w:rPr>
                <w:sz w:val="12"/>
                <w:szCs w:val="12"/>
                <w:color w:val="auto"/>
              </w:rPr>
            </w:pPr>
          </w:p>
        </w:tc>
        <w:tc>
          <w:tcPr>
            <w:tcW w:w="2520" w:type="dxa"/>
            <w:vAlign w:val="bottom"/>
            <w:tcBorders>
              <w:bottom w:val="single" w:sz="8" w:color="003B71"/>
            </w:tcBorders>
          </w:tcPr>
          <w:p>
            <w:pPr>
              <w:spacing w:after="0"/>
              <w:rPr>
                <w:sz w:val="12"/>
                <w:szCs w:val="12"/>
                <w:color w:val="auto"/>
              </w:rPr>
            </w:pPr>
          </w:p>
        </w:tc>
        <w:tc>
          <w:tcPr>
            <w:tcW w:w="2780" w:type="dxa"/>
            <w:vAlign w:val="bottom"/>
            <w:tcBorders>
              <w:bottom w:val="single" w:sz="8" w:color="003B71"/>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360" w:type="dxa"/>
            <w:vAlign w:val="bottom"/>
            <w:gridSpan w:val="2"/>
          </w:tcPr>
          <w:p>
            <w:pPr>
              <w:spacing w:after="0"/>
              <w:rPr>
                <w:sz w:val="20"/>
                <w:szCs w:val="20"/>
                <w:color w:val="auto"/>
              </w:rPr>
            </w:pPr>
            <w:r>
              <w:rPr>
                <w:rFonts w:ascii="Arial" w:cs="Arial" w:eastAsia="Arial" w:hAnsi="Arial"/>
                <w:sz w:val="18"/>
                <w:szCs w:val="18"/>
                <w:b w:val="1"/>
                <w:bCs w:val="1"/>
                <w:color w:val="003B71"/>
              </w:rPr>
              <w:t>Dave &amp; Buster’s Entertainment, Inc.</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4C4C4C"/>
              </w:rPr>
              <w:t>44</w:t>
            </w:r>
          </w:p>
        </w:tc>
        <w:tc>
          <w:tcPr>
            <w:tcW w:w="2520" w:type="dxa"/>
            <w:vAlign w:val="bottom"/>
          </w:tcPr>
          <w:p>
            <w:pPr>
              <w:spacing w:after="0"/>
              <w:rPr>
                <w:sz w:val="20"/>
                <w:szCs w:val="20"/>
                <w:color w:val="auto"/>
              </w:rPr>
            </w:pPr>
          </w:p>
        </w:tc>
        <w:tc>
          <w:tcPr>
            <w:tcW w:w="2780" w:type="dxa"/>
            <w:vAlign w:val="bottom"/>
          </w:tcPr>
          <w:p>
            <w:pPr>
              <w:ind w:left="860"/>
              <w:spacing w:after="0"/>
              <w:rPr>
                <w:sz w:val="20"/>
                <w:szCs w:val="20"/>
                <w:color w:val="auto"/>
              </w:rPr>
            </w:pPr>
            <w:r>
              <w:rPr>
                <w:rFonts w:ascii="Arial" w:cs="Arial" w:eastAsia="Arial" w:hAnsi="Arial"/>
                <w:sz w:val="18"/>
                <w:szCs w:val="18"/>
                <w:b w:val="1"/>
                <w:bCs w:val="1"/>
                <w:color w:val="003B71"/>
                <w:w w:val="99"/>
              </w:rPr>
              <w:t>Eat Drink Play Watch</w:t>
            </w:r>
            <w:r>
              <w:rPr>
                <w:rFonts w:ascii="Arial" w:cs="Arial" w:eastAsia="Arial" w:hAnsi="Arial"/>
                <w:sz w:val="15"/>
                <w:szCs w:val="15"/>
                <w:b w:val="1"/>
                <w:bCs w:val="1"/>
                <w:color w:val="003B71"/>
                <w:w w:val="99"/>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Retirement is defined as termination other than for cause after obtaining either the age of 60 plus 10 years of service or age 65.</w:t>
      </w:r>
    </w:p>
    <w:p>
      <w:pPr>
        <w:spacing w:after="0" w:line="86"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Change in control is defined as termination without cause or for good reason within period from 90 days before to one year after a change of control in the Company.</w:t>
      </w:r>
    </w:p>
    <w:p>
      <w:pPr>
        <w:spacing w:after="0" w:line="60" w:lineRule="exact"/>
        <w:rPr>
          <w:rFonts w:ascii="Arial" w:cs="Arial" w:eastAsia="Arial" w:hAnsi="Arial"/>
          <w:sz w:val="16"/>
          <w:szCs w:val="16"/>
          <w:color w:val="auto"/>
        </w:rPr>
      </w:pPr>
    </w:p>
    <w:p>
      <w:pPr>
        <w:jc w:val="both"/>
        <w:ind w:left="540" w:right="20" w:hanging="424"/>
        <w:spacing w:after="0" w:line="251" w:lineRule="auto"/>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Mr. Jenkins received a grant of time-based shares fiscal 2018. Under the terms of his award agreement, he is entitled to full settlement in the event of death or disability (notwithstanding termination of service), full settlement in the event of a change in control termination of service (notwithstanding termination of service), and a prorated settlement based on term of service between grant date and termination date of service in the event of a termination of service without cause or for good reason (notwithstanding termination of service).</w:t>
      </w:r>
    </w:p>
    <w:p>
      <w:pPr>
        <w:spacing w:after="0" w:line="67" w:lineRule="exact"/>
        <w:rPr>
          <w:rFonts w:ascii="Arial" w:cs="Arial" w:eastAsia="Arial" w:hAnsi="Arial"/>
          <w:sz w:val="16"/>
          <w:szCs w:val="16"/>
          <w:color w:val="auto"/>
        </w:rPr>
      </w:pPr>
    </w:p>
    <w:p>
      <w:pPr>
        <w:ind w:left="540" w:hanging="424"/>
        <w:spacing w:after="0"/>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For Time-Based RSUs granted in fiscal 2020, RSUs immediately vest upon death or disability or termination of service (as applicable).</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For Time-Based RSUs granted in fiscal 2020, settlement is prorated for term of service between grant date and termination of service.</w:t>
      </w:r>
    </w:p>
    <w:p>
      <w:pPr>
        <w:spacing w:after="0" w:line="218"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If there is a change of control of the Company, then, unless prohibited by law, the Compensation Committee is authorized (but not obligated) to make adjustments to the terms and conditions of outstanding awards, including, without limitation, continuation or assumption of outstanding awards; substitution of new awards with substantially the same terms as outstanding awards; accelerated exercisability, vesting and/or lapse of restrictions for outstanding awards immediately prior to the occurrence of such event; upon written notice, provision that any outstanding awards must be exercised, to the extent then exercisable, during a specified period determined by the Compensation Committee (contingent upon the consummation of the change of control), following which unexercised awards shall terminate; and cancellation of all or any portion of outstanding awards for fair market value (which may be the intrinsic value of the award and may be zero); and cancellation of all or any portion of outstanding awards for fair value (as determined in the sole discretion of the Compensation Committee and which may be zero).</w:t>
      </w:r>
    </w:p>
    <w:p>
      <w:pPr>
        <w:spacing w:after="0" w:line="207"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Under the 2014 Stock Incentive Plan, a change of control generally is triggered by the occurrence of any of the following: (i) an acquisition of 30% or more of the outstanding shares or the voting power of the outstanding securities generally entitled to vote in the election of directors; (ii) with certain exceptions, individuals on the Board of Directors on the date of effectiveness of the plan cease to constitute a majority of the Board of Directors; consummation of a reorganization, merger, amalgamation, statutory share exchange, consolidation or like event to which the Company is a party or a sale or disposition of all or substantially all of the Company’s assets, unless the Company’s shareholders continue to own more than 50% of the outstanding voting securities, no person beneficially owns 30% or more of the outstanding securities of the Company and at least a majority of the members of the Board of Directors after such event were members of the Board of Directors prior to the event; or (iv) a complete liquidation or dissolution of the Company.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3B71"/>
        </w:rPr>
        <w:t>Payments pursuant to Employment Agreements</w:t>
      </w:r>
    </w:p>
    <w:p>
      <w:pPr>
        <w:spacing w:after="0" w:line="108"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 All contributions made by an executive officer to a deferred compensation account, and all vested portions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to such deferred compensation account, shall be disbursed to the executive officer upon termination of employment for any reason. Currently, only Messrs. Jenkins and Bowman and Ms. Manning have made contributions to a deferred compensation account.</w:t>
      </w:r>
    </w:p>
    <w:p>
      <w:pPr>
        <w:spacing w:after="0" w:line="69"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If an executive officer resigns from employment with us, including for the purpose of retirement, such officer is not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further payments of salary, bonus, or benefits and such officer shall only be entitled to receive that compensation which has been earned by the officer through the date of termination. Notwithstanding the foregoing, the Company may, at its sole option, elect to provide payments and other severance benefits described below under “Involuntary Termination Not for Cause” and the officer shall execute a release of the Company.</w:t>
      </w:r>
    </w:p>
    <w:p>
      <w:pPr>
        <w:spacing w:after="0" w:line="77" w:lineRule="exact"/>
        <w:rPr>
          <w:sz w:val="20"/>
          <w:szCs w:val="20"/>
          <w:color w:val="auto"/>
        </w:rPr>
      </w:pPr>
    </w:p>
    <w:p>
      <w:pPr>
        <w:jc w:val="both"/>
        <w:ind w:left="120"/>
        <w:spacing w:after="0"/>
        <w:rPr>
          <w:sz w:val="20"/>
          <w:szCs w:val="20"/>
          <w:color w:val="auto"/>
        </w:rPr>
      </w:pPr>
      <w:r>
        <w:rPr>
          <w:rFonts w:ascii="Arial" w:cs="Arial" w:eastAsia="Arial" w:hAnsi="Arial"/>
          <w:sz w:val="18"/>
          <w:szCs w:val="18"/>
          <w:i w:val="1"/>
          <w:iCs w:val="1"/>
          <w:color w:val="auto"/>
        </w:rPr>
        <w:t>Involuntary Termination Not for Cause</w:t>
      </w:r>
      <w:r>
        <w:rPr>
          <w:rFonts w:ascii="Arial" w:cs="Arial" w:eastAsia="Arial" w:hAnsi="Arial"/>
          <w:sz w:val="18"/>
          <w:szCs w:val="18"/>
          <w:color w:val="auto"/>
        </w:rPr>
        <w:t>. In the event of involuntary termination of employment other than for Cause (as defined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agreements), an executive officer would be entitled to 12 months of severance pay at such officer’s then-current base salary (24 months of severance pay for Mr. Jenkins at his then current base salary plus his target bonus), the pro rata portion of the annual bonus, if any, earned by the officer for the then-current fiscal year (this amount is not applicable to Mr. Jenkins), 12 months continuation of such officer’s perquisite allowance, and monthly payments for a period of 12 months equal to the monthly premium required by such officers to maintain health insurance benefits provided by our group health insurance plan, in accordance with the requirements of the Consolidated Omnibus Budget Reconciliation Act of 1985.</w:t>
      </w:r>
    </w:p>
    <w:p>
      <w:pPr>
        <w:spacing w:after="0" w:line="12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45</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67" w:lineRule="auto"/>
        <w:rPr>
          <w:sz w:val="20"/>
          <w:szCs w:val="20"/>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of termination for Cause, the officer is not eligible for any further payments of salary, bonus, or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and shall be only entitled to receive that compensation which has been earned by the officer through the date of termination.</w:t>
      </w:r>
    </w:p>
    <w:p>
      <w:pPr>
        <w:spacing w:after="0" w:line="160" w:lineRule="exact"/>
        <w:rPr>
          <w:sz w:val="20"/>
          <w:szCs w:val="20"/>
          <w:color w:val="auto"/>
        </w:rPr>
      </w:pPr>
    </w:p>
    <w:p>
      <w:pPr>
        <w:jc w:val="both"/>
        <w:ind w:left="120" w:right="20"/>
        <w:spacing w:after="0" w:line="245" w:lineRule="auto"/>
        <w:rPr>
          <w:sz w:val="20"/>
          <w:szCs w:val="20"/>
          <w:color w:val="auto"/>
        </w:rPr>
      </w:pPr>
      <w:r>
        <w:rPr>
          <w:rFonts w:ascii="Arial" w:cs="Arial" w:eastAsia="Arial" w:hAnsi="Arial"/>
          <w:sz w:val="18"/>
          <w:szCs w:val="18"/>
          <w:i w:val="1"/>
          <w:iCs w:val="1"/>
          <w:color w:val="auto"/>
        </w:rPr>
        <w:t>Termination for Good Reason</w:t>
      </w:r>
      <w:r>
        <w:rPr>
          <w:rFonts w:ascii="Arial" w:cs="Arial" w:eastAsia="Arial" w:hAnsi="Arial"/>
          <w:sz w:val="18"/>
          <w:szCs w:val="18"/>
          <w:color w:val="auto"/>
        </w:rPr>
        <w:t>. In the event the officer chooses to terminate his or her employment for reasons such as material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employment agreement by us, relocation of the office where the officer performs his or her duties, assignment to the officer of any duties, authority, or responsibilities that are materially inconsistent with such officer’s position, authority, duties or responsibilities or other similar actions, such officer shall be entitled to the same benefits described above under </w:t>
      </w:r>
      <w:r>
        <w:rPr>
          <w:rFonts w:ascii="Arial" w:cs="Arial" w:eastAsia="Arial" w:hAnsi="Arial"/>
          <w:sz w:val="18"/>
          <w:szCs w:val="18"/>
          <w:i w:val="1"/>
          <w:iCs w:val="1"/>
          <w:color w:val="auto"/>
        </w:rPr>
        <w:t>“Involuntary Termination Not for Cause.”</w:t>
      </w:r>
    </w:p>
    <w:p>
      <w:pPr>
        <w:spacing w:after="0" w:line="181"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The benefits to which an officer (or such officer’s estate or representative) would be entitled in the event of death or</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are as described above under “Involuntary Termination Not for Cause.” However, the amount of salary paid to any such disabled officer shall be reduced by any income replacement benefits received from the disability insurance we provide.</w:t>
      </w:r>
    </w:p>
    <w:p>
      <w:pPr>
        <w:spacing w:after="0" w:line="19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Information concerning the potential payments upon a termination of employment or change of control is set forth in tabular form below for each NEO. Information is provided as if the termination, death, disability or change of control (as defined in the 2014 Stock Incentive Plan) and certain other liquidity events had occurred as of January 31, 2021 (the last day of fiscal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30" w:type="dxa"/>
            <w:vAlign w:val="bottom"/>
          </w:tcPr>
          <w:p>
            <w:pPr>
              <w:spacing w:after="0"/>
              <w:rPr>
                <w:sz w:val="14"/>
                <w:szCs w:val="14"/>
                <w:color w:val="auto"/>
              </w:rPr>
            </w:pPr>
          </w:p>
        </w:tc>
        <w:tc>
          <w:tcPr>
            <w:tcW w:w="183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B71"/>
                <w:w w:val="99"/>
              </w:rPr>
              <w:t>Termination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Termination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3B71"/>
                <w:w w:val="99"/>
              </w:rPr>
              <w:t>Termination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B71"/>
              </w:rPr>
              <w:t>Death/</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Change in</w:t>
            </w:r>
          </w:p>
        </w:tc>
      </w:tr>
      <w:tr>
        <w:trPr>
          <w:trHeight w:val="162"/>
        </w:trPr>
        <w:tc>
          <w:tcPr>
            <w:tcW w:w="3130" w:type="dxa"/>
            <w:vAlign w:val="bottom"/>
          </w:tcPr>
          <w:p>
            <w:pPr>
              <w:spacing w:after="0"/>
              <w:rPr>
                <w:sz w:val="14"/>
                <w:szCs w:val="14"/>
                <w:color w:val="auto"/>
              </w:rPr>
            </w:pPr>
          </w:p>
        </w:tc>
        <w:tc>
          <w:tcPr>
            <w:tcW w:w="1830" w:type="dxa"/>
            <w:vAlign w:val="bottom"/>
          </w:tcPr>
          <w:p>
            <w:pPr>
              <w:spacing w:after="0"/>
              <w:rPr>
                <w:sz w:val="14"/>
                <w:szCs w:val="14"/>
                <w:color w:val="auto"/>
              </w:rPr>
            </w:pPr>
          </w:p>
        </w:tc>
        <w:tc>
          <w:tcPr>
            <w:tcW w:w="1040" w:type="dxa"/>
            <w:vAlign w:val="bottom"/>
          </w:tcPr>
          <w:p>
            <w:pPr>
              <w:jc w:val="right"/>
              <w:ind w:right="20"/>
              <w:spacing w:after="0"/>
              <w:rPr>
                <w:sz w:val="20"/>
                <w:szCs w:val="20"/>
                <w:color w:val="auto"/>
              </w:rPr>
            </w:pPr>
            <w:r>
              <w:rPr>
                <w:rFonts w:ascii="Arial" w:cs="Arial" w:eastAsia="Arial" w:hAnsi="Arial"/>
                <w:sz w:val="14"/>
                <w:szCs w:val="14"/>
                <w:b w:val="1"/>
                <w:bCs w:val="1"/>
                <w:color w:val="003B71"/>
              </w:rPr>
              <w:t>Resignation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3B71"/>
              </w:rPr>
              <w:t>W/Out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w w:val="98"/>
              </w:rPr>
              <w:t>With</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3B71"/>
              </w:rPr>
              <w:t>for Good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3B71"/>
              </w:rPr>
              <w:t>Disability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3B71"/>
              </w:rPr>
              <w:t>Control</w:t>
            </w:r>
          </w:p>
        </w:tc>
      </w:tr>
      <w:tr>
        <w:trPr>
          <w:trHeight w:val="175"/>
        </w:trPr>
        <w:tc>
          <w:tcPr>
            <w:tcW w:w="3130" w:type="dxa"/>
            <w:vAlign w:val="bottom"/>
            <w:tcBorders>
              <w:bottom w:val="single" w:sz="8" w:color="003B71"/>
            </w:tcBorders>
          </w:tcPr>
          <w:p>
            <w:pPr>
              <w:ind w:left="60"/>
              <w:spacing w:after="0"/>
              <w:rPr>
                <w:sz w:val="20"/>
                <w:szCs w:val="20"/>
                <w:color w:val="auto"/>
              </w:rPr>
            </w:pPr>
            <w:r>
              <w:rPr>
                <w:rFonts w:ascii="Arial" w:cs="Arial" w:eastAsia="Arial" w:hAnsi="Arial"/>
                <w:sz w:val="14"/>
                <w:szCs w:val="14"/>
                <w:b w:val="1"/>
                <w:bCs w:val="1"/>
                <w:color w:val="003B71"/>
              </w:rPr>
              <w:t>Name</w:t>
            </w:r>
          </w:p>
        </w:tc>
        <w:tc>
          <w:tcPr>
            <w:tcW w:w="1830" w:type="dxa"/>
            <w:vAlign w:val="bottom"/>
            <w:tcBorders>
              <w:bottom w:val="single" w:sz="8" w:color="003B71"/>
            </w:tcBorders>
          </w:tcPr>
          <w:p>
            <w:pPr>
              <w:ind w:left="690"/>
              <w:spacing w:after="0"/>
              <w:rPr>
                <w:sz w:val="20"/>
                <w:szCs w:val="20"/>
                <w:color w:val="auto"/>
              </w:rPr>
            </w:pPr>
            <w:r>
              <w:rPr>
                <w:rFonts w:ascii="Arial" w:cs="Arial" w:eastAsia="Arial" w:hAnsi="Arial"/>
                <w:sz w:val="14"/>
                <w:szCs w:val="14"/>
                <w:b w:val="1"/>
                <w:bCs w:val="1"/>
                <w:color w:val="003B71"/>
              </w:rPr>
              <w:t>Benefit</w:t>
            </w:r>
          </w:p>
        </w:tc>
        <w:tc>
          <w:tcPr>
            <w:tcW w:w="1040" w:type="dxa"/>
            <w:vAlign w:val="bottom"/>
            <w:tcBorders>
              <w:bottom w:val="single" w:sz="8" w:color="003B71"/>
            </w:tcBorders>
          </w:tcPr>
          <w:p>
            <w:pPr>
              <w:jc w:val="right"/>
              <w:ind w:right="340"/>
              <w:spacing w:after="0"/>
              <w:rPr>
                <w:sz w:val="20"/>
                <w:szCs w:val="20"/>
                <w:color w:val="auto"/>
              </w:rPr>
            </w:pPr>
            <w:r>
              <w:rPr>
                <w:rFonts w:ascii="Arial" w:cs="Arial" w:eastAsia="Arial" w:hAnsi="Arial"/>
                <w:sz w:val="14"/>
                <w:szCs w:val="14"/>
                <w:b w:val="1"/>
                <w:bCs w:val="1"/>
                <w:color w:val="003B71"/>
              </w:rPr>
              <w:t>($)</w:t>
            </w:r>
          </w:p>
        </w:tc>
        <w:tc>
          <w:tcPr>
            <w:tcW w:w="102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Cause($)</w:t>
            </w:r>
          </w:p>
        </w:tc>
        <w:tc>
          <w:tcPr>
            <w:tcW w:w="10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Cause($)</w:t>
            </w:r>
          </w:p>
        </w:tc>
        <w:tc>
          <w:tcPr>
            <w:tcW w:w="106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Reason($)</w:t>
            </w:r>
          </w:p>
        </w:tc>
        <w:tc>
          <w:tcPr>
            <w:tcW w:w="94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w:t>
            </w:r>
          </w:p>
        </w:tc>
        <w:tc>
          <w:tcPr>
            <w:tcW w:w="10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w:t>
            </w:r>
          </w:p>
        </w:tc>
      </w:tr>
      <w:tr>
        <w:trPr>
          <w:trHeight w:val="183"/>
        </w:trPr>
        <w:tc>
          <w:tcPr>
            <w:tcW w:w="3130" w:type="dxa"/>
            <w:vAlign w:val="bottom"/>
            <w:shd w:val="clear" w:color="auto" w:fill="E5E5E5"/>
          </w:tcPr>
          <w:p>
            <w:pPr>
              <w:ind w:left="60"/>
              <w:spacing w:after="0" w:line="183" w:lineRule="exact"/>
              <w:rPr>
                <w:sz w:val="20"/>
                <w:szCs w:val="20"/>
                <w:color w:val="auto"/>
              </w:rPr>
            </w:pPr>
            <w:r>
              <w:rPr>
                <w:rFonts w:ascii="Arial" w:cs="Arial" w:eastAsia="Arial" w:hAnsi="Arial"/>
                <w:sz w:val="16"/>
                <w:szCs w:val="16"/>
                <w:color w:val="auto"/>
              </w:rPr>
              <w:t>Brian A. Jenkins</w:t>
            </w:r>
          </w:p>
        </w:tc>
        <w:tc>
          <w:tcPr>
            <w:tcW w:w="1830" w:type="dxa"/>
            <w:vAlign w:val="bottom"/>
            <w:shd w:val="clear" w:color="auto" w:fill="E5E5E5"/>
          </w:tcPr>
          <w:p>
            <w:pPr>
              <w:ind w:left="50"/>
              <w:spacing w:after="0" w:line="183" w:lineRule="exact"/>
              <w:rPr>
                <w:sz w:val="20"/>
                <w:szCs w:val="20"/>
                <w:color w:val="auto"/>
              </w:rPr>
            </w:pPr>
            <w:r>
              <w:rPr>
                <w:rFonts w:ascii="Arial" w:cs="Arial" w:eastAsia="Arial" w:hAnsi="Arial"/>
                <w:sz w:val="16"/>
                <w:szCs w:val="16"/>
                <w:color w:val="auto"/>
              </w:rPr>
              <w:t>Salary</w:t>
            </w:r>
          </w:p>
        </w:tc>
        <w:tc>
          <w:tcPr>
            <w:tcW w:w="1040" w:type="dxa"/>
            <w:vAlign w:val="bottom"/>
            <w:shd w:val="clear" w:color="auto" w:fill="E5E5E5"/>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line="183" w:lineRule="exact"/>
              <w:rPr>
                <w:sz w:val="20"/>
                <w:szCs w:val="20"/>
                <w:color w:val="auto"/>
              </w:rPr>
            </w:pPr>
            <w:r>
              <w:rPr>
                <w:rFonts w:ascii="Arial" w:cs="Arial" w:eastAsia="Arial" w:hAnsi="Arial"/>
                <w:sz w:val="16"/>
                <w:szCs w:val="16"/>
                <w:color w:val="auto"/>
              </w:rPr>
              <w:t>1,560,000</w:t>
            </w:r>
          </w:p>
        </w:tc>
        <w:tc>
          <w:tcPr>
            <w:tcW w:w="1000" w:type="dxa"/>
            <w:vAlign w:val="bottom"/>
            <w:shd w:val="clear" w:color="auto" w:fill="E5E5E5"/>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line="183" w:lineRule="exact"/>
              <w:rPr>
                <w:sz w:val="20"/>
                <w:szCs w:val="20"/>
                <w:color w:val="auto"/>
              </w:rPr>
            </w:pPr>
            <w:r>
              <w:rPr>
                <w:rFonts w:ascii="Arial" w:cs="Arial" w:eastAsia="Arial" w:hAnsi="Arial"/>
                <w:sz w:val="16"/>
                <w:szCs w:val="16"/>
                <w:color w:val="auto"/>
              </w:rPr>
              <w:t>1,560,000</w:t>
            </w:r>
          </w:p>
        </w:tc>
        <w:tc>
          <w:tcPr>
            <w:tcW w:w="940" w:type="dxa"/>
            <w:vAlign w:val="bottom"/>
            <w:shd w:val="clear" w:color="auto" w:fill="E5E5E5"/>
          </w:tcPr>
          <w:p>
            <w:pPr>
              <w:jc w:val="right"/>
              <w:ind w:right="20"/>
              <w:spacing w:after="0" w:line="183" w:lineRule="exact"/>
              <w:rPr>
                <w:sz w:val="20"/>
                <w:szCs w:val="20"/>
                <w:color w:val="auto"/>
              </w:rPr>
            </w:pPr>
            <w:r>
              <w:rPr>
                <w:rFonts w:ascii="Arial" w:cs="Arial" w:eastAsia="Arial" w:hAnsi="Arial"/>
                <w:sz w:val="16"/>
                <w:szCs w:val="16"/>
                <w:color w:val="auto"/>
              </w:rPr>
              <w:t>1,560,000</w:t>
            </w:r>
          </w:p>
        </w:tc>
        <w:tc>
          <w:tcPr>
            <w:tcW w:w="1000" w:type="dxa"/>
            <w:vAlign w:val="bottom"/>
            <w:shd w:val="clear" w:color="auto" w:fill="E5E5E5"/>
          </w:tcPr>
          <w:p>
            <w:pPr>
              <w:jc w:val="right"/>
              <w:ind w:right="40"/>
              <w:spacing w:after="0" w:line="183" w:lineRule="exact"/>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Bonus(1)</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1,560,000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1,560,000</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1,560,000</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30,000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30,000</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30,000</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22,791</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22,791</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22,791</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749,390</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749,390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749,390</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749,390</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749,390</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749,390</w:t>
            </w:r>
          </w:p>
        </w:tc>
      </w:tr>
      <w:tr>
        <w:trPr>
          <w:trHeight w:val="191"/>
        </w:trPr>
        <w:tc>
          <w:tcPr>
            <w:tcW w:w="3130" w:type="dxa"/>
            <w:vAlign w:val="bottom"/>
          </w:tcPr>
          <w:p>
            <w:pPr>
              <w:ind w:left="60"/>
              <w:spacing w:after="0"/>
              <w:rPr>
                <w:sz w:val="20"/>
                <w:szCs w:val="20"/>
                <w:color w:val="auto"/>
              </w:rPr>
            </w:pPr>
            <w:r>
              <w:rPr>
                <w:rFonts w:ascii="Arial" w:cs="Arial" w:eastAsia="Arial" w:hAnsi="Arial"/>
                <w:sz w:val="16"/>
                <w:szCs w:val="16"/>
                <w:color w:val="auto"/>
              </w:rPr>
              <w:t>Scott Bowman</w:t>
            </w:r>
          </w:p>
        </w:tc>
        <w:tc>
          <w:tcPr>
            <w:tcW w:w="1830" w:type="dxa"/>
            <w:vAlign w:val="bottom"/>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455,000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455,000</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455,000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tcPr>
          <w:p>
            <w:pPr>
              <w:spacing w:after="0"/>
              <w:rPr>
                <w:sz w:val="16"/>
                <w:szCs w:val="16"/>
                <w:color w:val="auto"/>
              </w:rPr>
            </w:pPr>
          </w:p>
        </w:tc>
        <w:tc>
          <w:tcPr>
            <w:tcW w:w="1830" w:type="dxa"/>
            <w:vAlign w:val="bottom"/>
          </w:tcPr>
          <w:p>
            <w:pPr>
              <w:ind w:left="50"/>
              <w:spacing w:after="0"/>
              <w:rPr>
                <w:sz w:val="20"/>
                <w:szCs w:val="20"/>
                <w:color w:val="auto"/>
              </w:rPr>
            </w:pPr>
            <w:r>
              <w:rPr>
                <w:rFonts w:ascii="Arial" w:cs="Arial" w:eastAsia="Arial" w:hAnsi="Arial"/>
                <w:sz w:val="16"/>
                <w:szCs w:val="16"/>
                <w:color w:val="auto"/>
              </w:rPr>
              <w:t>Bonus</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tcPr>
          <w:p>
            <w:pPr>
              <w:spacing w:after="0"/>
              <w:rPr>
                <w:sz w:val="16"/>
                <w:szCs w:val="16"/>
                <w:color w:val="auto"/>
              </w:rPr>
            </w:pPr>
          </w:p>
        </w:tc>
        <w:tc>
          <w:tcPr>
            <w:tcW w:w="1830" w:type="dxa"/>
            <w:vAlign w:val="bottom"/>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25,000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25,000</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25,000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tcPr>
          <w:p>
            <w:pPr>
              <w:spacing w:after="0"/>
              <w:rPr>
                <w:sz w:val="16"/>
                <w:szCs w:val="16"/>
                <w:color w:val="auto"/>
              </w:rPr>
            </w:pPr>
          </w:p>
        </w:tc>
        <w:tc>
          <w:tcPr>
            <w:tcW w:w="1830" w:type="dxa"/>
            <w:vAlign w:val="bottom"/>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15,670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15,670</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15,670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7"/>
        </w:trPr>
        <w:tc>
          <w:tcPr>
            <w:tcW w:w="3130" w:type="dxa"/>
            <w:vAlign w:val="bottom"/>
          </w:tcPr>
          <w:p>
            <w:pPr>
              <w:spacing w:after="0"/>
              <w:rPr>
                <w:sz w:val="16"/>
                <w:szCs w:val="16"/>
                <w:color w:val="auto"/>
              </w:rPr>
            </w:pPr>
          </w:p>
        </w:tc>
        <w:tc>
          <w:tcPr>
            <w:tcW w:w="1830" w:type="dxa"/>
            <w:vAlign w:val="bottom"/>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29,041</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29,041</w:t>
            </w:r>
          </w:p>
        </w:tc>
        <w:tc>
          <w:tcPr>
            <w:tcW w:w="1000" w:type="dxa"/>
            <w:vAlign w:val="bottom"/>
          </w:tcPr>
          <w:p>
            <w:pPr>
              <w:jc w:val="right"/>
              <w:spacing w:after="0"/>
              <w:rPr>
                <w:sz w:val="20"/>
                <w:szCs w:val="20"/>
                <w:color w:val="auto"/>
              </w:rPr>
            </w:pPr>
            <w:r>
              <w:rPr>
                <w:rFonts w:ascii="Arial" w:cs="Arial" w:eastAsia="Arial" w:hAnsi="Arial"/>
                <w:sz w:val="16"/>
                <w:szCs w:val="16"/>
                <w:color w:val="auto"/>
              </w:rPr>
              <w:t>29,041</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29,041</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29,041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29,041</w:t>
            </w:r>
          </w:p>
        </w:tc>
      </w:tr>
      <w:tr>
        <w:trPr>
          <w:trHeight w:val="189"/>
        </w:trPr>
        <w:tc>
          <w:tcPr>
            <w:tcW w:w="3130" w:type="dxa"/>
            <w:vAlign w:val="bottom"/>
            <w:shd w:val="clear" w:color="auto" w:fill="E5E5E5"/>
          </w:tcPr>
          <w:p>
            <w:pPr>
              <w:ind w:left="60"/>
              <w:spacing w:after="0"/>
              <w:rPr>
                <w:sz w:val="20"/>
                <w:szCs w:val="20"/>
                <w:color w:val="auto"/>
              </w:rPr>
            </w:pPr>
            <w:r>
              <w:rPr>
                <w:rFonts w:ascii="Arial" w:cs="Arial" w:eastAsia="Arial" w:hAnsi="Arial"/>
                <w:sz w:val="16"/>
                <w:szCs w:val="16"/>
                <w:color w:val="auto"/>
              </w:rPr>
              <w:t>Margo L. Manning</w:t>
            </w: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465,000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465,000</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465,000</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Bonus</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25,000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25,000</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25,000</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22,791</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22,791</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22,791</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1,373,061</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1,373,061</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1,373,061</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1,373,061</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1,373,061</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1,373,061</w:t>
            </w:r>
          </w:p>
        </w:tc>
      </w:tr>
      <w:tr>
        <w:trPr>
          <w:trHeight w:val="191"/>
        </w:trPr>
        <w:tc>
          <w:tcPr>
            <w:tcW w:w="3130" w:type="dxa"/>
            <w:vAlign w:val="bottom"/>
          </w:tcPr>
          <w:p>
            <w:pPr>
              <w:ind w:left="60"/>
              <w:spacing w:after="0"/>
              <w:rPr>
                <w:sz w:val="20"/>
                <w:szCs w:val="20"/>
                <w:color w:val="auto"/>
              </w:rPr>
            </w:pPr>
            <w:r>
              <w:rPr>
                <w:rFonts w:ascii="Arial" w:cs="Arial" w:eastAsia="Arial" w:hAnsi="Arial"/>
                <w:sz w:val="16"/>
                <w:szCs w:val="16"/>
                <w:color w:val="auto"/>
              </w:rPr>
              <w:t>John B. Mulleady</w:t>
            </w:r>
          </w:p>
        </w:tc>
        <w:tc>
          <w:tcPr>
            <w:tcW w:w="1830" w:type="dxa"/>
            <w:vAlign w:val="bottom"/>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412,000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412,000</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412,000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tcPr>
          <w:p>
            <w:pPr>
              <w:spacing w:after="0"/>
              <w:rPr>
                <w:sz w:val="16"/>
                <w:szCs w:val="16"/>
                <w:color w:val="auto"/>
              </w:rPr>
            </w:pPr>
          </w:p>
        </w:tc>
        <w:tc>
          <w:tcPr>
            <w:tcW w:w="1830" w:type="dxa"/>
            <w:vAlign w:val="bottom"/>
          </w:tcPr>
          <w:p>
            <w:pPr>
              <w:ind w:left="50"/>
              <w:spacing w:after="0"/>
              <w:rPr>
                <w:sz w:val="20"/>
                <w:szCs w:val="20"/>
                <w:color w:val="auto"/>
              </w:rPr>
            </w:pPr>
            <w:r>
              <w:rPr>
                <w:rFonts w:ascii="Arial" w:cs="Arial" w:eastAsia="Arial" w:hAnsi="Arial"/>
                <w:sz w:val="16"/>
                <w:szCs w:val="16"/>
                <w:color w:val="auto"/>
              </w:rPr>
              <w:t>Bonus</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tcPr>
          <w:p>
            <w:pPr>
              <w:spacing w:after="0"/>
              <w:rPr>
                <w:sz w:val="16"/>
                <w:szCs w:val="16"/>
                <w:color w:val="auto"/>
              </w:rPr>
            </w:pPr>
          </w:p>
        </w:tc>
        <w:tc>
          <w:tcPr>
            <w:tcW w:w="1830" w:type="dxa"/>
            <w:vAlign w:val="bottom"/>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25,000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25,000</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25,000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tcPr>
          <w:p>
            <w:pPr>
              <w:spacing w:after="0"/>
              <w:rPr>
                <w:sz w:val="16"/>
                <w:szCs w:val="16"/>
                <w:color w:val="auto"/>
              </w:rPr>
            </w:pPr>
          </w:p>
        </w:tc>
        <w:tc>
          <w:tcPr>
            <w:tcW w:w="1830" w:type="dxa"/>
            <w:vAlign w:val="bottom"/>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15,670</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15,670</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15,670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7"/>
        </w:trPr>
        <w:tc>
          <w:tcPr>
            <w:tcW w:w="3130" w:type="dxa"/>
            <w:vAlign w:val="bottom"/>
          </w:tcPr>
          <w:p>
            <w:pPr>
              <w:spacing w:after="0"/>
              <w:rPr>
                <w:sz w:val="16"/>
                <w:szCs w:val="16"/>
                <w:color w:val="auto"/>
              </w:rPr>
            </w:pPr>
          </w:p>
        </w:tc>
        <w:tc>
          <w:tcPr>
            <w:tcW w:w="1830" w:type="dxa"/>
            <w:vAlign w:val="bottom"/>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ind w:left="60"/>
              <w:spacing w:after="0"/>
              <w:rPr>
                <w:sz w:val="20"/>
                <w:szCs w:val="20"/>
                <w:color w:val="auto"/>
              </w:rPr>
            </w:pPr>
            <w:r>
              <w:rPr>
                <w:rFonts w:ascii="Arial" w:cs="Arial" w:eastAsia="Arial" w:hAnsi="Arial"/>
                <w:sz w:val="16"/>
                <w:szCs w:val="16"/>
                <w:color w:val="auto"/>
              </w:rPr>
              <w:t>Robert W. Edmund</w:t>
            </w: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Salary</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395,000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395,000</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395,000</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Bonus</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Perquisite Allowance</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25,000</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25,000</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25,000</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shd w:val="clear" w:color="auto" w:fill="E5E5E5"/>
          </w:tcPr>
          <w:p>
            <w:pPr>
              <w:spacing w:after="0"/>
              <w:rPr>
                <w:sz w:val="16"/>
                <w:szCs w:val="16"/>
                <w:color w:val="auto"/>
              </w:rPr>
            </w:pPr>
          </w:p>
        </w:tc>
        <w:tc>
          <w:tcPr>
            <w:tcW w:w="1830" w:type="dxa"/>
            <w:vAlign w:val="bottom"/>
            <w:shd w:val="clear" w:color="auto" w:fill="E5E5E5"/>
          </w:tcPr>
          <w:p>
            <w:pPr>
              <w:ind w:left="50"/>
              <w:spacing w:after="0"/>
              <w:rPr>
                <w:sz w:val="20"/>
                <w:szCs w:val="20"/>
                <w:color w:val="auto"/>
              </w:rPr>
            </w:pPr>
            <w:r>
              <w:rPr>
                <w:rFonts w:ascii="Arial" w:cs="Arial" w:eastAsia="Arial" w:hAnsi="Arial"/>
                <w:sz w:val="16"/>
                <w:szCs w:val="16"/>
                <w:color w:val="auto"/>
              </w:rPr>
              <w:t>H &amp; W Benefits</w:t>
            </w:r>
          </w:p>
        </w:tc>
        <w:tc>
          <w:tcPr>
            <w:tcW w:w="10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22,791</w:t>
            </w:r>
          </w:p>
        </w:tc>
        <w:tc>
          <w:tcPr>
            <w:tcW w:w="10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5E5E5"/>
          </w:tcPr>
          <w:p>
            <w:pPr>
              <w:jc w:val="right"/>
              <w:ind w:right="60"/>
              <w:spacing w:after="0"/>
              <w:rPr>
                <w:sz w:val="20"/>
                <w:szCs w:val="20"/>
                <w:color w:val="auto"/>
              </w:rPr>
            </w:pPr>
            <w:r>
              <w:rPr>
                <w:rFonts w:ascii="Arial" w:cs="Arial" w:eastAsia="Arial" w:hAnsi="Arial"/>
                <w:sz w:val="16"/>
                <w:szCs w:val="16"/>
                <w:color w:val="auto"/>
              </w:rPr>
              <w:t>22,791</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6"/>
                <w:szCs w:val="16"/>
                <w:color w:val="auto"/>
              </w:rPr>
              <w:t>22,791</w:t>
            </w:r>
          </w:p>
        </w:tc>
        <w:tc>
          <w:tcPr>
            <w:tcW w:w="1000" w:type="dxa"/>
            <w:vAlign w:val="bottom"/>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r>
        <w:trPr>
          <w:trHeight w:val="189"/>
        </w:trPr>
        <w:tc>
          <w:tcPr>
            <w:tcW w:w="3130" w:type="dxa"/>
            <w:vAlign w:val="bottom"/>
            <w:tcBorders>
              <w:bottom w:val="single" w:sz="8" w:color="003B71"/>
            </w:tcBorders>
            <w:shd w:val="clear" w:color="auto" w:fill="E5E5E5"/>
          </w:tcPr>
          <w:p>
            <w:pPr>
              <w:spacing w:after="0"/>
              <w:rPr>
                <w:sz w:val="16"/>
                <w:szCs w:val="16"/>
                <w:color w:val="auto"/>
              </w:rPr>
            </w:pPr>
          </w:p>
        </w:tc>
        <w:tc>
          <w:tcPr>
            <w:tcW w:w="1830" w:type="dxa"/>
            <w:vAlign w:val="bottom"/>
            <w:tcBorders>
              <w:bottom w:val="single" w:sz="8" w:color="003B71"/>
            </w:tcBorders>
            <w:shd w:val="clear" w:color="auto" w:fill="E5E5E5"/>
          </w:tcPr>
          <w:p>
            <w:pPr>
              <w:ind w:left="50"/>
              <w:spacing w:after="0"/>
              <w:rPr>
                <w:sz w:val="20"/>
                <w:szCs w:val="20"/>
                <w:color w:val="auto"/>
              </w:rPr>
            </w:pPr>
            <w:r>
              <w:rPr>
                <w:rFonts w:ascii="Arial" w:cs="Arial" w:eastAsia="Arial" w:hAnsi="Arial"/>
                <w:sz w:val="16"/>
                <w:szCs w:val="16"/>
                <w:color w:val="auto"/>
              </w:rPr>
              <w:t>Deferred Compensation</w:t>
            </w:r>
          </w:p>
        </w:tc>
        <w:tc>
          <w:tcPr>
            <w:tcW w:w="1040" w:type="dxa"/>
            <w:vAlign w:val="bottom"/>
            <w:tcBorders>
              <w:bottom w:val="single" w:sz="8" w:color="003B71"/>
            </w:tcBorders>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003B71"/>
            </w:tcBorders>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003B71"/>
            </w:tcBorders>
            <w:shd w:val="clear" w:color="auto" w:fill="E5E5E5"/>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3B71"/>
            </w:tcBorders>
            <w:shd w:val="clear" w:color="auto" w:fill="E5E5E5"/>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3B71"/>
            </w:tcBorders>
            <w:shd w:val="clear" w:color="auto" w:fill="E5E5E5"/>
          </w:tcPr>
          <w:p>
            <w:pPr>
              <w:jc w:val="right"/>
              <w:ind w:right="40"/>
              <w:spacing w:after="0"/>
              <w:rPr>
                <w:sz w:val="20"/>
                <w:szCs w:val="20"/>
                <w:color w:val="auto"/>
              </w:rPr>
            </w:pPr>
            <w:r>
              <w:rPr>
                <w:rFonts w:ascii="Arial" w:cs="Arial" w:eastAsia="Arial" w:hAnsi="Arial"/>
                <w:sz w:val="16"/>
                <w:szCs w:val="16"/>
                <w:color w:val="auto"/>
              </w:rPr>
              <w:t>—</w:t>
            </w:r>
          </w:p>
        </w:tc>
      </w:tr>
    </w:tbl>
    <w:p>
      <w:pPr>
        <w:spacing w:after="0" w:line="83" w:lineRule="exact"/>
        <w:rPr>
          <w:sz w:val="20"/>
          <w:szCs w:val="20"/>
          <w:color w:val="auto"/>
        </w:rPr>
      </w:pPr>
    </w:p>
    <w:p>
      <w:pPr>
        <w:ind w:left="540" w:hanging="424"/>
        <w:spacing w:after="0" w:line="260"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As noted in the above discussion of “Involuntary Termination Not for Cause”, this amount reflects the target bonus portion of Mr. Jenkin’s severance pay.</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46</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following table sets forth information concerning the shares of common stock that may be issued upon exercise of options under the 2010 Stock Incentive Plan and the 2014 Stock Incentive Plan as of January 31, 2021:</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right="560"/>
        <w:spacing w:after="0" w:line="276" w:lineRule="auto"/>
        <w:rPr>
          <w:sz w:val="20"/>
          <w:szCs w:val="20"/>
          <w:color w:val="auto"/>
        </w:rPr>
      </w:pPr>
      <w:r>
        <w:rPr>
          <w:rFonts w:ascii="Arial" w:cs="Arial" w:eastAsia="Arial" w:hAnsi="Arial"/>
          <w:sz w:val="14"/>
          <w:szCs w:val="14"/>
          <w:b w:val="1"/>
          <w:bCs w:val="1"/>
          <w:color w:val="003B71"/>
        </w:rPr>
        <w:t>EQUITY COMPENSATION PLANS APPROVED BY SECURITY HOLDERS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0" w:type="dxa"/>
            <w:vAlign w:val="bottom"/>
          </w:tcPr>
          <w:p>
            <w:pPr>
              <w:jc w:val="center"/>
              <w:ind w:right="448"/>
              <w:spacing w:after="0"/>
              <w:rPr>
                <w:sz w:val="20"/>
                <w:szCs w:val="20"/>
                <w:color w:val="auto"/>
              </w:rPr>
            </w:pPr>
            <w:r>
              <w:rPr>
                <w:rFonts w:ascii="Arial" w:cs="Arial" w:eastAsia="Arial" w:hAnsi="Arial"/>
                <w:sz w:val="14"/>
                <w:szCs w:val="14"/>
                <w:b w:val="1"/>
                <w:bCs w:val="1"/>
                <w:color w:val="003B71"/>
              </w:rPr>
              <w:t>NUMBER OF</w:t>
            </w:r>
          </w:p>
        </w:tc>
        <w:tc>
          <w:tcPr>
            <w:tcW w:w="2320" w:type="dxa"/>
            <w:vAlign w:val="bottom"/>
          </w:tcPr>
          <w:p>
            <w:pPr>
              <w:spacing w:after="0"/>
              <w:rPr>
                <w:sz w:val="14"/>
                <w:szCs w:val="14"/>
                <w:color w:val="auto"/>
              </w:rPr>
            </w:pPr>
          </w:p>
        </w:tc>
        <w:tc>
          <w:tcPr>
            <w:tcW w:w="1880" w:type="dxa"/>
            <w:vAlign w:val="bottom"/>
          </w:tcPr>
          <w:p>
            <w:pPr>
              <w:jc w:val="center"/>
              <w:ind w:left="428"/>
              <w:spacing w:after="0"/>
              <w:rPr>
                <w:sz w:val="20"/>
                <w:szCs w:val="20"/>
                <w:color w:val="auto"/>
              </w:rPr>
            </w:pPr>
            <w:r>
              <w:rPr>
                <w:rFonts w:ascii="Arial" w:cs="Arial" w:eastAsia="Arial" w:hAnsi="Arial"/>
                <w:sz w:val="14"/>
                <w:szCs w:val="14"/>
                <w:b w:val="1"/>
                <w:bCs w:val="1"/>
                <w:color w:val="003B71"/>
              </w:rPr>
              <w:t>NUMBER OF</w:t>
            </w:r>
          </w:p>
        </w:tc>
      </w:tr>
      <w:tr>
        <w:trPr>
          <w:trHeight w:val="162"/>
        </w:trPr>
        <w:tc>
          <w:tcPr>
            <w:tcW w:w="1800" w:type="dxa"/>
            <w:vAlign w:val="bottom"/>
          </w:tcPr>
          <w:p>
            <w:pPr>
              <w:jc w:val="center"/>
              <w:ind w:right="428"/>
              <w:spacing w:after="0"/>
              <w:rPr>
                <w:sz w:val="20"/>
                <w:szCs w:val="20"/>
                <w:color w:val="auto"/>
              </w:rPr>
            </w:pPr>
            <w:r>
              <w:rPr>
                <w:rFonts w:ascii="Arial" w:cs="Arial" w:eastAsia="Arial" w:hAnsi="Arial"/>
                <w:sz w:val="14"/>
                <w:szCs w:val="14"/>
                <w:b w:val="1"/>
                <w:bCs w:val="1"/>
                <w:color w:val="003B71"/>
              </w:rPr>
              <w:t>SECURITIES TO</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03B71"/>
              </w:rPr>
              <w:t>WEIGHTED-</w:t>
            </w:r>
          </w:p>
        </w:tc>
        <w:tc>
          <w:tcPr>
            <w:tcW w:w="1880" w:type="dxa"/>
            <w:vAlign w:val="bottom"/>
          </w:tcPr>
          <w:p>
            <w:pPr>
              <w:jc w:val="center"/>
              <w:ind w:left="428"/>
              <w:spacing w:after="0"/>
              <w:rPr>
                <w:sz w:val="20"/>
                <w:szCs w:val="20"/>
                <w:color w:val="auto"/>
              </w:rPr>
            </w:pPr>
            <w:r>
              <w:rPr>
                <w:rFonts w:ascii="Arial" w:cs="Arial" w:eastAsia="Arial" w:hAnsi="Arial"/>
                <w:sz w:val="14"/>
                <w:szCs w:val="14"/>
                <w:b w:val="1"/>
                <w:bCs w:val="1"/>
                <w:color w:val="003B71"/>
              </w:rPr>
              <w:t>SECURITIES</w:t>
            </w:r>
          </w:p>
        </w:tc>
      </w:tr>
      <w:tr>
        <w:trPr>
          <w:trHeight w:val="162"/>
        </w:trPr>
        <w:tc>
          <w:tcPr>
            <w:tcW w:w="1800" w:type="dxa"/>
            <w:vAlign w:val="bottom"/>
          </w:tcPr>
          <w:p>
            <w:pPr>
              <w:jc w:val="center"/>
              <w:ind w:right="448"/>
              <w:spacing w:after="0"/>
              <w:rPr>
                <w:sz w:val="20"/>
                <w:szCs w:val="20"/>
                <w:color w:val="auto"/>
              </w:rPr>
            </w:pPr>
            <w:r>
              <w:rPr>
                <w:rFonts w:ascii="Arial" w:cs="Arial" w:eastAsia="Arial" w:hAnsi="Arial"/>
                <w:sz w:val="14"/>
                <w:szCs w:val="14"/>
                <w:b w:val="1"/>
                <w:bCs w:val="1"/>
                <w:color w:val="003B71"/>
              </w:rPr>
              <w:t>BE ISSUED</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03B71"/>
              </w:rPr>
              <w:t>AVERAGE</w:t>
            </w:r>
          </w:p>
        </w:tc>
        <w:tc>
          <w:tcPr>
            <w:tcW w:w="1880" w:type="dxa"/>
            <w:vAlign w:val="bottom"/>
          </w:tcPr>
          <w:p>
            <w:pPr>
              <w:jc w:val="center"/>
              <w:ind w:left="428"/>
              <w:spacing w:after="0"/>
              <w:rPr>
                <w:sz w:val="20"/>
                <w:szCs w:val="20"/>
                <w:color w:val="auto"/>
              </w:rPr>
            </w:pPr>
            <w:r>
              <w:rPr>
                <w:rFonts w:ascii="Arial" w:cs="Arial" w:eastAsia="Arial" w:hAnsi="Arial"/>
                <w:sz w:val="14"/>
                <w:szCs w:val="14"/>
                <w:b w:val="1"/>
                <w:bCs w:val="1"/>
                <w:color w:val="003B71"/>
              </w:rPr>
              <w:t>REMAINING</w:t>
            </w:r>
          </w:p>
        </w:tc>
      </w:tr>
      <w:tr>
        <w:trPr>
          <w:trHeight w:val="162"/>
        </w:trPr>
        <w:tc>
          <w:tcPr>
            <w:tcW w:w="1800" w:type="dxa"/>
            <w:vAlign w:val="bottom"/>
          </w:tcPr>
          <w:p>
            <w:pPr>
              <w:jc w:val="center"/>
              <w:ind w:right="428"/>
              <w:spacing w:after="0"/>
              <w:rPr>
                <w:sz w:val="20"/>
                <w:szCs w:val="20"/>
                <w:color w:val="auto"/>
              </w:rPr>
            </w:pPr>
            <w:r>
              <w:rPr>
                <w:rFonts w:ascii="Arial" w:cs="Arial" w:eastAsia="Arial" w:hAnsi="Arial"/>
                <w:sz w:val="14"/>
                <w:szCs w:val="14"/>
                <w:b w:val="1"/>
                <w:bCs w:val="1"/>
                <w:color w:val="003B71"/>
              </w:rPr>
              <w:t>UPON EXERCISE</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03B71"/>
              </w:rPr>
              <w:t>EXERCISE PRICE</w:t>
            </w:r>
          </w:p>
        </w:tc>
        <w:tc>
          <w:tcPr>
            <w:tcW w:w="1880" w:type="dxa"/>
            <w:vAlign w:val="bottom"/>
          </w:tcPr>
          <w:p>
            <w:pPr>
              <w:jc w:val="center"/>
              <w:ind w:left="428"/>
              <w:spacing w:after="0"/>
              <w:rPr>
                <w:sz w:val="20"/>
                <w:szCs w:val="20"/>
                <w:color w:val="auto"/>
              </w:rPr>
            </w:pPr>
            <w:r>
              <w:rPr>
                <w:rFonts w:ascii="Arial" w:cs="Arial" w:eastAsia="Arial" w:hAnsi="Arial"/>
                <w:sz w:val="14"/>
                <w:szCs w:val="14"/>
                <w:b w:val="1"/>
                <w:bCs w:val="1"/>
                <w:color w:val="003B71"/>
              </w:rPr>
              <w:t>AVAILABLE FOR</w:t>
            </w:r>
          </w:p>
        </w:tc>
      </w:tr>
      <w:tr>
        <w:trPr>
          <w:trHeight w:val="162"/>
        </w:trPr>
        <w:tc>
          <w:tcPr>
            <w:tcW w:w="1800" w:type="dxa"/>
            <w:vAlign w:val="bottom"/>
          </w:tcPr>
          <w:p>
            <w:pPr>
              <w:jc w:val="center"/>
              <w:ind w:right="448"/>
              <w:spacing w:after="0"/>
              <w:rPr>
                <w:sz w:val="20"/>
                <w:szCs w:val="20"/>
                <w:color w:val="auto"/>
              </w:rPr>
            </w:pPr>
            <w:r>
              <w:rPr>
                <w:rFonts w:ascii="Arial" w:cs="Arial" w:eastAsia="Arial" w:hAnsi="Arial"/>
                <w:sz w:val="14"/>
                <w:szCs w:val="14"/>
                <w:b w:val="1"/>
                <w:bCs w:val="1"/>
                <w:color w:val="003B71"/>
              </w:rPr>
              <w:t>OF OUTSTANDING</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03B71"/>
              </w:rPr>
              <w:t>OF OUTSTANDING</w:t>
            </w:r>
          </w:p>
        </w:tc>
        <w:tc>
          <w:tcPr>
            <w:tcW w:w="1880" w:type="dxa"/>
            <w:vAlign w:val="bottom"/>
          </w:tcPr>
          <w:p>
            <w:pPr>
              <w:jc w:val="center"/>
              <w:ind w:left="428"/>
              <w:spacing w:after="0"/>
              <w:rPr>
                <w:sz w:val="20"/>
                <w:szCs w:val="20"/>
                <w:color w:val="auto"/>
              </w:rPr>
            </w:pPr>
            <w:r>
              <w:rPr>
                <w:rFonts w:ascii="Arial" w:cs="Arial" w:eastAsia="Arial" w:hAnsi="Arial"/>
                <w:sz w:val="14"/>
                <w:szCs w:val="14"/>
                <w:b w:val="1"/>
                <w:bCs w:val="1"/>
                <w:color w:val="003B71"/>
              </w:rPr>
              <w:t>FUTURE ISSUANCE</w:t>
            </w:r>
          </w:p>
        </w:tc>
      </w:tr>
      <w:tr>
        <w:trPr>
          <w:trHeight w:val="162"/>
        </w:trPr>
        <w:tc>
          <w:tcPr>
            <w:tcW w:w="1800" w:type="dxa"/>
            <w:vAlign w:val="bottom"/>
          </w:tcPr>
          <w:p>
            <w:pPr>
              <w:jc w:val="center"/>
              <w:ind w:right="448"/>
              <w:spacing w:after="0"/>
              <w:rPr>
                <w:sz w:val="20"/>
                <w:szCs w:val="20"/>
                <w:color w:val="auto"/>
              </w:rPr>
            </w:pPr>
            <w:r>
              <w:rPr>
                <w:rFonts w:ascii="Arial" w:cs="Arial" w:eastAsia="Arial" w:hAnsi="Arial"/>
                <w:sz w:val="14"/>
                <w:szCs w:val="14"/>
                <w:b w:val="1"/>
                <w:bCs w:val="1"/>
                <w:color w:val="003B71"/>
              </w:rPr>
              <w:t>OPTIONS,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03B71"/>
              </w:rPr>
              <w:t>OPTIONS,</w:t>
            </w:r>
          </w:p>
        </w:tc>
        <w:tc>
          <w:tcPr>
            <w:tcW w:w="1880" w:type="dxa"/>
            <w:vAlign w:val="bottom"/>
          </w:tcPr>
          <w:p>
            <w:pPr>
              <w:jc w:val="center"/>
              <w:ind w:left="428"/>
              <w:spacing w:after="0"/>
              <w:rPr>
                <w:sz w:val="20"/>
                <w:szCs w:val="20"/>
                <w:color w:val="auto"/>
              </w:rPr>
            </w:pPr>
            <w:r>
              <w:rPr>
                <w:rFonts w:ascii="Arial" w:cs="Arial" w:eastAsia="Arial" w:hAnsi="Arial"/>
                <w:sz w:val="14"/>
                <w:szCs w:val="14"/>
                <w:b w:val="1"/>
                <w:bCs w:val="1"/>
                <w:color w:val="003B71"/>
              </w:rPr>
              <w:t>UNDER EQUITY</w:t>
            </w:r>
          </w:p>
        </w:tc>
      </w:tr>
      <w:tr>
        <w:trPr>
          <w:trHeight w:val="162"/>
        </w:trPr>
        <w:tc>
          <w:tcPr>
            <w:tcW w:w="1800" w:type="dxa"/>
            <w:vAlign w:val="bottom"/>
          </w:tcPr>
          <w:p>
            <w:pPr>
              <w:jc w:val="center"/>
              <w:ind w:right="428"/>
              <w:spacing w:after="0"/>
              <w:rPr>
                <w:sz w:val="20"/>
                <w:szCs w:val="20"/>
                <w:color w:val="auto"/>
              </w:rPr>
            </w:pPr>
            <w:r>
              <w:rPr>
                <w:rFonts w:ascii="Arial" w:cs="Arial" w:eastAsia="Arial" w:hAnsi="Arial"/>
                <w:sz w:val="14"/>
                <w:szCs w:val="14"/>
                <w:b w:val="1"/>
                <w:bCs w:val="1"/>
                <w:color w:val="003B71"/>
              </w:rPr>
              <w:t>WARRANTS AND</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03B71"/>
              </w:rPr>
              <w:t>WARRANTS AND</w:t>
            </w:r>
          </w:p>
        </w:tc>
        <w:tc>
          <w:tcPr>
            <w:tcW w:w="1880" w:type="dxa"/>
            <w:vAlign w:val="bottom"/>
          </w:tcPr>
          <w:p>
            <w:pPr>
              <w:jc w:val="center"/>
              <w:ind w:left="448"/>
              <w:spacing w:after="0"/>
              <w:rPr>
                <w:sz w:val="20"/>
                <w:szCs w:val="20"/>
                <w:color w:val="auto"/>
              </w:rPr>
            </w:pPr>
            <w:r>
              <w:rPr>
                <w:rFonts w:ascii="Arial" w:cs="Arial" w:eastAsia="Arial" w:hAnsi="Arial"/>
                <w:sz w:val="14"/>
                <w:szCs w:val="14"/>
                <w:b w:val="1"/>
                <w:bCs w:val="1"/>
                <w:color w:val="003B71"/>
              </w:rPr>
              <w:t>COMPENSATION</w:t>
            </w:r>
          </w:p>
        </w:tc>
      </w:tr>
      <w:tr>
        <w:trPr>
          <w:trHeight w:val="189"/>
        </w:trPr>
        <w:tc>
          <w:tcPr>
            <w:tcW w:w="1800" w:type="dxa"/>
            <w:vAlign w:val="bottom"/>
          </w:tcPr>
          <w:p>
            <w:pPr>
              <w:jc w:val="center"/>
              <w:ind w:right="428"/>
              <w:spacing w:after="0"/>
              <w:rPr>
                <w:sz w:val="20"/>
                <w:szCs w:val="20"/>
                <w:color w:val="auto"/>
              </w:rPr>
            </w:pPr>
            <w:r>
              <w:rPr>
                <w:rFonts w:ascii="Arial" w:cs="Arial" w:eastAsia="Arial" w:hAnsi="Arial"/>
                <w:sz w:val="14"/>
                <w:szCs w:val="14"/>
                <w:b w:val="1"/>
                <w:bCs w:val="1"/>
                <w:color w:val="003B71"/>
              </w:rPr>
              <w:t>RIGHTS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003B71"/>
              </w:rPr>
              <w:t>RIGHTS</w:t>
            </w:r>
          </w:p>
        </w:tc>
        <w:tc>
          <w:tcPr>
            <w:tcW w:w="1880" w:type="dxa"/>
            <w:vAlign w:val="bottom"/>
          </w:tcPr>
          <w:p>
            <w:pPr>
              <w:jc w:val="center"/>
              <w:ind w:left="428"/>
              <w:spacing w:after="0"/>
              <w:rPr>
                <w:sz w:val="20"/>
                <w:szCs w:val="20"/>
                <w:color w:val="auto"/>
              </w:rPr>
            </w:pPr>
            <w:r>
              <w:rPr>
                <w:rFonts w:ascii="Arial" w:cs="Arial" w:eastAsia="Arial" w:hAnsi="Arial"/>
                <w:sz w:val="14"/>
                <w:szCs w:val="14"/>
                <w:b w:val="1"/>
                <w:bCs w:val="1"/>
                <w:color w:val="003B71"/>
              </w:rPr>
              <w:t>PLANS</w:t>
            </w:r>
          </w:p>
        </w:tc>
      </w:tr>
    </w:tbl>
    <w:p>
      <w:pPr>
        <w:spacing w:after="0" w:line="20" w:lineRule="exact"/>
        <w:rPr>
          <w:sz w:val="20"/>
          <w:szCs w:val="20"/>
          <w:color w:val="auto"/>
        </w:rPr>
      </w:pPr>
    </w:p>
    <w:p>
      <w:pPr>
        <w:sectPr>
          <w:pgSz w:w="11900" w:h="16838" w:orient="portrait"/>
          <w:cols w:equalWidth="0" w:num="2">
            <w:col w:w="4100" w:space="720"/>
            <w:col w:w="63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63"/>
        </w:trPr>
        <w:tc>
          <w:tcPr>
            <w:tcW w:w="4960" w:type="dxa"/>
            <w:vAlign w:val="bottom"/>
            <w:tcBorders>
              <w:top w:val="single" w:sz="8" w:color="003B71"/>
            </w:tcBorders>
            <w:shd w:val="clear" w:color="auto" w:fill="E5E5E5"/>
          </w:tcPr>
          <w:p>
            <w:pPr>
              <w:ind w:left="80"/>
              <w:spacing w:after="0" w:line="163" w:lineRule="exact"/>
              <w:rPr>
                <w:sz w:val="20"/>
                <w:szCs w:val="20"/>
                <w:color w:val="auto"/>
              </w:rPr>
            </w:pPr>
            <w:r>
              <w:rPr>
                <w:rFonts w:ascii="Arial" w:cs="Arial" w:eastAsia="Arial" w:hAnsi="Arial"/>
                <w:sz w:val="16"/>
                <w:szCs w:val="16"/>
                <w:color w:val="auto"/>
              </w:rPr>
              <w:t>2010 Stock Incentive Plan</w:t>
            </w:r>
          </w:p>
        </w:tc>
        <w:tc>
          <w:tcPr>
            <w:tcW w:w="780" w:type="dxa"/>
            <w:vAlign w:val="bottom"/>
            <w:tcBorders>
              <w:top w:val="single" w:sz="8" w:color="003B71"/>
            </w:tcBorders>
            <w:shd w:val="clear" w:color="auto" w:fill="E5E5E5"/>
          </w:tcPr>
          <w:p>
            <w:pPr>
              <w:jc w:val="right"/>
              <w:spacing w:after="0" w:line="163" w:lineRule="exact"/>
              <w:rPr>
                <w:sz w:val="20"/>
                <w:szCs w:val="20"/>
                <w:color w:val="auto"/>
              </w:rPr>
            </w:pPr>
            <w:r>
              <w:rPr>
                <w:rFonts w:ascii="Arial" w:cs="Arial" w:eastAsia="Arial" w:hAnsi="Arial"/>
                <w:sz w:val="16"/>
                <w:szCs w:val="16"/>
                <w:color w:val="auto"/>
              </w:rPr>
              <w:t>173,563</w:t>
            </w:r>
          </w:p>
        </w:tc>
        <w:tc>
          <w:tcPr>
            <w:tcW w:w="920" w:type="dxa"/>
            <w:vAlign w:val="bottom"/>
            <w:tcBorders>
              <w:top w:val="single" w:sz="8" w:color="003B71"/>
            </w:tcBorders>
            <w:shd w:val="clear" w:color="auto" w:fill="E5E5E5"/>
          </w:tcPr>
          <w:p>
            <w:pPr>
              <w:spacing w:after="0"/>
              <w:rPr>
                <w:sz w:val="14"/>
                <w:szCs w:val="14"/>
                <w:color w:val="auto"/>
              </w:rPr>
            </w:pPr>
          </w:p>
        </w:tc>
        <w:tc>
          <w:tcPr>
            <w:tcW w:w="840" w:type="dxa"/>
            <w:vAlign w:val="bottom"/>
            <w:tcBorders>
              <w:top w:val="single" w:sz="8" w:color="003B71"/>
            </w:tcBorders>
            <w:shd w:val="clear" w:color="auto" w:fill="E5E5E5"/>
          </w:tcPr>
          <w:p>
            <w:pPr>
              <w:jc w:val="right"/>
              <w:spacing w:after="0" w:line="163" w:lineRule="exact"/>
              <w:rPr>
                <w:sz w:val="20"/>
                <w:szCs w:val="20"/>
                <w:color w:val="auto"/>
              </w:rPr>
            </w:pPr>
            <w:r>
              <w:rPr>
                <w:rFonts w:ascii="Arial" w:cs="Arial" w:eastAsia="Arial" w:hAnsi="Arial"/>
                <w:sz w:val="16"/>
                <w:szCs w:val="16"/>
                <w:color w:val="auto"/>
              </w:rPr>
              <w:t>$</w:t>
            </w:r>
          </w:p>
        </w:tc>
        <w:tc>
          <w:tcPr>
            <w:tcW w:w="2120" w:type="dxa"/>
            <w:vAlign w:val="bottom"/>
            <w:tcBorders>
              <w:top w:val="single" w:sz="8" w:color="003B71"/>
            </w:tcBorders>
            <w:shd w:val="clear" w:color="auto" w:fill="E5E5E5"/>
          </w:tcPr>
          <w:p>
            <w:pPr>
              <w:jc w:val="right"/>
              <w:ind w:right="1639"/>
              <w:spacing w:after="0" w:line="163" w:lineRule="exact"/>
              <w:rPr>
                <w:sz w:val="20"/>
                <w:szCs w:val="20"/>
                <w:color w:val="auto"/>
              </w:rPr>
            </w:pPr>
            <w:r>
              <w:rPr>
                <w:rFonts w:ascii="Arial" w:cs="Arial" w:eastAsia="Arial" w:hAnsi="Arial"/>
                <w:sz w:val="16"/>
                <w:szCs w:val="16"/>
                <w:color w:val="auto"/>
              </w:rPr>
              <w:t>7.51</w:t>
            </w:r>
          </w:p>
        </w:tc>
        <w:tc>
          <w:tcPr>
            <w:tcW w:w="1400" w:type="dxa"/>
            <w:vAlign w:val="bottom"/>
            <w:tcBorders>
              <w:top w:val="single" w:sz="8" w:color="003B71"/>
            </w:tcBorders>
            <w:gridSpan w:val="2"/>
            <w:shd w:val="clear" w:color="auto" w:fill="E5E5E5"/>
          </w:tcPr>
          <w:p>
            <w:pPr>
              <w:jc w:val="right"/>
              <w:ind w:right="620"/>
              <w:spacing w:after="0" w:line="163" w:lineRule="exact"/>
              <w:rPr>
                <w:sz w:val="20"/>
                <w:szCs w:val="20"/>
                <w:color w:val="auto"/>
              </w:rPr>
            </w:pPr>
            <w:r>
              <w:rPr>
                <w:rFonts w:ascii="Arial" w:cs="Arial" w:eastAsia="Arial" w:hAnsi="Arial"/>
                <w:sz w:val="16"/>
                <w:szCs w:val="16"/>
                <w:color w:val="auto"/>
              </w:rPr>
              <w:t>—</w:t>
            </w:r>
          </w:p>
        </w:tc>
      </w:tr>
      <w:tr>
        <w:trPr>
          <w:trHeight w:val="189"/>
        </w:trPr>
        <w:tc>
          <w:tcPr>
            <w:tcW w:w="4960" w:type="dxa"/>
            <w:vAlign w:val="bottom"/>
          </w:tcPr>
          <w:p>
            <w:pPr>
              <w:ind w:left="80"/>
              <w:spacing w:after="0"/>
              <w:rPr>
                <w:sz w:val="20"/>
                <w:szCs w:val="20"/>
                <w:color w:val="auto"/>
              </w:rPr>
            </w:pPr>
            <w:r>
              <w:rPr>
                <w:rFonts w:ascii="Arial" w:cs="Arial" w:eastAsia="Arial" w:hAnsi="Arial"/>
                <w:sz w:val="16"/>
                <w:szCs w:val="16"/>
                <w:color w:val="auto"/>
              </w:rPr>
              <w:t>2014 Stock Incentive Plan</w:t>
            </w:r>
          </w:p>
        </w:tc>
        <w:tc>
          <w:tcPr>
            <w:tcW w:w="1700" w:type="dxa"/>
            <w:vAlign w:val="bottom"/>
            <w:gridSpan w:val="2"/>
          </w:tcPr>
          <w:p>
            <w:pPr>
              <w:jc w:val="right"/>
              <w:ind w:right="720"/>
              <w:spacing w:after="0"/>
              <w:rPr>
                <w:sz w:val="20"/>
                <w:szCs w:val="20"/>
                <w:color w:val="auto"/>
              </w:rPr>
            </w:pPr>
            <w:r>
              <w:rPr>
                <w:rFonts w:ascii="Arial" w:cs="Arial" w:eastAsia="Arial" w:hAnsi="Arial"/>
                <w:sz w:val="16"/>
                <w:szCs w:val="16"/>
                <w:color w:val="auto"/>
              </w:rPr>
              <w:t>2,347,942(1)</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439"/>
              <w:spacing w:after="0"/>
              <w:rPr>
                <w:sz w:val="20"/>
                <w:szCs w:val="20"/>
                <w:color w:val="auto"/>
              </w:rPr>
            </w:pPr>
            <w:r>
              <w:rPr>
                <w:rFonts w:ascii="Arial" w:cs="Arial" w:eastAsia="Arial" w:hAnsi="Arial"/>
                <w:sz w:val="16"/>
                <w:szCs w:val="16"/>
                <w:color w:val="auto"/>
                <w:w w:val="97"/>
              </w:rPr>
              <w:t>36.77(2)</w:t>
            </w:r>
          </w:p>
        </w:tc>
        <w:tc>
          <w:tcPr>
            <w:tcW w:w="1400" w:type="dxa"/>
            <w:vAlign w:val="bottom"/>
            <w:gridSpan w:val="2"/>
          </w:tcPr>
          <w:p>
            <w:pPr>
              <w:jc w:val="right"/>
              <w:ind w:right="620"/>
              <w:spacing w:after="0"/>
              <w:rPr>
                <w:sz w:val="20"/>
                <w:szCs w:val="20"/>
                <w:color w:val="auto"/>
              </w:rPr>
            </w:pPr>
            <w:r>
              <w:rPr>
                <w:rFonts w:ascii="Arial" w:cs="Arial" w:eastAsia="Arial" w:hAnsi="Arial"/>
                <w:sz w:val="16"/>
                <w:szCs w:val="16"/>
                <w:color w:val="auto"/>
              </w:rPr>
              <w:t>3,331,901</w:t>
            </w:r>
          </w:p>
        </w:tc>
      </w:tr>
      <w:tr>
        <w:trPr>
          <w:trHeight w:val="27"/>
        </w:trPr>
        <w:tc>
          <w:tcPr>
            <w:tcW w:w="4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r>
      <w:tr>
        <w:trPr>
          <w:trHeight w:val="189"/>
        </w:trPr>
        <w:tc>
          <w:tcPr>
            <w:tcW w:w="4960" w:type="dxa"/>
            <w:vAlign w:val="bottom"/>
            <w:tcBorders>
              <w:bottom w:val="single" w:sz="8" w:color="003B71"/>
            </w:tcBorders>
            <w:shd w:val="clear" w:color="auto" w:fill="E5E5E5"/>
          </w:tcPr>
          <w:p>
            <w:pPr>
              <w:ind w:left="80"/>
              <w:spacing w:after="0"/>
              <w:rPr>
                <w:sz w:val="20"/>
                <w:szCs w:val="20"/>
                <w:color w:val="auto"/>
              </w:rPr>
            </w:pPr>
            <w:r>
              <w:rPr>
                <w:rFonts w:ascii="Arial" w:cs="Arial" w:eastAsia="Arial" w:hAnsi="Arial"/>
                <w:sz w:val="16"/>
                <w:szCs w:val="16"/>
                <w:color w:val="auto"/>
              </w:rPr>
              <w:t>Total plans</w:t>
            </w:r>
          </w:p>
        </w:tc>
        <w:tc>
          <w:tcPr>
            <w:tcW w:w="78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2,521,505</w:t>
            </w:r>
          </w:p>
        </w:tc>
        <w:tc>
          <w:tcPr>
            <w:tcW w:w="920" w:type="dxa"/>
            <w:vAlign w:val="bottom"/>
            <w:tcBorders>
              <w:bottom w:val="single" w:sz="8" w:color="003B71"/>
            </w:tcBorders>
            <w:shd w:val="clear" w:color="auto" w:fill="E5E5E5"/>
          </w:tcPr>
          <w:p>
            <w:pPr>
              <w:spacing w:after="0"/>
              <w:rPr>
                <w:sz w:val="16"/>
                <w:szCs w:val="16"/>
                <w:color w:val="auto"/>
              </w:rPr>
            </w:pPr>
          </w:p>
        </w:tc>
        <w:tc>
          <w:tcPr>
            <w:tcW w:w="84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003B71"/>
            </w:tcBorders>
            <w:shd w:val="clear" w:color="auto" w:fill="E5E5E5"/>
          </w:tcPr>
          <w:p>
            <w:pPr>
              <w:jc w:val="right"/>
              <w:ind w:right="1439"/>
              <w:spacing w:after="0"/>
              <w:rPr>
                <w:sz w:val="20"/>
                <w:szCs w:val="20"/>
                <w:color w:val="auto"/>
              </w:rPr>
            </w:pPr>
            <w:r>
              <w:rPr>
                <w:rFonts w:ascii="Arial" w:cs="Arial" w:eastAsia="Arial" w:hAnsi="Arial"/>
                <w:sz w:val="16"/>
                <w:szCs w:val="16"/>
                <w:color w:val="auto"/>
                <w:w w:val="97"/>
              </w:rPr>
              <w:t>33.16(2)</w:t>
            </w:r>
          </w:p>
        </w:tc>
        <w:tc>
          <w:tcPr>
            <w:tcW w:w="1400" w:type="dxa"/>
            <w:vAlign w:val="bottom"/>
            <w:tcBorders>
              <w:bottom w:val="single" w:sz="8" w:color="003B71"/>
            </w:tcBorders>
            <w:gridSpan w:val="2"/>
            <w:shd w:val="clear" w:color="auto" w:fill="E5E5E5"/>
          </w:tcPr>
          <w:p>
            <w:pPr>
              <w:jc w:val="right"/>
              <w:ind w:right="620"/>
              <w:spacing w:after="0"/>
              <w:rPr>
                <w:sz w:val="20"/>
                <w:szCs w:val="20"/>
                <w:color w:val="auto"/>
              </w:rPr>
            </w:pPr>
            <w:r>
              <w:rPr>
                <w:rFonts w:ascii="Arial" w:cs="Arial" w:eastAsia="Arial" w:hAnsi="Arial"/>
                <w:sz w:val="16"/>
                <w:szCs w:val="16"/>
                <w:color w:val="auto"/>
              </w:rPr>
              <w:t>3,331,901</w:t>
            </w:r>
          </w:p>
        </w:tc>
      </w:tr>
    </w:tbl>
    <w:p>
      <w:pPr>
        <w:spacing w:after="0" w:line="83" w:lineRule="exact"/>
        <w:rPr>
          <w:sz w:val="20"/>
          <w:szCs w:val="20"/>
          <w:color w:val="auto"/>
        </w:rPr>
      </w:pPr>
    </w:p>
    <w:p>
      <w:pPr>
        <w:jc w:val="both"/>
        <w:ind w:left="540" w:right="20" w:hanging="424"/>
        <w:spacing w:after="0" w:line="249"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Includes 85,012 performance-based restricted stock units and 362,491 market stock units and assumes shares issued upon vesting at 100% of target number of units. Actual number of shares issued on vesting of performance units could be a minimum award level of 50% for performance-based restricted stock units and 0% for market stock units to a maximum award level of 200% of target, but for performance-based restricted stock units, zero payout is possible if threshold measures are not met. The award level for performance-based restricted stock units is based on actual performance over the three-year vesting period compared to target performance. The award level for market stock units is based on actual performance over a one-year performance period and three-year vesting period.</w:t>
      </w:r>
    </w:p>
    <w:p>
      <w:pPr>
        <w:spacing w:after="0" w:line="69" w:lineRule="exact"/>
        <w:rPr>
          <w:rFonts w:ascii="Arial" w:cs="Arial" w:eastAsia="Arial" w:hAnsi="Arial"/>
          <w:sz w:val="16"/>
          <w:szCs w:val="16"/>
          <w:color w:val="auto"/>
        </w:rPr>
      </w:pPr>
    </w:p>
    <w:p>
      <w:pPr>
        <w:ind w:left="540" w:right="20" w:hanging="424"/>
        <w:spacing w:after="0" w:line="260"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weighted average exercise price is calculated based solely on outstanding stock options. It does not take into account the shares of our common stock underlying restricted stock units, which have no exercise price.</w:t>
      </w:r>
    </w:p>
    <w:p>
      <w:pPr>
        <w:spacing w:after="0" w:line="11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47</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TRANSACTIONS WITH RELATED PERSONS</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have a Related Party Transaction Policy that provides for timely internal review of prospective transactions with related persons, as well as approval or ratification, and appropriate oversight and public disclosure, of such transactions. The Related Party Transaction Policy generally covers transactions with the Company, on the one hand, and a director or executive officer of the Company, a nominee for election as a director of the Company, any security holder of the Company that owns (owns of record or beneficially) five percent or more of any class of the Company’s voting securities and any immediate family member of any of the foregoing persons, on the other hand. The Related Party Transaction Policy is administered by our Audit Committee.</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Related Party Transaction Policy also supplements the provisions of our Code of Business Conduct and Ethics concerning potential conflict of interest situations, which, pursuant to its terms, provides that unless a written waiver is granted (as explained below), employees may not (a) perform services for or have a financial interest in a private company that is, or may become, a supplier, customer or competitor of us; (b) perform services for or own more than 1% of the equity of a publicly traded company that is, or may become, a supplier, customer or competitor of us or perform outside work or otherwise engage in any outside activity or enterprise that may interfere in any way with job performance or create a conflict with our best interests. Employees are under a continuing obligation to disclose to their supervisors any situation that presents the possibility of a conflict or disparity of interest between the employee and us. An employee’s conflict of interest may only be waived if both the legal department and the employee’s supervisor waive the conflict in writing. An officer’s conflict of interest may only be approved pursuant to the Related Party Transaction Policy.</w:t>
      </w:r>
    </w:p>
    <w:p>
      <w:pPr>
        <w:spacing w:after="0" w:line="207"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fiscal 2020, the Company and its officers and directors did not engage in any reportable related party transactions nor were any waivers granted on conflicts of interest.</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REPORT OF THE AUDIT COMMITTEE</w:t>
      </w:r>
    </w:p>
    <w:p>
      <w:pPr>
        <w:spacing w:after="0" w:line="20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have reviewed and discussed with management and KPMG, the independent registered public accounting firm, our audited financial statements as of and for the fiscal year ended January 31, 2021. We have also discussed with KPMG the matters required to be discussed by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Public Company Accounting Oversight Board (“PCAOB”).</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received and reviewed the written disclosures and the letter from KPMG required by applicable requirements of the PCAOB regarding KPMG’s communications with the Audit Committee concerning independence, have considered the compatibility of non-audit services with the firm’s independence, and discussed with the auditors the firm’s independence.</w:t>
      </w:r>
    </w:p>
    <w:p>
      <w:pPr>
        <w:spacing w:after="0" w:line="20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Based on the reviews and discussions referred to above, we have recommended to the Board of Directors that the financial statements referred to above be included in our Annual Report on Form 10-K.</w:t>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Kevin M. Sheehan, Chair</w:t>
      </w:r>
    </w:p>
    <w:p>
      <w:pPr>
        <w:ind w:left="6740"/>
        <w:spacing w:after="0" w:line="234" w:lineRule="auto"/>
        <w:rPr>
          <w:sz w:val="20"/>
          <w:szCs w:val="20"/>
          <w:color w:val="auto"/>
        </w:rPr>
      </w:pPr>
      <w:r>
        <w:rPr>
          <w:rFonts w:ascii="Arial" w:cs="Arial" w:eastAsia="Arial" w:hAnsi="Arial"/>
          <w:sz w:val="18"/>
          <w:szCs w:val="18"/>
          <w:color w:val="auto"/>
        </w:rPr>
        <w:t>James P. Chambers</w:t>
      </w:r>
    </w:p>
    <w:p>
      <w:pPr>
        <w:ind w:left="6740"/>
        <w:spacing w:after="0" w:line="235" w:lineRule="auto"/>
        <w:rPr>
          <w:sz w:val="20"/>
          <w:szCs w:val="20"/>
          <w:color w:val="auto"/>
        </w:rPr>
      </w:pPr>
      <w:r>
        <w:rPr>
          <w:rFonts w:ascii="Arial" w:cs="Arial" w:eastAsia="Arial" w:hAnsi="Arial"/>
          <w:sz w:val="18"/>
          <w:szCs w:val="18"/>
          <w:color w:val="auto"/>
        </w:rPr>
        <w:t>Hamish A. Dodds</w:t>
      </w:r>
    </w:p>
    <w:p>
      <w:pPr>
        <w:ind w:left="6740"/>
        <w:spacing w:after="0" w:line="235" w:lineRule="auto"/>
        <w:rPr>
          <w:sz w:val="20"/>
          <w:szCs w:val="20"/>
          <w:color w:val="auto"/>
        </w:rPr>
      </w:pPr>
      <w:r>
        <w:rPr>
          <w:rFonts w:ascii="Arial" w:cs="Arial" w:eastAsia="Arial" w:hAnsi="Arial"/>
          <w:sz w:val="18"/>
          <w:szCs w:val="18"/>
          <w:color w:val="auto"/>
        </w:rPr>
        <w:t>Jonathan S. Halkyard</w:t>
      </w:r>
    </w:p>
    <w:p>
      <w:pPr>
        <w:ind w:left="6740"/>
        <w:spacing w:after="0"/>
        <w:rPr>
          <w:sz w:val="20"/>
          <w:szCs w:val="20"/>
          <w:color w:val="auto"/>
        </w:rPr>
      </w:pPr>
      <w:r>
        <w:rPr>
          <w:rFonts w:ascii="Arial" w:cs="Arial" w:eastAsia="Arial" w:hAnsi="Arial"/>
          <w:sz w:val="18"/>
          <w:szCs w:val="18"/>
          <w:color w:val="auto"/>
        </w:rPr>
        <w:t>April 14, 2021</w:t>
      </w:r>
    </w:p>
    <w:p>
      <w:pPr>
        <w:spacing w:after="0" w:line="136"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48</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jc w:val="center"/>
        <w:ind w:left="440" w:right="400"/>
        <w:spacing w:after="0" w:line="248" w:lineRule="auto"/>
        <w:rPr>
          <w:sz w:val="20"/>
          <w:szCs w:val="20"/>
          <w:color w:val="auto"/>
        </w:rPr>
      </w:pPr>
      <w:r>
        <w:rPr>
          <w:rFonts w:ascii="Arial" w:cs="Arial" w:eastAsia="Arial" w:hAnsi="Arial"/>
          <w:sz w:val="40"/>
          <w:szCs w:val="40"/>
          <w:color w:val="003B71"/>
        </w:rPr>
        <w:t>SECTION 16(a) BENEFICIAL OWNERSHIP REPORTING COMPLIANCE</w:t>
      </w:r>
    </w:p>
    <w:p>
      <w:pPr>
        <w:spacing w:after="0" w:line="17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Section 16(a) of the Securities and Exchange Act of 1934 and SEC rules require our directors, executive officers and persons who own more than 10% of any class of our common stock to file reports of their ownership and changes in ownership of our common stock with the Securities and Exchange Commission. During fiscal 2020, the Company believes that all reports were timely filed by its directors and executive officers.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SHAREHOLDER PROPOSALS</w:t>
      </w:r>
    </w:p>
    <w:p>
      <w:pPr>
        <w:spacing w:after="0" w:line="20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Shareholder proposals, including director nominees, for inclusion in the Company’s Proxy Statement and a form of proxy relating to the Company’s 2022 annual meeting of shareholders must provide written notice of such proposal to the Secretary of the Company at the principal executive offices of the Company no later than the close of business on January 5, 2022, assuming the Company does not change the date of the 2021 annual meeting of shareholders by more than 30 days before or 90 days after the anniversary of the Annual Meeting. Any matter so submitted must comply with the other provisions of the Company’s bylaws (current copies of the Company’s bylaws are available at no charge from the Secretary of the Company and may also be found in the Company’s public filings with the SEC) and be submitted in writing to the Secretary at the principal executive offices.</w:t>
      </w:r>
    </w:p>
    <w:p>
      <w:pPr>
        <w:spacing w:after="0" w:line="20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In addition, to properly bring any shareholders proposals, including director nominees, at the Company’s 2022 annual meeting of shareholders, shareholders must provide written notice of such proposal to the Secretary of the Company at the principal executive offices of the Company no later than the close of business on March 16, 2022, and not earlier than the close of business on February 17, 2022, assuming the Company does not change the date of the 2021 annual meeting of shareholders by more than 30 days before or 90 days after the anniversary of the Annual Meeting. Any written notice so submitted must comply as to form and substance with the other provisions of the Company’s bylaws and must be submitted in writing to the Secretary at the principal executive offices.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OTHER BUSINESS</w:t>
      </w:r>
    </w:p>
    <w:p>
      <w:pPr>
        <w:spacing w:after="0" w:line="20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does not presently intend to bring any other business before the Annual Meeting, and, so far as is known to the Board, no matters are to be brought before the Annual Meeting except as specified in the Notice of Annual Meeting. As daily business may properly come before the Annual Meeting, however, it is intended that proxies, in the form enclosed, will be voted in respect thereof in accordance with the judgment of the persons voting such proxies.</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Whether or not you expect to attend the meeting, please vote via the Internet, by phone, or by requesting, completing and mailing a paper proxy card, so that your shares may be represented at the meeting.</w:t>
      </w: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40"/>
          <w:szCs w:val="40"/>
          <w:color w:val="003B71"/>
        </w:rPr>
        <w:t>WHERE YOU CAN FIND MORE INFORMATION</w:t>
      </w:r>
    </w:p>
    <w:p>
      <w:pPr>
        <w:spacing w:after="0" w:line="20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will provide, without charge, on the written request of any shareholder, a copy of our 2020 Annual Report on Form 10-K and Proxy Statement. Shareholders should direct such requests to the Company’s Corporate Secretary at 2481 Mañana Drive, Dallas, TX 75220. Our SEC filings are available to the public in the SEC’s website at www.sec.gov or at www.daveandbusters.com. Our 2020 Annual Report on Form 10-K and other information on our website and the SEC’s website are not incorporated by reference in this Proxy Statement.</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49</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D</w:t>
      </w:r>
      <w:r>
        <w:rPr>
          <w:rFonts w:ascii="Arial" w:cs="Arial" w:eastAsia="Arial" w:hAnsi="Arial"/>
          <w:sz w:val="17"/>
          <w:szCs w:val="17"/>
          <w:b w:val="1"/>
          <w:bCs w:val="1"/>
          <w:color w:val="003B71"/>
        </w:rPr>
        <w:t>AVE</w:t>
      </w:r>
      <w:r>
        <w:rPr>
          <w:rFonts w:ascii="Arial" w:cs="Arial" w:eastAsia="Arial" w:hAnsi="Arial"/>
          <w:sz w:val="22"/>
          <w:szCs w:val="22"/>
          <w:b w:val="1"/>
          <w:bCs w:val="1"/>
          <w:color w:val="003B71"/>
        </w:rPr>
        <w:t xml:space="preserve"> &amp; B</w:t>
      </w:r>
      <w:r>
        <w:rPr>
          <w:rFonts w:ascii="Arial" w:cs="Arial" w:eastAsia="Arial" w:hAnsi="Arial"/>
          <w:sz w:val="17"/>
          <w:szCs w:val="17"/>
          <w:b w:val="1"/>
          <w:bCs w:val="1"/>
          <w:color w:val="003B71"/>
        </w:rPr>
        <w:t>USTER</w:t>
      </w:r>
      <w:r>
        <w:rPr>
          <w:rFonts w:ascii="Arial" w:cs="Arial" w:eastAsia="Arial" w:hAnsi="Arial"/>
          <w:sz w:val="22"/>
          <w:szCs w:val="22"/>
          <w:b w:val="1"/>
          <w:bCs w:val="1"/>
          <w:color w:val="003B71"/>
        </w:rPr>
        <w:t>’</w:t>
      </w:r>
      <w:r>
        <w:rPr>
          <w:rFonts w:ascii="Arial" w:cs="Arial" w:eastAsia="Arial" w:hAnsi="Arial"/>
          <w:sz w:val="17"/>
          <w:szCs w:val="17"/>
          <w:b w:val="1"/>
          <w:bCs w:val="1"/>
          <w:color w:val="003B71"/>
        </w:rPr>
        <w:t>S</w:t>
      </w:r>
      <w:r>
        <w:rPr>
          <w:rFonts w:ascii="Arial" w:cs="Arial" w:eastAsia="Arial" w:hAnsi="Arial"/>
          <w:sz w:val="22"/>
          <w:szCs w:val="22"/>
          <w:b w:val="1"/>
          <w:bCs w:val="1"/>
          <w:color w:val="003B71"/>
        </w:rPr>
        <w:t xml:space="preserve"> E</w:t>
      </w:r>
      <w:r>
        <w:rPr>
          <w:rFonts w:ascii="Arial" w:cs="Arial" w:eastAsia="Arial" w:hAnsi="Arial"/>
          <w:sz w:val="17"/>
          <w:szCs w:val="17"/>
          <w:b w:val="1"/>
          <w:bCs w:val="1"/>
          <w:color w:val="003B71"/>
        </w:rPr>
        <w:t>NTERTAINMENT</w:t>
      </w:r>
      <w:r>
        <w:rPr>
          <w:rFonts w:ascii="Arial" w:cs="Arial" w:eastAsia="Arial" w:hAnsi="Arial"/>
          <w:sz w:val="22"/>
          <w:szCs w:val="22"/>
          <w:b w:val="1"/>
          <w:bCs w:val="1"/>
          <w:color w:val="003B71"/>
        </w:rPr>
        <w:t>, I</w:t>
      </w:r>
      <w:r>
        <w:rPr>
          <w:rFonts w:ascii="Arial" w:cs="Arial" w:eastAsia="Arial" w:hAnsi="Arial"/>
          <w:sz w:val="17"/>
          <w:szCs w:val="17"/>
          <w:b w:val="1"/>
          <w:bCs w:val="1"/>
          <w:color w:val="003B71"/>
        </w:rPr>
        <w:t>NC</w:t>
      </w:r>
      <w:r>
        <w:rPr>
          <w:rFonts w:ascii="Arial" w:cs="Arial" w:eastAsia="Arial" w:hAnsi="Arial"/>
          <w:sz w:val="22"/>
          <w:szCs w:val="22"/>
          <w:b w:val="1"/>
          <w:bCs w:val="1"/>
          <w:color w:val="003B71"/>
        </w:rPr>
        <w:t>.</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3B71"/>
        </w:rPr>
        <w:t>P</w:t>
      </w:r>
      <w:r>
        <w:rPr>
          <w:rFonts w:ascii="Arial" w:cs="Arial" w:eastAsia="Arial" w:hAnsi="Arial"/>
          <w:sz w:val="17"/>
          <w:szCs w:val="17"/>
          <w:b w:val="1"/>
          <w:bCs w:val="1"/>
          <w:color w:val="003B71"/>
        </w:rPr>
        <w:t>ROXY</w:t>
      </w:r>
      <w:r>
        <w:rPr>
          <w:rFonts w:ascii="Arial" w:cs="Arial" w:eastAsia="Arial" w:hAnsi="Arial"/>
          <w:sz w:val="22"/>
          <w:szCs w:val="22"/>
          <w:b w:val="1"/>
          <w:bCs w:val="1"/>
          <w:color w:val="003B71"/>
        </w:rPr>
        <w:t xml:space="preserve"> S</w:t>
      </w:r>
      <w:r>
        <w:rPr>
          <w:rFonts w:ascii="Arial" w:cs="Arial" w:eastAsia="Arial" w:hAnsi="Arial"/>
          <w:sz w:val="17"/>
          <w:szCs w:val="17"/>
          <w:b w:val="1"/>
          <w:bCs w:val="1"/>
          <w:color w:val="003B71"/>
        </w:rPr>
        <w:t>TATEMENT</w:t>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40"/>
          <w:szCs w:val="40"/>
          <w:color w:val="003B71"/>
        </w:rPr>
        <w:t>FAQ’</w:t>
      </w:r>
      <w:r>
        <w:rPr>
          <w:rFonts w:ascii="Arial" w:cs="Arial" w:eastAsia="Arial" w:hAnsi="Arial"/>
          <w:sz w:val="32"/>
          <w:szCs w:val="32"/>
          <w:color w:val="003B71"/>
        </w:rPr>
        <w:t>S</w:t>
      </w:r>
      <w:r>
        <w:rPr>
          <w:rFonts w:ascii="Arial" w:cs="Arial" w:eastAsia="Arial" w:hAnsi="Arial"/>
          <w:sz w:val="40"/>
          <w:szCs w:val="40"/>
          <w:color w:val="003B71"/>
        </w:rPr>
        <w:t xml:space="preserve"> A</w:t>
      </w:r>
      <w:r>
        <w:rPr>
          <w:rFonts w:ascii="Arial" w:cs="Arial" w:eastAsia="Arial" w:hAnsi="Arial"/>
          <w:sz w:val="32"/>
          <w:szCs w:val="32"/>
          <w:color w:val="003B71"/>
        </w:rPr>
        <w:t>BOUT THE</w:t>
      </w:r>
      <w:r>
        <w:rPr>
          <w:rFonts w:ascii="Arial" w:cs="Arial" w:eastAsia="Arial" w:hAnsi="Arial"/>
          <w:sz w:val="40"/>
          <w:szCs w:val="40"/>
          <w:color w:val="003B71"/>
        </w:rPr>
        <w:t xml:space="preserve"> M</w:t>
      </w:r>
      <w:r>
        <w:rPr>
          <w:rFonts w:ascii="Arial" w:cs="Arial" w:eastAsia="Arial" w:hAnsi="Arial"/>
          <w:sz w:val="32"/>
          <w:szCs w:val="32"/>
          <w:color w:val="003B71"/>
        </w:rPr>
        <w:t>EETING AND</w:t>
      </w:r>
      <w:r>
        <w:rPr>
          <w:rFonts w:ascii="Arial" w:cs="Arial" w:eastAsia="Arial" w:hAnsi="Arial"/>
          <w:sz w:val="40"/>
          <w:szCs w:val="40"/>
          <w:color w:val="003B71"/>
        </w:rPr>
        <w:t xml:space="preserve"> V</w:t>
      </w:r>
      <w:r>
        <w:rPr>
          <w:rFonts w:ascii="Arial" w:cs="Arial" w:eastAsia="Arial" w:hAnsi="Arial"/>
          <w:sz w:val="32"/>
          <w:szCs w:val="32"/>
          <w:color w:val="003B71"/>
        </w:rPr>
        <w:t>OTING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Why did you send this Proxy Statement to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Board of Directors is soliciting this proxy for use at the 2021 Annual Meeting of Shareholders (the “Annual Meeting”) on June 17, 2021, at 8:30 a.m. Central Daylight Time. We posted this Proxy Statement and the accompanying proxy on or about May 5, 2021, to our website at www.daveandbusters.com, and mailed notice on or about May 5, 2021 to all shareholders entitled to vote at the Annual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Where is the Annual Meeting to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Annual Meeting will be held at the Grand Hyatt DFW, 2337 S. International Parkway, Dallas, TX 75261, at the time noted above.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Is it possible that you may have to switch to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a precaution regarding the COVID-19 Pandemic, we also planning for the possibility that the Annual Meeting may be held over the web in a virtual meeting format similar to our 2020 Annual Meeting. If we take this step, we will announce the decision to do so in advance via press release. Please follow us on our investor’s relations webpage (https://ir.daveandbusters.com) for current information regarding any change in location or format of the Annual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Can a guest participate in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Only holders of record of our common stock at the close of business on April 23, 2021, which is the record date, will be entitled to participate and vote at the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Who is allowed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Only holders of record of our common stock at the close of business on April 23, 2021, which is the record date, will be entitled to vote at the Annual Meeting. At the close of business on April 23, 2021, we had 47,780,497 shares of common stock outstanding and entitled to vote.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the Company’s common stock are entitled to one vote for each share held as of the record date, April 23, 2021.</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A quorum is required for our shareholders to conduct business at the Annual Meeting. The holders of a majority in voting power of all issued and outstanding stock entitled to vote at the Annual Meeting, participating online during the meeting or represented by proxy, will constitute a quorum for the transaction of business. Abstentions and “broker non-votes” (described below) will be counted in determining whether there is a quorum.</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purpose of the Annual Meeting is to:</w:t>
      </w:r>
    </w:p>
    <w:p>
      <w:pPr>
        <w:spacing w:after="0" w:line="77" w:lineRule="exact"/>
        <w:rPr>
          <w:sz w:val="20"/>
          <w:szCs w:val="20"/>
          <w:color w:val="auto"/>
        </w:rPr>
      </w:pPr>
    </w:p>
    <w:p>
      <w:pPr>
        <w:ind w:left="540" w:hanging="316"/>
        <w:spacing w:after="0"/>
        <w:tabs>
          <w:tab w:leader="none" w:pos="540" w:val="left"/>
        </w:tabs>
        <w:numPr>
          <w:ilvl w:val="0"/>
          <w:numId w:val="108"/>
        </w:numPr>
        <w:rPr>
          <w:rFonts w:ascii="Arial" w:cs="Arial" w:eastAsia="Arial" w:hAnsi="Arial"/>
          <w:sz w:val="18"/>
          <w:szCs w:val="18"/>
          <w:color w:val="003B71"/>
        </w:rPr>
      </w:pPr>
      <w:r>
        <w:rPr>
          <w:rFonts w:ascii="Arial" w:cs="Arial" w:eastAsia="Arial" w:hAnsi="Arial"/>
          <w:sz w:val="18"/>
          <w:szCs w:val="18"/>
          <w:color w:val="auto"/>
        </w:rPr>
        <w:t>Elect nine (9) directors (Pages 7-12);</w:t>
      </w:r>
    </w:p>
    <w:p>
      <w:pPr>
        <w:spacing w:after="0" w:line="76" w:lineRule="exact"/>
        <w:rPr>
          <w:rFonts w:ascii="Arial" w:cs="Arial" w:eastAsia="Arial" w:hAnsi="Arial"/>
          <w:sz w:val="18"/>
          <w:szCs w:val="18"/>
          <w:color w:val="003B71"/>
        </w:rPr>
      </w:pPr>
    </w:p>
    <w:p>
      <w:pPr>
        <w:ind w:left="540" w:right="20" w:hanging="316"/>
        <w:spacing w:after="0" w:line="246" w:lineRule="auto"/>
        <w:tabs>
          <w:tab w:leader="none" w:pos="540" w:val="left"/>
        </w:tabs>
        <w:numPr>
          <w:ilvl w:val="0"/>
          <w:numId w:val="108"/>
        </w:numPr>
        <w:rPr>
          <w:rFonts w:ascii="Arial" w:cs="Arial" w:eastAsia="Arial" w:hAnsi="Arial"/>
          <w:sz w:val="18"/>
          <w:szCs w:val="18"/>
          <w:color w:val="003B71"/>
        </w:rPr>
      </w:pPr>
      <w:r>
        <w:rPr>
          <w:rFonts w:ascii="Arial" w:cs="Arial" w:eastAsia="Arial" w:hAnsi="Arial"/>
          <w:sz w:val="18"/>
          <w:szCs w:val="18"/>
          <w:color w:val="auto"/>
        </w:rPr>
        <w:t>Vote on ratification of the selection of KPMG LLP as our independent registered public accounting firm for the 2021 Fiscal Year (Page 13);</w:t>
      </w:r>
    </w:p>
    <w:p>
      <w:pPr>
        <w:spacing w:after="0" w:line="121"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50</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hanging="316"/>
        <w:spacing w:after="0"/>
        <w:tabs>
          <w:tab w:leader="none" w:pos="540" w:val="left"/>
        </w:tabs>
        <w:numPr>
          <w:ilvl w:val="0"/>
          <w:numId w:val="109"/>
        </w:numPr>
        <w:rPr>
          <w:rFonts w:ascii="Arial" w:cs="Arial" w:eastAsia="Arial" w:hAnsi="Arial"/>
          <w:sz w:val="18"/>
          <w:szCs w:val="18"/>
          <w:color w:val="003B71"/>
        </w:rPr>
      </w:pPr>
      <w:r>
        <w:rPr>
          <w:rFonts w:ascii="Arial" w:cs="Arial" w:eastAsia="Arial" w:hAnsi="Arial"/>
          <w:sz w:val="18"/>
          <w:szCs w:val="18"/>
          <w:color w:val="auto"/>
        </w:rPr>
        <w:t>Cast an advisory vote on executive compensation (Page 14); and</w:t>
      </w:r>
    </w:p>
    <w:p>
      <w:pPr>
        <w:spacing w:after="0" w:line="76" w:lineRule="exact"/>
        <w:rPr>
          <w:rFonts w:ascii="Arial" w:cs="Arial" w:eastAsia="Arial" w:hAnsi="Arial"/>
          <w:sz w:val="18"/>
          <w:szCs w:val="18"/>
          <w:color w:val="003B71"/>
        </w:rPr>
      </w:pPr>
    </w:p>
    <w:p>
      <w:pPr>
        <w:ind w:left="540" w:hanging="316"/>
        <w:spacing w:after="0"/>
        <w:tabs>
          <w:tab w:leader="none" w:pos="540" w:val="left"/>
        </w:tabs>
        <w:numPr>
          <w:ilvl w:val="0"/>
          <w:numId w:val="109"/>
        </w:numPr>
        <w:rPr>
          <w:rFonts w:ascii="Arial" w:cs="Arial" w:eastAsia="Arial" w:hAnsi="Arial"/>
          <w:sz w:val="18"/>
          <w:szCs w:val="18"/>
          <w:color w:val="003B71"/>
        </w:rPr>
      </w:pPr>
      <w:r>
        <w:rPr>
          <w:rFonts w:ascii="Arial" w:cs="Arial" w:eastAsia="Arial" w:hAnsi="Arial"/>
          <w:sz w:val="18"/>
          <w:szCs w:val="18"/>
          <w:color w:val="auto"/>
        </w:rPr>
        <w:t>Conduct any other business properly brought before the meeting or any adjournment or postponement thereof.</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vote is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Proposal No. 1 – Election of Directors: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affirmative vote of the holders of a majority of the votes cast at the Annual Meeting, participating online during the meeting or represented by proxy, is required to elect each of the nine (9) nominees for director. Abstentions and broker non-votes will have no effect on Proposal No. 1.</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Proposal No. 2 – Ratification of Appointment of Independent Registered Public Accounting Firm:</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Ratification requires the affirmative vote of the holders of a majority in voting power of the stock entitled to vote at the Annual Meeting, participating online during the meeting or represented by proxy. Abstentions will count the same as votes against Proposal No. 2. Brokers are permitted to exercise their discretion and vote without specific instruction on this matter. Accordingly, there are no broker non-votes.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Proposal No. 3 – Advisory Vote on Executive Compensation:</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approval, in an advisory, non-binding vote, requires the affirmative vote of the holders of a majority in voting power of stock entitled to vote at the Annual Meeting, participating online during the meeting or represented by proxy. Abstentions will count the same as votes against Proposal No. 3. Broker non-votes will have no effect on Proposal No. 3.</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do I vote my shares if I am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If you are a registered holder, meaning that you hold our stock directly (not through a bank, broker or other nominee), you may vote in person at the Annual Meeting or vote by completing, dating and signing the accompanying proxy and promptly returning it in the envelope enclosed with the paper copies of the proxy materials, or electronically through the Internet by following the instructions included on your proxy card. All signed, returned proxies that are not revoked will be voted in accordance with the instructions contained therein. Signed proxies that give no instructions as to how they should be voted on a particular proposal at the Annual Meeting will be counted as votes “for” such proposal; or in the case of the election of directors, as a vote “for” election to the Board of all nominees presented by the Board.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do I vote my shares if they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If your shares are held through a bank, broker or other nominee, you are considered the beneficial owner of those shares; this is commonly referred to as holding shares in “street name”. You may be able to vote by telephone or electronically through the Internet in accordance with the voting instructions provided by that nominee. You must obtain a legal proxy from the nominee that holds your shares if you wish to vote in person at the Annual Meeting. If you do not provide voting instructions to your broker in advance of the Annual Meeting, The NASDAQ Stock Market LLC (“NASDAQ”) rules grant your broker discretionary authority to vote on “routine” proposals. The ratification of the appointment of the independent public accounting firm in Proposal No. 2 is the only item on the agenda for the Annual Meeting that is considered routine. Where a proposal is not “routine,” a broker who has received no instructions from a client does not have discretion to vote such client’s uninstructed shares on that proposal, and the unvoted shares are referred to as “broker non-votes.”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happens if not enough votes are received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In the event that sufficient votes in favor of the proposals are not received by the date of the Annual Meeting, the Chair of the Annual Meeting may adjourn the Annual Meeting to permit further solicitations of proxies.</w:t>
      </w:r>
    </w:p>
    <w:p>
      <w:pPr>
        <w:spacing w:after="0" w:line="121"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51</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do you know I voted over the telephone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telephone and Internet voting procedures are designed to authenticate shareholders’ identities, to allow shareholders to give their voting instructions and to confirm that shareholders’ instructions have been recorded properly.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Does it cost to vote over the telephone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Shareholders voting via the telephone or Internet should understand that there may be costs associated with telephonic or electronic access, such as usage charges from telephone companies and Internet access providers, which must be borne by the shareholder.</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Who pays for the solicitation of proxies and how are they 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expenses of soliciting proxies to be voted at the Annual Meeting will be paid by the Company. Following the original distribution of the proxies and other soliciting materials, the Company and/or its directors, officers or employees (for no additional compensation) may also solicit proxies in person, by telephone, or email. Following the original distribution of the proxies and other soliciting materials, we will request that banks, brokers and other nominees distribute the proxy and other soliciting materials to persons for whom they hold shares of common stock and request authority for the exercise of proxies. We will reimburse banks, brokers and other nominees for reasonable charges and expenses incurred in distributing soliciting materials to their clients.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May I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Any person submitting a proxy has the power to revoke it prior to the Annual Meeting or at the Annual Meeting prior to the vote. A proxy may be revoked by a writing delivered to the Company stating that the proxy is revoked, by (a) a subsequent proxy that is submitted via telephone or Internet no later than 1:00 a.m., Central Daylight Time, on June 17, 2021, (b) a subsequent proxy that is signed by the person who signed the earlier proxy and is delivered before or at the Annual Meeting, or (c) participating in person during the Annual Meeting and voting. In order for beneficial owners to change any of their previously reported voting instructions, they must contact their bank, broker or other nominee directly.</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You should be aware that simply attending the meeting will not automatically revoke your previously submitted proxy. If you desire to do so, you must notify an authorized Dave &amp; Buster’s representative at the Annual Meeting of your desire to revoke your proxy and then you must vote in person during the Annual Meeting.</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What is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We have adopted a procedure approved by the SEC called “householding” under which multiple shareholders who share the same address will receive only one copy of the Annual Report, Proxy Statement, or Notice of Internet Availability of Proxy Materials, as applicable, unless we receive contrary instructions from one or more of the shareholders. If you wish to opt out of householding and receive multiple copies of the proxy materials at the same address, or if you have previously opted out and wish to participate in householding, you may do so by notifying us by mail at Dave &amp; Buster’s Entertainment, Inc., 2481 Mañana Drive, Dallas, TX 75220; Attn: Investor Relations or by email at </w:t>
      </w:r>
      <w:r>
        <w:rPr>
          <w:rFonts w:ascii="Arial" w:cs="Arial" w:eastAsia="Arial" w:hAnsi="Arial"/>
          <w:sz w:val="18"/>
          <w:szCs w:val="18"/>
          <w:u w:val="single" w:color="auto"/>
          <w:color w:val="auto"/>
        </w:rPr>
        <w:t>investorrelations@daveandbusters.com</w:t>
      </w:r>
      <w:r>
        <w:rPr>
          <w:rFonts w:ascii="Arial" w:cs="Arial" w:eastAsia="Arial" w:hAnsi="Arial"/>
          <w:sz w:val="18"/>
          <w:szCs w:val="18"/>
          <w:color w:val="auto"/>
        </w:rPr>
        <w:t>. You may also request additional copies of the proxy materials by notifying us in writing at the same address or email address. Shareholders with shares registered in the name of a brokerage firm or bank may contact their brokerage firm or bank to request information about householding.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May I receive paper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Beginning on May 5, 2021, we mailed notice to all shareholders entitled to vote at the Annual Meeting a Notice Regarding the Availability of Proxy Materials with instructions on how to access our proxy materials over the Internet and how to vote. If you received a notice and would prefer to receive paper copies of the proxy materials, you may notify us at the email address and mailing address provided above.</w:t>
      </w:r>
    </w:p>
    <w:p>
      <w:pPr>
        <w:spacing w:after="0" w:line="127"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52</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will my proxy get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you vote over the phone or the internet or properly fill in and return a paper proxy card (if requested), the designated proxies (Brian A. Jenkins and Robert W. Edmund) will vote your shares as you have directed. If you submit a paper proxy card, but do not make specific choices, the designated proxies will vote your shares as recommended by the Board of Directors as follows: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election of all nine nominees for director;</w:t>
      </w:r>
    </w:p>
    <w:p>
      <w:pPr>
        <w:ind w:left="120"/>
        <w:spacing w:after="0" w:line="234" w:lineRule="auto"/>
        <w:rPr>
          <w:sz w:val="20"/>
          <w:szCs w:val="20"/>
          <w:color w:val="auto"/>
        </w:rPr>
      </w:pPr>
      <w:r>
        <w:rPr>
          <w:rFonts w:ascii="Arial" w:cs="Arial" w:eastAsia="Arial" w:hAnsi="Arial"/>
          <w:sz w:val="18"/>
          <w:szCs w:val="18"/>
          <w:color w:val="auto"/>
        </w:rPr>
        <w:t>FOR ratification of KPMG LLP as our independent registered public accounting firm for fiscal 2021;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approval, in an advisory, non-binding vote, of the compensation of our named executive officers; and</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How will voting on “any other business”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Although we do not know of any business to be considered at the Annual Meeting other than the proposals described in this Proxy Statement, if any additional business is properly brought before the Annual Meeting, your signed or electronically transmitted proxy card gives authority to the designated proxies to vote on such matters in their discretion.</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We have hired a third party, Computershare, to be our inspector of elections, be responsible for determining whether a quorum is present, and tabulate votes casted by proxy or in person during the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Where can I find the final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will announce general voting results at the Annual Meeting and publish final detailed voting results in a Form 8-K filed with the SEC within four business days following the Annual Meeting.</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4C4C4C"/>
        </w:rPr>
        <w:t>May shareholders ask questions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Yes, our representatives will answer your questions after the conclusion of the formal business of the Annual Meeting. In order to give a greater number of shareholders an opportunity to ask questions, we may impose certain procedural requirements, such as limiting repetitive or follow-up questions, limiting the amount of time for questions, or requiring questions to be submitted in writing.</w:t>
      </w:r>
    </w:p>
    <w:p>
      <w:pPr>
        <w:spacing w:after="0" w:line="173" w:lineRule="exact"/>
        <w:rPr>
          <w:sz w:val="20"/>
          <w:szCs w:val="20"/>
          <w:color w:val="auto"/>
        </w:rPr>
      </w:pPr>
    </w:p>
    <w:p>
      <w:pPr>
        <w:ind w:left="120" w:right="440"/>
        <w:spacing w:after="0" w:line="288" w:lineRule="auto"/>
        <w:rPr>
          <w:sz w:val="20"/>
          <w:szCs w:val="20"/>
          <w:color w:val="auto"/>
        </w:rPr>
      </w:pPr>
      <w:r>
        <w:rPr>
          <w:rFonts w:ascii="Arial" w:cs="Arial" w:eastAsia="Arial" w:hAnsi="Arial"/>
          <w:sz w:val="25"/>
          <w:szCs w:val="25"/>
          <w:b w:val="1"/>
          <w:bCs w:val="1"/>
          <w:color w:val="4C4C4C"/>
        </w:rPr>
        <w:t>How long may I rely upon the information in this Proxy Statement? May I rely upon other materials as well regarding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You should rely upon the information contained in this Proxy Statement to vote on the proposals at the Annual Meeting. We have not authorized anyone to provide you with information that is different from what is contained in this Proxy Statement. This Proxy Statement is dated May 5, 2021. You should not assume that the information contained in this Proxy Statement is accurate as of any date other than such date, unless otherwise indicated in this Proxy Statement, and the mailing of the Proxy Statement to you shall not create any implication to the contrary. We would encourage you to check our website or the SEC’s website for any required updates that we may make between the date of this Proxy Statement and the date of the Annual Meeting.</w:t>
      </w:r>
    </w:p>
    <w:p>
      <w:pPr>
        <w:spacing w:after="0" w:line="129" w:lineRule="exact"/>
        <w:rPr>
          <w:sz w:val="20"/>
          <w:szCs w:val="20"/>
          <w:color w:val="auto"/>
        </w:rPr>
      </w:pPr>
    </w:p>
    <w:p>
      <w:pPr>
        <w:ind w:left="120"/>
        <w:spacing w:after="0"/>
        <w:tabs>
          <w:tab w:leader="none" w:pos="5620" w:val="left"/>
          <w:tab w:leader="none" w:pos="92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8"/>
          <w:szCs w:val="18"/>
          <w:b w:val="1"/>
          <w:bCs w:val="1"/>
          <w:color w:val="4C4C4C"/>
        </w:rPr>
        <w:t>53</w:t>
      </w:r>
      <w:r>
        <w:rPr>
          <w:sz w:val="20"/>
          <w:szCs w:val="20"/>
          <w:color w:val="auto"/>
        </w:rPr>
        <w:tab/>
      </w:r>
      <w:r>
        <w:rPr>
          <w:rFonts w:ascii="Arial" w:cs="Arial" w:eastAsia="Arial" w:hAnsi="Arial"/>
          <w:sz w:val="18"/>
          <w:szCs w:val="18"/>
          <w:b w:val="1"/>
          <w:bCs w:val="1"/>
          <w:color w:val="003B71"/>
        </w:rPr>
        <w:t>Eat Drink Play Watch</w:t>
      </w:r>
      <w:r>
        <w:rPr>
          <w:rFonts w:ascii="Arial" w:cs="Arial" w:eastAsia="Arial" w:hAnsi="Arial"/>
          <w:sz w:val="15"/>
          <w:szCs w:val="15"/>
          <w:b w:val="1"/>
          <w:bCs w:val="1"/>
          <w:color w:val="003B7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004CTN3059</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5246370" cy="67894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5246370" cy="67894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5246370" cy="67894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5246370" cy="67894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lvl w:ilvl="1">
      <w:lvlJc w:val="left"/>
      <w:lvlText w:val="(%2)"/>
      <w:numFmt w:val="decimal"/>
      <w:start w:val="1"/>
    </w:lvl>
  </w:abstractNum>
  <w:abstractNum w:abstractNumId="5">
    <w:nsid w:val="180115BE"/>
    <w:multiLevelType w:val="hybridMultilevel"/>
    <w:lvl w:ilvl="0">
      <w:lvlJc w:val="left"/>
      <w:lvlText w:val="(%1)"/>
      <w:numFmt w:val="decimal"/>
      <w:start w:val="3"/>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I"/>
      <w:numFmt w:val="bullet"/>
      <w:start w:val="1"/>
    </w:lvl>
  </w:abstractNum>
  <w:abstractNum w:abstractNumId="8">
    <w:nsid w:val="354FE9F9"/>
    <w:multiLevelType w:val="hybridMultilevel"/>
    <w:lvl w:ilvl="0">
      <w:lvlJc w:val="left"/>
      <w:lvlText w:val="C"/>
      <w:numFmt w:val="bullet"/>
      <w:start w:val="1"/>
    </w:lvl>
  </w:abstractNum>
  <w:abstractNum w:abstractNumId="9">
    <w:nsid w:val="15B5AF5C"/>
    <w:multiLevelType w:val="hybridMultilevel"/>
    <w:lvl w:ilvl="0">
      <w:lvlJc w:val="left"/>
      <w:lvlText w:val="(%1)"/>
      <w:numFmt w:val="decimal"/>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lvl w:ilvl="1">
      <w:lvlJc w:val="left"/>
      <w:lvlText w:val="-"/>
      <w:numFmt w:val="bullet"/>
      <w:start w:val="1"/>
    </w:lvl>
  </w:abstractNum>
  <w:abstractNum w:abstractNumId="15">
    <w:nsid w:val="7E0C57B1"/>
    <w:multiLevelType w:val="hybridMultilevel"/>
    <w:lvl w:ilvl="0">
      <w:lvlJc w:val="left"/>
      <w:lvlText w:val="•"/>
      <w:numFmt w:val="bullet"/>
      <w:start w:val="1"/>
    </w:lvl>
    <w:lvl w:ilvl="1">
      <w:lvlJc w:val="left"/>
      <w:lvlText w:val="-"/>
      <w:numFmt w:val="bullet"/>
      <w:start w:val="1"/>
    </w:lvl>
  </w:abstractNum>
  <w:abstractNum w:abstractNumId="16">
    <w:nsid w:val="77AE35EB"/>
    <w:multiLevelType w:val="hybridMultilevel"/>
    <w:lvl w:ilvl="0">
      <w:lvlJc w:val="left"/>
      <w:lvlText w:val="•"/>
      <w:numFmt w:val="bullet"/>
      <w:start w:val="1"/>
    </w:lvl>
    <w:lvl w:ilvl="1">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lvl w:ilvl="1">
      <w:lvlJc w:val="left"/>
      <w:lvlText w:val="•"/>
      <w:numFmt w:val="bullet"/>
      <w:start w:val="1"/>
    </w:lvl>
  </w:abstractNum>
  <w:abstractNum w:abstractNumId="19">
    <w:nsid w:val="5FF87E05"/>
    <w:multiLevelType w:val="hybridMultilevel"/>
    <w:lvl w:ilvl="0">
      <w:lvlJc w:val="left"/>
      <w:lvlText w:val="-"/>
      <w:numFmt w:val="bullet"/>
      <w:start w:val="1"/>
    </w:lvl>
    <w:lvl w:ilvl="1">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lvl w:ilvl="1">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lvl w:ilvl="1">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lvl w:ilvl="1">
      <w:lvlJc w:val="left"/>
      <w:lvlText w:val="•"/>
      <w:numFmt w:val="bullet"/>
      <w:start w:val="1"/>
    </w:lvl>
  </w:abstractNum>
  <w:abstractNum w:abstractNumId="26">
    <w:nsid w:val="5DB70AE5"/>
    <w:multiLevelType w:val="hybridMultilevel"/>
    <w:lvl w:ilvl="0">
      <w:lvlJc w:val="left"/>
      <w:lvlText w:val="-"/>
      <w:numFmt w:val="bullet"/>
      <w:start w:val="1"/>
    </w:lvl>
    <w:lvl w:ilvl="1">
      <w:lvlJc w:val="left"/>
      <w:lvlText w:val="•"/>
      <w:numFmt w:val="bullet"/>
      <w:start w:val="1"/>
    </w:lvl>
  </w:abstractNum>
  <w:abstractNum w:abstractNumId="27">
    <w:nsid w:val="100F8FCA"/>
    <w:multiLevelType w:val="hybridMultilevel"/>
    <w:lvl w:ilvl="0">
      <w:lvlJc w:val="left"/>
      <w:lvlText w:val="-"/>
      <w:numFmt w:val="bullet"/>
      <w:start w:val="1"/>
    </w:lvl>
    <w:lvl w:ilvl="1">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lvl w:ilvl="1">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lvl w:ilvl="1">
      <w:lvlJc w:val="left"/>
      <w:lvlText w:val="•"/>
      <w:numFmt w:val="bullet"/>
      <w:start w:val="1"/>
    </w:lvl>
  </w:abstractNum>
  <w:abstractNum w:abstractNumId="33">
    <w:nsid w:val="6B94764"/>
    <w:multiLevelType w:val="hybridMultilevel"/>
    <w:lvl w:ilvl="0">
      <w:lvlJc w:val="left"/>
      <w:lvlText w:val="-"/>
      <w:numFmt w:val="bullet"/>
      <w:start w:val="1"/>
    </w:lvl>
    <w:lvl w:ilvl="1">
      <w:lvlJc w:val="left"/>
      <w:lvlText w:val="•"/>
      <w:numFmt w:val="bullet"/>
      <w:start w:val="1"/>
    </w:lvl>
  </w:abstractNum>
  <w:abstractNum w:abstractNumId="34">
    <w:nsid w:val="42C296BD"/>
    <w:multiLevelType w:val="hybridMultilevel"/>
    <w:lvl w:ilvl="0">
      <w:lvlJc w:val="left"/>
      <w:lvlText w:val="-"/>
      <w:numFmt w:val="bullet"/>
      <w:start w:val="1"/>
    </w:lvl>
    <w:lvl w:ilvl="1">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lvl w:ilvl="1">
      <w:lvlJc w:val="left"/>
      <w:lvlText w:val="•"/>
      <w:numFmt w:val="bullet"/>
      <w:start w:val="1"/>
    </w:lvl>
  </w:abstractNum>
  <w:abstractNum w:abstractNumId="37">
    <w:nsid w:val="661E3F1E"/>
    <w:multiLevelType w:val="hybridMultilevel"/>
    <w:lvl w:ilvl="0">
      <w:lvlJc w:val="left"/>
      <w:lvlText w:val="-"/>
      <w:numFmt w:val="bullet"/>
      <w:start w:val="1"/>
    </w:lvl>
    <w:lvl w:ilvl="1">
      <w:lvlJc w:val="left"/>
      <w:lvlText w:val="•"/>
      <w:numFmt w:val="bullet"/>
      <w:start w:val="1"/>
    </w:lvl>
  </w:abstractNum>
  <w:abstractNum w:abstractNumId="38">
    <w:nsid w:val="5DC79EA8"/>
    <w:multiLevelType w:val="hybridMultilevel"/>
    <w:lvl w:ilvl="0">
      <w:lvlJc w:val="left"/>
      <w:lvlText w:val="-"/>
      <w:numFmt w:val="bullet"/>
      <w:start w:val="1"/>
    </w:lvl>
    <w:lvl w:ilvl="1">
      <w:lvlJc w:val="left"/>
      <w:lvlText w:val="•"/>
      <w:numFmt w:val="bullet"/>
      <w:start w:val="1"/>
    </w:lvl>
  </w:abstractNum>
  <w:abstractNum w:abstractNumId="39">
    <w:nsid w:val="540A471C"/>
    <w:multiLevelType w:val="hybridMultilevel"/>
    <w:lvl w:ilvl="0">
      <w:lvlJc w:val="left"/>
      <w:lvlText w:val="-"/>
      <w:numFmt w:val="bullet"/>
      <w:start w:val="1"/>
    </w:lvl>
    <w:lvl w:ilvl="1">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lvl w:ilvl="1">
      <w:lvlJc w:val="left"/>
      <w:lvlText w:val="•"/>
      <w:numFmt w:val="bullet"/>
      <w:start w:val="1"/>
    </w:lvl>
  </w:abstractNum>
  <w:abstractNum w:abstractNumId="43">
    <w:nsid w:val="BF72B14"/>
    <w:multiLevelType w:val="hybridMultilevel"/>
    <w:lvl w:ilvl="0">
      <w:lvlJc w:val="left"/>
      <w:lvlText w:val="-"/>
      <w:numFmt w:val="bullet"/>
      <w:start w:val="1"/>
    </w:lvl>
    <w:lvl w:ilvl="1">
      <w:lvlJc w:val="left"/>
      <w:lvlText w:val="•"/>
      <w:numFmt w:val="bullet"/>
      <w:start w:val="1"/>
    </w:lvl>
  </w:abstractNum>
  <w:abstractNum w:abstractNumId="44">
    <w:nsid w:val="11447B73"/>
    <w:multiLevelType w:val="hybridMultilevel"/>
    <w:lvl w:ilvl="0">
      <w:lvlJc w:val="left"/>
      <w:lvlText w:val="-"/>
      <w:numFmt w:val="bullet"/>
      <w:start w:val="1"/>
    </w:lvl>
    <w:lvl w:ilvl="1">
      <w:lvlJc w:val="left"/>
      <w:lvlText w:val="•"/>
      <w:numFmt w:val="bullet"/>
      <w:start w:val="1"/>
    </w:lvl>
  </w:abstractNum>
  <w:abstractNum w:abstractNumId="45">
    <w:nsid w:val="42963E5A"/>
    <w:multiLevelType w:val="hybridMultilevel"/>
    <w:lvl w:ilvl="0">
      <w:lvlJc w:val="left"/>
      <w:lvlText w:val="-"/>
      <w:numFmt w:val="bullet"/>
      <w:start w:val="1"/>
    </w:lvl>
    <w:lvl w:ilvl="1">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lvl w:ilvl="1">
      <w:lvlJc w:val="left"/>
      <w:lvlText w:val="•"/>
      <w:numFmt w:val="bullet"/>
      <w:start w:val="1"/>
    </w:lvl>
  </w:abstractNum>
  <w:abstractNum w:abstractNumId="48">
    <w:nsid w:val="1A32234B"/>
    <w:multiLevelType w:val="hybridMultilevel"/>
    <w:lvl w:ilvl="0">
      <w:lvlJc w:val="left"/>
      <w:lvlText w:val="-"/>
      <w:numFmt w:val="bullet"/>
      <w:start w:val="1"/>
    </w:lvl>
    <w:lvl w:ilvl="1">
      <w:lvlJc w:val="left"/>
      <w:lvlText w:val="•"/>
      <w:numFmt w:val="bullet"/>
      <w:start w:val="1"/>
    </w:lvl>
  </w:abstractNum>
  <w:abstractNum w:abstractNumId="49">
    <w:nsid w:val="3B0FD379"/>
    <w:multiLevelType w:val="hybridMultilevel"/>
    <w:lvl w:ilvl="0">
      <w:lvlJc w:val="left"/>
      <w:lvlText w:val="-"/>
      <w:numFmt w:val="bullet"/>
      <w:start w:val="1"/>
    </w:lvl>
    <w:lvl w:ilvl="1">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lvl w:ilvl="1">
      <w:lvlJc w:val="left"/>
      <w:lvlText w:val="•"/>
      <w:numFmt w:val="bullet"/>
      <w:start w:val="1"/>
    </w:lvl>
  </w:abstractNum>
  <w:abstractNum w:abstractNumId="56">
    <w:nsid w:val="1A27709E"/>
    <w:multiLevelType w:val="hybridMultilevel"/>
    <w:lvl w:ilvl="0">
      <w:lvlJc w:val="left"/>
      <w:lvlText w:val="-"/>
      <w:numFmt w:val="bullet"/>
      <w:start w:val="1"/>
    </w:lvl>
    <w:lvl w:ilvl="1">
      <w:lvlJc w:val="left"/>
      <w:lvlText w:val="•"/>
      <w:numFmt w:val="bullet"/>
      <w:start w:val="1"/>
    </w:lvl>
  </w:abstractNum>
  <w:abstractNum w:abstractNumId="57">
    <w:nsid w:val="71EA1109"/>
    <w:multiLevelType w:val="hybridMultilevel"/>
    <w:lvl w:ilvl="0">
      <w:lvlJc w:val="left"/>
      <w:lvlText w:val="-"/>
      <w:numFmt w:val="bullet"/>
      <w:start w:val="1"/>
    </w:lvl>
    <w:lvl w:ilvl="1">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1)"/>
      <w:numFmt w:val="decimal"/>
      <w:start w:val="1"/>
    </w:lvl>
  </w:abstractNum>
  <w:abstractNum w:abstractNumId="61">
    <w:nsid w:val="6F6DD9AC"/>
    <w:multiLevelType w:val="hybridMultilevel"/>
    <w:lvl w:ilvl="0">
      <w:lvlJc w:val="left"/>
      <w:lvlText w:val="(%1)"/>
      <w:numFmt w:val="decimal"/>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1)"/>
      <w:numFmt w:val="decimal"/>
      <w:start w:val="1"/>
    </w:lvl>
  </w:abstractNum>
  <w:abstractNum w:abstractNumId="65">
    <w:nsid w:val="4C04A8AF"/>
    <w:multiLevelType w:val="hybridMultilevel"/>
    <w:lvl w:ilvl="0">
      <w:lvlJc w:val="left"/>
      <w:lvlText w:val="(%1)"/>
      <w:numFmt w:val="decimal"/>
      <w:start w:val="16"/>
    </w:lvl>
  </w:abstractNum>
  <w:abstractNum w:abstractNumId="66">
    <w:nsid w:val="1716703B"/>
    <w:multiLevelType w:val="hybridMultilevel"/>
    <w:lvl w:ilvl="0">
      <w:lvlJc w:val="left"/>
      <w:lvlText w:val="\endash "/>
      <w:numFmt w:val="bullet"/>
      <w:start w:val="1"/>
    </w:lvl>
  </w:abstractNum>
  <w:abstractNum w:abstractNumId="67">
    <w:nsid w:val="14E17E33"/>
    <w:multiLevelType w:val="hybridMultilevel"/>
    <w:lvl w:ilvl="0">
      <w:lvlJc w:val="left"/>
      <w:lvlText w:val="\endash "/>
      <w:numFmt w:val="bullet"/>
      <w:start w:val="1"/>
    </w:lvl>
    <w:lvl w:ilvl="1">
      <w:lvlJc w:val="left"/>
      <w:lvlText w:val="•"/>
      <w:numFmt w:val="bullet"/>
      <w:start w:val="1"/>
    </w:lvl>
  </w:abstractNum>
  <w:abstractNum w:abstractNumId="68">
    <w:nsid w:val="3222E7CD"/>
    <w:multiLevelType w:val="hybridMultilevel"/>
    <w:lvl w:ilvl="0">
      <w:lvlJc w:val="left"/>
      <w:lvlText w:val="\endash "/>
      <w:numFmt w:val="bullet"/>
      <w:start w:val="1"/>
    </w:lvl>
    <w:lvl w:ilvl="1">
      <w:lvlJc w:val="left"/>
      <w:lvlText w:val="•"/>
      <w:numFmt w:val="bullet"/>
      <w:start w:val="1"/>
    </w:lvl>
  </w:abstractNum>
  <w:abstractNum w:abstractNumId="69">
    <w:nsid w:val="74DE0EE3"/>
    <w:multiLevelType w:val="hybridMultilevel"/>
    <w:lvl w:ilvl="0">
      <w:lvlJc w:val="left"/>
      <w:lvlText w:val="\endash "/>
      <w:numFmt w:val="bullet"/>
      <w:start w:val="1"/>
    </w:lvl>
  </w:abstractNum>
  <w:abstractNum w:abstractNumId="70">
    <w:nsid w:val="68EBC550"/>
    <w:multiLevelType w:val="hybridMultilevel"/>
    <w:lvl w:ilvl="0">
      <w:lvlJc w:val="left"/>
      <w:lvlText w:val="\endash "/>
      <w:numFmt w:val="bullet"/>
      <w:start w:val="1"/>
    </w:lvl>
  </w:abstractNum>
  <w:abstractNum w:abstractNumId="71">
    <w:nsid w:val="2DF6D648"/>
    <w:multiLevelType w:val="hybridMultilevel"/>
    <w:lvl w:ilvl="0">
      <w:lvlJc w:val="left"/>
      <w:lvlText w:val="\endash "/>
      <w:numFmt w:val="bullet"/>
      <w:start w:val="1"/>
    </w:lvl>
    <w:lvl w:ilvl="1">
      <w:lvlJc w:val="left"/>
      <w:lvlText w:val="•"/>
      <w:numFmt w:val="bullet"/>
      <w:start w:val="1"/>
    </w:lvl>
  </w:abstractNum>
  <w:abstractNum w:abstractNumId="72">
    <w:nsid w:val="46B7D447"/>
    <w:multiLevelType w:val="hybridMultilevel"/>
    <w:lvl w:ilvl="0">
      <w:lvlJc w:val="left"/>
      <w:lvlText w:val="\endash "/>
      <w:numFmt w:val="bullet"/>
      <w:start w:val="1"/>
    </w:lvl>
  </w:abstractNum>
  <w:abstractNum w:abstractNumId="73">
    <w:nsid w:val="4A2AC315"/>
    <w:multiLevelType w:val="hybridMultilevel"/>
    <w:lvl w:ilvl="0">
      <w:lvlJc w:val="left"/>
      <w:lvlText w:val="\endash "/>
      <w:numFmt w:val="bullet"/>
      <w:start w:val="1"/>
    </w:lvl>
    <w:lvl w:ilvl="1">
      <w:lvlJc w:val="left"/>
      <w:lvlText w:val="•"/>
      <w:numFmt w:val="bullet"/>
      <w:start w:val="1"/>
    </w:lvl>
  </w:abstractNum>
  <w:abstractNum w:abstractNumId="74">
    <w:nsid w:val="39EE015C"/>
    <w:multiLevelType w:val="hybridMultilevel"/>
    <w:lvl w:ilvl="0">
      <w:lvlJc w:val="left"/>
      <w:lvlText w:val="\endash "/>
      <w:numFmt w:val="bullet"/>
      <w:start w:val="1"/>
    </w:lvl>
  </w:abstractNum>
  <w:abstractNum w:abstractNumId="75">
    <w:nsid w:val="57FC4FBB"/>
    <w:multiLevelType w:val="hybridMultilevel"/>
    <w:lvl w:ilvl="0">
      <w:lvlJc w:val="left"/>
      <w:lvlText w:val="\endash "/>
      <w:numFmt w:val="bullet"/>
      <w:start w:val="1"/>
    </w:lvl>
  </w:abstractNum>
  <w:abstractNum w:abstractNumId="76">
    <w:nsid w:val="CC1016F"/>
    <w:multiLevelType w:val="hybridMultilevel"/>
    <w:lvl w:ilvl="0">
      <w:lvlJc w:val="left"/>
      <w:lvlText w:val="\endash "/>
      <w:numFmt w:val="bullet"/>
      <w:start w:val="1"/>
    </w:lvl>
    <w:lvl w:ilvl="1">
      <w:lvlJc w:val="left"/>
      <w:lvlText w:val="•"/>
      <w:numFmt w:val="bullet"/>
      <w:start w:val="1"/>
    </w:lvl>
  </w:abstractNum>
  <w:abstractNum w:abstractNumId="77">
    <w:nsid w:val="43F18422"/>
    <w:multiLevelType w:val="hybridMultilevel"/>
    <w:lvl w:ilvl="0">
      <w:lvlJc w:val="left"/>
      <w:lvlText w:val="\endash "/>
      <w:numFmt w:val="bullet"/>
      <w:start w:val="1"/>
    </w:lvl>
  </w:abstractNum>
  <w:abstractNum w:abstractNumId="78">
    <w:nsid w:val="60EF0119"/>
    <w:multiLevelType w:val="hybridMultilevel"/>
    <w:lvl w:ilvl="0">
      <w:lvlJc w:val="left"/>
      <w:lvlText w:val="\endash "/>
      <w:numFmt w:val="bullet"/>
      <w:start w:val="1"/>
    </w:lvl>
    <w:lvl w:ilvl="1">
      <w:lvlJc w:val="left"/>
      <w:lvlText w:val="•"/>
      <w:numFmt w:val="bullet"/>
      <w:start w:val="1"/>
    </w:lvl>
  </w:abstractNum>
  <w:abstractNum w:abstractNumId="79">
    <w:nsid w:val="26F324BA"/>
    <w:multiLevelType w:val="hybridMultilevel"/>
    <w:lvl w:ilvl="0">
      <w:lvlJc w:val="left"/>
      <w:lvlText w:val="\endash "/>
      <w:numFmt w:val="bullet"/>
      <w:start w:val="1"/>
    </w:lvl>
  </w:abstractNum>
  <w:abstractNum w:abstractNumId="80">
    <w:nsid w:val="7F01579B"/>
    <w:multiLevelType w:val="hybridMultilevel"/>
    <w:lvl w:ilvl="0">
      <w:lvlJc w:val="left"/>
      <w:lvlText w:val="\endash "/>
      <w:numFmt w:val="bullet"/>
      <w:start w:val="1"/>
    </w:lvl>
    <w:lvl w:ilvl="1">
      <w:lvlJc w:val="left"/>
      <w:lvlText w:val="•"/>
      <w:numFmt w:val="bullet"/>
      <w:start w:val="1"/>
    </w:lvl>
  </w:abstractNum>
  <w:abstractNum w:abstractNumId="81">
    <w:nsid w:val="49DA307D"/>
    <w:multiLevelType w:val="hybridMultilevel"/>
    <w:lvl w:ilvl="0">
      <w:lvlJc w:val="left"/>
      <w:lvlText w:val="\endash "/>
      <w:numFmt w:val="bullet"/>
      <w:start w:val="1"/>
    </w:lvl>
  </w:abstractNum>
  <w:abstractNum w:abstractNumId="82">
    <w:nsid w:val="7055A5F5"/>
    <w:multiLevelType w:val="hybridMultilevel"/>
    <w:lvl w:ilvl="0">
      <w:lvlJc w:val="left"/>
      <w:lvlText w:val="\endash "/>
      <w:numFmt w:val="bullet"/>
      <w:start w:val="1"/>
    </w:lvl>
    <w:lvl w:ilvl="1">
      <w:lvlJc w:val="left"/>
      <w:lvlText w:val="•"/>
      <w:numFmt w:val="bullet"/>
      <w:start w:val="1"/>
    </w:lvl>
  </w:abstractNum>
  <w:abstractNum w:abstractNumId="83">
    <w:nsid w:val="5FB8370B"/>
    <w:multiLevelType w:val="hybridMultilevel"/>
    <w:lvl w:ilvl="0">
      <w:lvlJc w:val="left"/>
      <w:lvlText w:val="\endash "/>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1)"/>
      <w:numFmt w:val="lowerRoman"/>
      <w:start w:val="1"/>
    </w:lvl>
  </w:abstractNum>
  <w:abstractNum w:abstractNumId="90">
    <w:nsid w:val="6A5F7029"/>
    <w:multiLevelType w:val="hybridMultilevel"/>
    <w:lvl w:ilvl="0">
      <w:lvlJc w:val="left"/>
      <w:lvlText w:val="(%1)"/>
      <w:numFmt w:val="lowerRoman"/>
      <w:start w:val="3"/>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1)"/>
      <w:numFmt w:val="decimal"/>
      <w:start w:val="1"/>
    </w:lvl>
  </w:abstractNum>
  <w:abstractNum w:abstractNumId="93">
    <w:nsid w:val="73A1821B"/>
    <w:multiLevelType w:val="hybridMultilevel"/>
    <w:lvl w:ilvl="0">
      <w:lvlJc w:val="left"/>
      <w:lvlText w:val="(%1)"/>
      <w:numFmt w:val="decimal"/>
      <w:start w:val="1"/>
    </w:lvl>
  </w:abstractNum>
  <w:abstractNum w:abstractNumId="94">
    <w:nsid w:val="7DE67713"/>
    <w:multiLevelType w:val="hybridMultilevel"/>
    <w:lvl w:ilvl="0">
      <w:lvlJc w:val="left"/>
      <w:lvlText w:val="(%1)"/>
      <w:numFmt w:val="decimal"/>
      <w:start w:val="1"/>
    </w:lvl>
  </w:abstractNum>
  <w:abstractNum w:abstractNumId="95">
    <w:nsid w:val="555C55B5"/>
    <w:multiLevelType w:val="hybridMultilevel"/>
    <w:lvl w:ilvl="0">
      <w:lvlJc w:val="left"/>
      <w:lvlText w:val="(%1)"/>
      <w:numFmt w:val="decimal"/>
      <w:start w:val="5"/>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decimal"/>
      <w:start w:val="1"/>
    </w:lvl>
  </w:abstractNum>
  <w:abstractNum w:abstractNumId="98">
    <w:nsid w:val="6A3DD3E8"/>
    <w:multiLevelType w:val="hybridMultilevel"/>
    <w:lvl w:ilvl="0">
      <w:lvlJc w:val="left"/>
      <w:lvlText w:val="(%1)"/>
      <w:numFmt w:val="decimal"/>
      <w:start w:val="1"/>
    </w:lvl>
  </w:abstractNum>
  <w:abstractNum w:abstractNumId="99">
    <w:nsid w:val="71C91298"/>
    <w:multiLevelType w:val="hybridMultilevel"/>
    <w:lvl w:ilvl="0">
      <w:lvlJc w:val="left"/>
      <w:lvlText w:val="(%1)"/>
      <w:numFmt w:val="decimal"/>
      <w:start w:val="8"/>
    </w:lvl>
  </w:abstractNum>
  <w:abstractNum w:abstractNumId="100">
    <w:nsid w:val="9DAF632"/>
    <w:multiLevelType w:val="hybridMultilevel"/>
    <w:lvl w:ilvl="0">
      <w:lvlJc w:val="left"/>
      <w:lvlText w:val="(%1)"/>
      <w:numFmt w:val="decimal"/>
      <w:start w:val="1"/>
    </w:lvl>
  </w:abstractNum>
  <w:abstractNum w:abstractNumId="101">
    <w:nsid w:val="53299938"/>
    <w:multiLevelType w:val="hybridMultilevel"/>
    <w:lvl w:ilvl="0">
      <w:lvlJc w:val="left"/>
      <w:lvlText w:val="(%1)"/>
      <w:numFmt w:val="decimal"/>
      <w:start w:val="1"/>
    </w:lvl>
  </w:abstractNum>
  <w:abstractNum w:abstractNumId="102">
    <w:nsid w:val="1FBFE8E0"/>
    <w:multiLevelType w:val="hybridMultilevel"/>
    <w:lvl w:ilvl="0">
      <w:lvlJc w:val="left"/>
      <w:lvlText w:val="(%1)"/>
      <w:numFmt w:val="lowerRoman"/>
      <w:start w:val="2"/>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1"/>
    </w:lvl>
  </w:abstractNum>
  <w:abstractNum w:abstractNumId="106">
    <w:nsid w:val="288F1A34"/>
    <w:multiLevelType w:val="hybridMultilevel"/>
    <w:lvl w:ilvl="0">
      <w:lvlJc w:val="left"/>
      <w:lvlText w:val="(%1)"/>
      <w:numFmt w:val="decimal"/>
      <w:start w:val="1"/>
    </w:lvl>
  </w:abstractNum>
  <w:abstractNum w:abstractNumId="107">
    <w:nsid w:val="2A155DBC"/>
    <w:multiLevelType w:val="hybridMultilevel"/>
    <w:lvl w:ilvl="0">
      <w:lvlJc w:val="left"/>
      <w:lvlText w:val="•"/>
      <w:numFmt w:val="bullet"/>
      <w:start w:val="1"/>
    </w:lvl>
  </w:abstractNum>
  <w:abstractNum w:abstractNumId="108">
    <w:nsid w:val="1D9F6E5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2021-05-05T08:18:06Z</dcterms:created>
  <dcterms:modified xsi:type="dcterms:W3CDTF">2021-05-05T08:18:06Z</dcterms:modified>
</cp:coreProperties>
</file>