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98"/>
        <w:gridCol w:w="463"/>
        <w:gridCol w:w="625"/>
        <w:gridCol w:w="1178"/>
        <w:gridCol w:w="1008"/>
        <w:gridCol w:w="9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93,034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69,025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Owned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 (the "Plan"). The restricted stock units will vest on May 6,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582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3254</Characters>
  <CharactersWithSpaces>3794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