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78"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MAY 5, 2026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6" w:lineRule="exact"/>
        <w:rPr>
          <w:sz w:val="24"/>
          <w:szCs w:val="24"/>
          <w:color w:val="auto"/>
        </w:rPr>
      </w:pPr>
    </w:p>
    <w:tbl>
      <w:tblPr>
        <w:tblLayout w:type="fixed"/>
        <w:tblInd w:w="3160" w:type="dxa"/>
        <w:tblCellMar>
          <w:top w:w="0" w:type="dxa"/>
          <w:left w:w="0" w:type="dxa"/>
          <w:bottom w:w="0" w:type="dxa"/>
          <w:right w:w="0" w:type="dxa"/>
        </w:tblCellMar>
      </w:tblPr>
      <w:tr>
        <w:trPr>
          <w:trHeight w:val="20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
        </w:trPr>
        <w:tc>
          <w:tcPr>
            <w:tcW w:w="3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344"/>
        </w:trPr>
        <w:tc>
          <w:tcPr>
            <w:tcW w:w="418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Commission File No. 001-35664</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3253740</wp:posOffset>
            </wp:positionH>
            <wp:positionV relativeFrom="paragraph">
              <wp:posOffset>68580</wp:posOffset>
            </wp:positionV>
            <wp:extent cx="634365"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436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Dave &amp; Buster’s Entertainment,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60" w:type="dxa"/>
            <w:vAlign w:val="bottom"/>
            <w:gridSpan w:val="3"/>
          </w:tcPr>
          <w:p>
            <w:pPr>
              <w:jc w:val="center"/>
              <w:ind w:left="5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80" w:type="dxa"/>
            <w:vAlign w:val="bottom"/>
          </w:tcPr>
          <w:p>
            <w:pPr>
              <w:spacing w:after="0"/>
              <w:rPr>
                <w:sz w:val="20"/>
                <w:szCs w:val="20"/>
                <w:color w:val="auto"/>
              </w:rPr>
            </w:pPr>
          </w:p>
        </w:tc>
        <w:tc>
          <w:tcPr>
            <w:tcW w:w="3780" w:type="dxa"/>
            <w:vAlign w:val="bottom"/>
            <w:gridSpan w:val="2"/>
          </w:tcPr>
          <w:p>
            <w:pPr>
              <w:jc w:val="right"/>
              <w:ind w:right="2282"/>
              <w:spacing w:after="0"/>
              <w:rPr>
                <w:sz w:val="20"/>
                <w:szCs w:val="20"/>
                <w:color w:val="auto"/>
              </w:rPr>
            </w:pPr>
            <w:r>
              <w:rPr>
                <w:rFonts w:ascii="Times New Roman" w:cs="Times New Roman" w:eastAsia="Times New Roman" w:hAnsi="Times New Roman"/>
                <w:sz w:val="18"/>
                <w:szCs w:val="18"/>
                <w:b w:val="1"/>
                <w:bCs w:val="1"/>
                <w:color w:val="auto"/>
              </w:rPr>
              <w:t>35-2382255</w:t>
            </w:r>
          </w:p>
        </w:tc>
      </w:tr>
      <w:tr>
        <w:trPr>
          <w:trHeight w:val="220"/>
        </w:trPr>
        <w:tc>
          <w:tcPr>
            <w:tcW w:w="4960" w:type="dxa"/>
            <w:vAlign w:val="bottom"/>
            <w:gridSpan w:val="3"/>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2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00" w:type="dxa"/>
            <w:vAlign w:val="bottom"/>
          </w:tcPr>
          <w:p>
            <w:pPr>
              <w:jc w:val="center"/>
              <w:ind w:right="1782"/>
              <w:spacing w:after="0"/>
              <w:rPr>
                <w:sz w:val="20"/>
                <w:szCs w:val="20"/>
                <w:color w:val="auto"/>
              </w:rPr>
            </w:pPr>
            <w:r>
              <w:rPr>
                <w:rFonts w:ascii="Times New Roman" w:cs="Times New Roman" w:eastAsia="Times New Roman" w:hAnsi="Times New Roman"/>
                <w:sz w:val="14"/>
                <w:szCs w:val="14"/>
                <w:b w:val="1"/>
                <w:bCs w:val="1"/>
                <w:color w:val="auto"/>
              </w:rPr>
              <w:t>(I.R.S. Employer ID)</w:t>
            </w:r>
          </w:p>
        </w:tc>
      </w:tr>
      <w:tr>
        <w:trPr>
          <w:trHeight w:val="334"/>
        </w:trPr>
        <w:tc>
          <w:tcPr>
            <w:tcW w:w="4960" w:type="dxa"/>
            <w:vAlign w:val="bottom"/>
            <w:gridSpan w:val="3"/>
          </w:tcPr>
          <w:p>
            <w:pPr>
              <w:jc w:val="center"/>
              <w:ind w:left="599"/>
              <w:spacing w:after="0"/>
              <w:rPr>
                <w:sz w:val="20"/>
                <w:szCs w:val="20"/>
                <w:color w:val="auto"/>
              </w:rPr>
            </w:pPr>
            <w:r>
              <w:rPr>
                <w:rFonts w:ascii="Times New Roman" w:cs="Times New Roman" w:eastAsia="Times New Roman" w:hAnsi="Times New Roman"/>
                <w:sz w:val="18"/>
                <w:szCs w:val="18"/>
                <w:b w:val="1"/>
                <w:bCs w:val="1"/>
                <w:color w:val="auto"/>
                <w:w w:val="99"/>
              </w:rPr>
              <w:t>1221 S. Belt Line Rd., Suite 500, Coppell, Texas, 75019</w:t>
            </w:r>
          </w:p>
        </w:tc>
        <w:tc>
          <w:tcPr>
            <w:tcW w:w="2480" w:type="dxa"/>
            <w:vAlign w:val="bottom"/>
          </w:tcPr>
          <w:p>
            <w:pPr>
              <w:spacing w:after="0"/>
              <w:rPr>
                <w:sz w:val="24"/>
                <w:szCs w:val="24"/>
                <w:color w:val="auto"/>
              </w:rPr>
            </w:pPr>
          </w:p>
        </w:tc>
        <w:tc>
          <w:tcPr>
            <w:tcW w:w="3780" w:type="dxa"/>
            <w:vAlign w:val="bottom"/>
            <w:gridSpan w:val="2"/>
          </w:tcPr>
          <w:p>
            <w:pPr>
              <w:jc w:val="right"/>
              <w:ind w:right="2142"/>
              <w:spacing w:after="0"/>
              <w:rPr>
                <w:sz w:val="20"/>
                <w:szCs w:val="20"/>
                <w:color w:val="auto"/>
              </w:rPr>
            </w:pPr>
            <w:r>
              <w:rPr>
                <w:rFonts w:ascii="Times New Roman" w:cs="Times New Roman" w:eastAsia="Times New Roman" w:hAnsi="Times New Roman"/>
                <w:sz w:val="18"/>
                <w:szCs w:val="18"/>
                <w:b w:val="1"/>
                <w:bCs w:val="1"/>
                <w:color w:val="auto"/>
              </w:rPr>
              <w:t>(214) 357-9588</w:t>
            </w:r>
          </w:p>
        </w:tc>
      </w:tr>
      <w:tr>
        <w:trPr>
          <w:trHeight w:val="219"/>
        </w:trPr>
        <w:tc>
          <w:tcPr>
            <w:tcW w:w="4960" w:type="dxa"/>
            <w:vAlign w:val="bottom"/>
            <w:gridSpan w:val="3"/>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2480" w:type="dxa"/>
            <w:vAlign w:val="bottom"/>
          </w:tcPr>
          <w:p>
            <w:pPr>
              <w:spacing w:after="0"/>
              <w:rPr>
                <w:sz w:val="19"/>
                <w:szCs w:val="19"/>
                <w:color w:val="auto"/>
              </w:rPr>
            </w:pPr>
          </w:p>
        </w:tc>
        <w:tc>
          <w:tcPr>
            <w:tcW w:w="3780" w:type="dxa"/>
            <w:vAlign w:val="bottom"/>
            <w:gridSpan w:val="2"/>
          </w:tcPr>
          <w:p>
            <w:pPr>
              <w:jc w:val="center"/>
              <w:ind w:right="1722"/>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r>
      <w:tr>
        <w:trPr>
          <w:trHeight w:val="743"/>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38"/>
        </w:trPr>
        <w:tc>
          <w:tcPr>
            <w:tcW w:w="4960" w:type="dxa"/>
            <w:vAlign w:val="bottom"/>
            <w:gridSpan w:val="3"/>
          </w:tcPr>
          <w:p>
            <w:pPr>
              <w:jc w:val="center"/>
              <w:ind w:right="120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80" w:type="dxa"/>
            <w:vAlign w:val="bottom"/>
          </w:tcPr>
          <w:p>
            <w:pPr>
              <w:jc w:val="center"/>
              <w:ind w:right="113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r>
      <w:tr>
        <w:trPr>
          <w:trHeight w:val="237"/>
        </w:trPr>
        <w:tc>
          <w:tcPr>
            <w:tcW w:w="4960" w:type="dxa"/>
            <w:vAlign w:val="bottom"/>
            <w:gridSpan w:val="3"/>
          </w:tcPr>
          <w:p>
            <w:pPr>
              <w:jc w:val="center"/>
              <w:ind w:right="1208"/>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2480" w:type="dxa"/>
            <w:vAlign w:val="bottom"/>
          </w:tcPr>
          <w:p>
            <w:pPr>
              <w:jc w:val="center"/>
              <w:ind w:right="1119"/>
              <w:spacing w:after="0"/>
              <w:rPr>
                <w:sz w:val="20"/>
                <w:szCs w:val="20"/>
                <w:color w:val="auto"/>
              </w:rPr>
            </w:pPr>
            <w:r>
              <w:rPr>
                <w:rFonts w:ascii="Times New Roman" w:cs="Times New Roman" w:eastAsia="Times New Roman" w:hAnsi="Times New Roman"/>
                <w:sz w:val="18"/>
                <w:szCs w:val="18"/>
                <w:b w:val="1"/>
                <w:bCs w:val="1"/>
                <w:color w:val="auto"/>
                <w:w w:val="97"/>
              </w:rPr>
              <w:t>PLAY</w:t>
            </w:r>
          </w:p>
        </w:tc>
        <w:tc>
          <w:tcPr>
            <w:tcW w:w="8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r>
    </w:tbl>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21"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14"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340"/>
              <w:spacing w:after="0"/>
              <w:rPr>
                <w:sz w:val="20"/>
                <w:szCs w:val="20"/>
                <w:color w:val="auto"/>
              </w:rPr>
            </w:pPr>
            <w:r>
              <w:rPr>
                <w:rFonts w:ascii="Wingdings" w:cs="Wingdings" w:eastAsia="Wingdings" w:hAnsi="Wingdings"/>
                <w:sz w:val="18"/>
                <w:szCs w:val="18"/>
                <w:b w:val="1"/>
                <w:bCs w:val="1"/>
                <w:color w:val="auto"/>
              </w:rPr>
              <w:t>x</w:t>
            </w:r>
          </w:p>
        </w:tc>
        <w:tc>
          <w:tcPr>
            <w:tcW w:w="49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70"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500" w:right="160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June 10, 2026, the registrant had 34,788,694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QUARTERLY PERIOD ENDED MAY 5,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7"/>
        </w:trPr>
        <w:tc>
          <w:tcPr>
            <w:tcW w:w="860" w:type="dxa"/>
            <w:vAlign w:val="bottom"/>
          </w:tcPr>
          <w:p>
            <w:pPr>
              <w:spacing w:after="0"/>
              <w:rPr>
                <w:sz w:val="2"/>
                <w:szCs w:val="2"/>
                <w:color w:val="auto"/>
              </w:rPr>
            </w:pPr>
          </w:p>
        </w:tc>
        <w:tc>
          <w:tcPr>
            <w:tcW w:w="9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0000FF"/>
              </w:rPr>
              <w:t>Item 1.</w:t>
            </w:r>
          </w:p>
        </w:tc>
        <w:tc>
          <w:tcPr>
            <w:tcW w:w="946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Financial Statements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w:t>
            </w: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0000FF"/>
              </w:rPr>
              <w:t>Item 2.</w:t>
            </w:r>
          </w:p>
        </w:tc>
        <w:tc>
          <w:tcPr>
            <w:tcW w:w="946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15</w:t>
            </w: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0000FF"/>
              </w:rPr>
              <w:t>Item 3.</w:t>
            </w:r>
          </w:p>
        </w:tc>
        <w:tc>
          <w:tcPr>
            <w:tcW w:w="946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26</w:t>
            </w: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0000FF"/>
              </w:rPr>
              <w:t>Item 4.</w:t>
            </w:r>
          </w:p>
        </w:tc>
        <w:tc>
          <w:tcPr>
            <w:tcW w:w="946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26</w:t>
            </w: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6460" w:type="dxa"/>
            <w:vAlign w:val="bottom"/>
          </w:tcPr>
          <w:p>
            <w:pPr>
              <w:spacing w:after="0"/>
              <w:rPr>
                <w:sz w:val="20"/>
                <w:szCs w:val="20"/>
                <w:color w:val="auto"/>
              </w:rPr>
            </w:pPr>
          </w:p>
        </w:tc>
      </w:tr>
      <w:tr>
        <w:trPr>
          <w:trHeight w:val="27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w:t>
            </w:r>
          </w:p>
        </w:tc>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Legal Proceedings</w:t>
            </w:r>
          </w:p>
        </w:tc>
        <w:tc>
          <w:tcPr>
            <w:tcW w:w="6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0000FF"/>
              </w:rPr>
              <w:t>27</w:t>
            </w:r>
          </w:p>
        </w:tc>
      </w:tr>
      <w:tr>
        <w:trPr>
          <w:trHeight w:val="27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1A.</w:t>
            </w:r>
          </w:p>
        </w:tc>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Risk Factors</w:t>
            </w:r>
          </w:p>
        </w:tc>
        <w:tc>
          <w:tcPr>
            <w:tcW w:w="6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0000FF"/>
              </w:rPr>
              <w:t>27</w:t>
            </w:r>
          </w:p>
        </w:tc>
      </w:tr>
      <w:tr>
        <w:trPr>
          <w:trHeight w:val="27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2.</w:t>
            </w:r>
          </w:p>
        </w:tc>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Unregistered Sales of Equity Securities</w:t>
            </w:r>
          </w:p>
        </w:tc>
        <w:tc>
          <w:tcPr>
            <w:tcW w:w="6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0000FF"/>
              </w:rPr>
              <w:t>27</w:t>
            </w:r>
          </w:p>
        </w:tc>
      </w:tr>
      <w:tr>
        <w:trPr>
          <w:trHeight w:val="27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5.</w:t>
            </w:r>
          </w:p>
        </w:tc>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Other Information</w:t>
            </w:r>
          </w:p>
        </w:tc>
        <w:tc>
          <w:tcPr>
            <w:tcW w:w="6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0000FF"/>
              </w:rPr>
              <w:t>27</w:t>
            </w:r>
          </w:p>
        </w:tc>
      </w:tr>
      <w:tr>
        <w:trPr>
          <w:trHeight w:val="27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6.</w:t>
            </w:r>
          </w:p>
        </w:tc>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Exhibits</w:t>
            </w:r>
          </w:p>
        </w:tc>
        <w:tc>
          <w:tcPr>
            <w:tcW w:w="6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0000FF"/>
              </w:rPr>
              <w:t>28</w:t>
            </w:r>
          </w:p>
        </w:tc>
      </w:tr>
      <w:tr>
        <w:trPr>
          <w:trHeight w:val="270"/>
        </w:trPr>
        <w:tc>
          <w:tcPr>
            <w:tcW w:w="920" w:type="dxa"/>
            <w:vAlign w:val="bottom"/>
          </w:tcPr>
          <w:p>
            <w:pPr>
              <w:spacing w:after="0"/>
              <w:rPr>
                <w:sz w:val="23"/>
                <w:szCs w:val="23"/>
                <w:color w:val="auto"/>
              </w:rPr>
            </w:pPr>
          </w:p>
        </w:tc>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Signatures</w:t>
            </w:r>
          </w:p>
        </w:tc>
        <w:tc>
          <w:tcPr>
            <w:tcW w:w="6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0000FF"/>
              </w:rPr>
              <w:t>29</w:t>
            </w:r>
          </w:p>
        </w:tc>
      </w:tr>
      <w:tr>
        <w:trPr>
          <w:trHeight w:val="931"/>
        </w:trPr>
        <w:tc>
          <w:tcPr>
            <w:tcW w:w="9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46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r>
        <w:trPr>
          <w:trHeight w:val="115"/>
        </w:trPr>
        <w:tc>
          <w:tcPr>
            <w:tcW w:w="92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6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180" w:type="dxa"/>
            <w:vAlign w:val="bottom"/>
          </w:tcPr>
          <w:p>
            <w:pPr>
              <w:spacing w:after="0"/>
              <w:rPr>
                <w:sz w:val="16"/>
                <w:szCs w:val="16"/>
                <w:color w:val="auto"/>
              </w:rPr>
            </w:pPr>
          </w:p>
        </w:tc>
        <w:tc>
          <w:tcPr>
            <w:tcW w:w="138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February 3, 2026</w:t>
            </w:r>
          </w:p>
        </w:tc>
        <w:tc>
          <w:tcPr>
            <w:tcW w:w="0" w:type="dxa"/>
            <w:vAlign w:val="bottom"/>
          </w:tcPr>
          <w:p>
            <w:pPr>
              <w:spacing w:after="0"/>
              <w:rPr>
                <w:sz w:val="1"/>
                <w:szCs w:val="1"/>
                <w:color w:val="auto"/>
              </w:rPr>
            </w:pPr>
          </w:p>
        </w:tc>
      </w:tr>
      <w:tr>
        <w:trPr>
          <w:trHeight w:val="37"/>
        </w:trPr>
        <w:tc>
          <w:tcPr>
            <w:tcW w:w="80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38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0" w:type="dxa"/>
            <w:vAlign w:val="bottom"/>
          </w:tcPr>
          <w:p>
            <w:pPr>
              <w:spacing w:after="0"/>
              <w:rPr>
                <w:sz w:val="1"/>
                <w:szCs w:val="1"/>
                <w:color w:val="auto"/>
              </w:rPr>
            </w:pPr>
          </w:p>
        </w:tc>
      </w:tr>
      <w:tr>
        <w:trPr>
          <w:trHeight w:val="260"/>
        </w:trPr>
        <w:tc>
          <w:tcPr>
            <w:tcW w:w="8000" w:type="dxa"/>
            <w:vAlign w:val="bottom"/>
          </w:tcPr>
          <w:p>
            <w:pPr>
              <w:ind w:left="37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3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3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taxes receivable</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4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3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$1,741.0 and $1,672.3 of accumulated depreciation as of May 5, 2026 and February 3,</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 respectively)</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1,719.0</w:t>
            </w:r>
          </w:p>
        </w:tc>
        <w:tc>
          <w:tcPr>
            <w:tcW w:w="0" w:type="dxa"/>
            <w:vAlign w:val="bottom"/>
          </w:tcPr>
          <w:p>
            <w:pPr>
              <w:spacing w:after="0"/>
              <w:rPr>
                <w:sz w:val="1"/>
                <w:szCs w:val="1"/>
                <w:color w:val="auto"/>
              </w:rPr>
            </w:pPr>
          </w:p>
        </w:tc>
      </w:tr>
      <w:tr>
        <w:trPr>
          <w:trHeight w:val="23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 net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1,303.2</w:t>
            </w: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3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Tradenames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742.6</w:t>
            </w:r>
          </w:p>
        </w:tc>
        <w:tc>
          <w:tcPr>
            <w:tcW w:w="0" w:type="dxa"/>
            <w:vAlign w:val="bottom"/>
          </w:tcPr>
          <w:p>
            <w:pPr>
              <w:spacing w:after="0"/>
              <w:rPr>
                <w:sz w:val="1"/>
                <w:szCs w:val="1"/>
                <w:color w:val="auto"/>
              </w:rPr>
            </w:pPr>
          </w:p>
        </w:tc>
      </w:tr>
      <w:tr>
        <w:trPr>
          <w:trHeight w:val="236"/>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 and deferred charges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68"/>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4,116.6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2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installments of long-term debt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3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434.6</w:t>
            </w:r>
          </w:p>
        </w:tc>
        <w:tc>
          <w:tcPr>
            <w:tcW w:w="0" w:type="dxa"/>
            <w:vAlign w:val="bottom"/>
          </w:tcPr>
          <w:p>
            <w:pPr>
              <w:spacing w:after="0"/>
              <w:rPr>
                <w:sz w:val="1"/>
                <w:szCs w:val="1"/>
                <w:color w:val="auto"/>
              </w:rPr>
            </w:pPr>
          </w:p>
        </w:tc>
      </w:tr>
      <w:tr>
        <w:trPr>
          <w:trHeight w:val="23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1,562.6</w:t>
            </w:r>
          </w:p>
        </w:tc>
        <w:tc>
          <w:tcPr>
            <w:tcW w:w="0" w:type="dxa"/>
            <w:vAlign w:val="bottom"/>
          </w:tcPr>
          <w:p>
            <w:pPr>
              <w:spacing w:after="0"/>
              <w:rPr>
                <w:sz w:val="1"/>
                <w:szCs w:val="1"/>
                <w:color w:val="auto"/>
              </w:rPr>
            </w:pPr>
          </w:p>
        </w:tc>
      </w:tr>
      <w:tr>
        <w:trPr>
          <w:trHeight w:val="23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1,515.0</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par value $0.01; authorized: 400.00 shares; issued: 63.51 shares as of May 5, 2026 and 63.47 as of</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3, 2026; outstanding: 34.79 shares as of May 5, 2026 and 34.75 as of February 3, 2026</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3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50.00 authorized; none issued</w:t>
            </w:r>
          </w:p>
        </w:tc>
        <w:tc>
          <w:tcPr>
            <w:tcW w:w="26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Paid-in capital</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629.5</w:t>
            </w:r>
          </w:p>
        </w:tc>
        <w:tc>
          <w:tcPr>
            <w:tcW w:w="0" w:type="dxa"/>
            <w:vAlign w:val="bottom"/>
          </w:tcPr>
          <w:p>
            <w:pPr>
              <w:spacing w:after="0"/>
              <w:rPr>
                <w:sz w:val="1"/>
                <w:szCs w:val="1"/>
                <w:color w:val="auto"/>
              </w:rPr>
            </w:pPr>
          </w:p>
        </w:tc>
      </w:tr>
      <w:tr>
        <w:trPr>
          <w:trHeight w:val="23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Treasury stock, 28.72 and 28.72 shares as of May 5, 2026 and February 3, 2026, respectively</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(1,146.6)</w:t>
            </w: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614.5</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0" w:type="dxa"/>
            <w:vAlign w:val="bottom"/>
          </w:tcPr>
          <w:p>
            <w:pPr>
              <w:spacing w:after="0"/>
              <w:rPr>
                <w:sz w:val="1"/>
                <w:szCs w:val="1"/>
                <w:color w:val="auto"/>
              </w:rPr>
            </w:pPr>
          </w:p>
        </w:tc>
      </w:tr>
      <w:tr>
        <w:trPr>
          <w:trHeight w:val="23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4,135.8</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4,116.6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00"/>
          </w:cols>
          <w:pgMar w:left="320" w:top="125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type w:val="continuous"/>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millions, except per share amounts; 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4"/>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37"/>
        </w:trPr>
        <w:tc>
          <w:tcPr>
            <w:tcW w:w="79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240" w:type="dxa"/>
            <w:vAlign w:val="bottom"/>
          </w:tcPr>
          <w:p>
            <w:pPr>
              <w:spacing w:after="0"/>
              <w:rPr>
                <w:sz w:val="16"/>
                <w:szCs w:val="16"/>
                <w:color w:val="auto"/>
              </w:rPr>
            </w:pP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May 6, 2025</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Entertainment 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Food and beverage revenues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567.7</w:t>
            </w:r>
          </w:p>
        </w:tc>
        <w:tc>
          <w:tcPr>
            <w:tcW w:w="0" w:type="dxa"/>
            <w:vAlign w:val="bottom"/>
          </w:tcPr>
          <w:p>
            <w:pPr>
              <w:spacing w:after="0"/>
              <w:rPr>
                <w:sz w:val="1"/>
                <w:szCs w:val="1"/>
                <w:color w:val="auto"/>
              </w:rPr>
            </w:pPr>
          </w:p>
        </w:tc>
      </w:tr>
      <w:tr>
        <w:trPr>
          <w:trHeight w:val="233"/>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Cost of entertainment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4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food and beverage</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0" w:type="dxa"/>
            <w:vAlign w:val="bottom"/>
          </w:tcPr>
          <w:p>
            <w:pPr>
              <w:spacing w:after="0"/>
              <w:rPr>
                <w:sz w:val="1"/>
                <w:szCs w:val="1"/>
                <w:color w:val="auto"/>
              </w:rPr>
            </w:pPr>
          </w:p>
        </w:tc>
      </w:tr>
      <w:tr>
        <w:trPr>
          <w:trHeight w:val="233"/>
        </w:trPr>
        <w:tc>
          <w:tcPr>
            <w:tcW w:w="7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cost of products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0" w:type="dxa"/>
            <w:vAlign w:val="bottom"/>
          </w:tcPr>
          <w:p>
            <w:pPr>
              <w:spacing w:after="0"/>
              <w:rPr>
                <w:sz w:val="1"/>
                <w:szCs w:val="1"/>
                <w:color w:val="auto"/>
              </w:rPr>
            </w:pPr>
          </w:p>
        </w:tc>
      </w:tr>
      <w:tr>
        <w:trPr>
          <w:trHeight w:val="25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payroll and benefits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0" w:type="dxa"/>
            <w:vAlign w:val="bottom"/>
          </w:tcPr>
          <w:p>
            <w:pPr>
              <w:spacing w:after="0"/>
              <w:rPr>
                <w:sz w:val="1"/>
                <w:szCs w:val="1"/>
                <w:color w:val="auto"/>
              </w:rPr>
            </w:pPr>
          </w:p>
        </w:tc>
      </w:tr>
      <w:tr>
        <w:trPr>
          <w:trHeight w:val="233"/>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Other store operating expenses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0" w:type="dxa"/>
            <w:vAlign w:val="bottom"/>
          </w:tcPr>
          <w:p>
            <w:pPr>
              <w:spacing w:after="0"/>
              <w:rPr>
                <w:sz w:val="1"/>
                <w:szCs w:val="1"/>
                <w:color w:val="auto"/>
              </w:rPr>
            </w:pPr>
          </w:p>
        </w:tc>
      </w:tr>
      <w:tr>
        <w:trPr>
          <w:trHeight w:val="25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33"/>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 expenses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0" w:type="dxa"/>
            <w:vAlign w:val="bottom"/>
          </w:tcPr>
          <w:p>
            <w:pPr>
              <w:spacing w:after="0"/>
              <w:rPr>
                <w:sz w:val="1"/>
                <w:szCs w:val="1"/>
                <w:color w:val="auto"/>
              </w:rPr>
            </w:pPr>
          </w:p>
        </w:tc>
      </w:tr>
      <w:tr>
        <w:trPr>
          <w:trHeight w:val="25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Pre-opening costs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charges and gains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37"/>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costs</w:t>
            </w:r>
          </w:p>
        </w:tc>
        <w:tc>
          <w:tcPr>
            <w:tcW w:w="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504.5</w:t>
            </w:r>
          </w:p>
        </w:tc>
        <w:tc>
          <w:tcPr>
            <w:tcW w:w="0" w:type="dxa"/>
            <w:vAlign w:val="bottom"/>
          </w:tcPr>
          <w:p>
            <w:pPr>
              <w:spacing w:after="0"/>
              <w:rPr>
                <w:sz w:val="1"/>
                <w:szCs w:val="1"/>
                <w:color w:val="auto"/>
              </w:rPr>
            </w:pPr>
          </w:p>
        </w:tc>
      </w:tr>
      <w:tr>
        <w:trPr>
          <w:trHeight w:val="233"/>
        </w:trPr>
        <w:tc>
          <w:tcPr>
            <w:tcW w:w="7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0" w:type="dxa"/>
            <w:vAlign w:val="bottom"/>
          </w:tcPr>
          <w:p>
            <w:pPr>
              <w:spacing w:after="0"/>
              <w:rPr>
                <w:sz w:val="1"/>
                <w:szCs w:val="1"/>
                <w:color w:val="auto"/>
              </w:rPr>
            </w:pPr>
          </w:p>
        </w:tc>
      </w:tr>
      <w:tr>
        <w:trPr>
          <w:trHeight w:val="24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33"/>
        </w:trPr>
        <w:tc>
          <w:tcPr>
            <w:tcW w:w="7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4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33"/>
        </w:trPr>
        <w:tc>
          <w:tcPr>
            <w:tcW w:w="7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4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foreign currency translation gain</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Total other comprehensive gain</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income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9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0" w:type="dxa"/>
            <w:vAlign w:val="bottom"/>
          </w:tcPr>
          <w:p>
            <w:pPr>
              <w:spacing w:after="0"/>
              <w:rPr>
                <w:sz w:val="1"/>
                <w:szCs w:val="1"/>
                <w:color w:val="auto"/>
              </w:rPr>
            </w:pPr>
          </w:p>
        </w:tc>
      </w:tr>
      <w:tr>
        <w:trPr>
          <w:trHeight w:val="223"/>
        </w:trPr>
        <w:tc>
          <w:tcPr>
            <w:tcW w:w="7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Pr>
          <w:p>
            <w:pPr>
              <w:spacing w:after="0"/>
              <w:rPr>
                <w:sz w:val="19"/>
                <w:szCs w:val="19"/>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0" w:type="dxa"/>
            <w:vAlign w:val="bottom"/>
          </w:tcPr>
          <w:p>
            <w:pPr>
              <w:spacing w:after="0"/>
              <w:rPr>
                <w:sz w:val="1"/>
                <w:szCs w:val="1"/>
                <w:color w:val="auto"/>
              </w:rPr>
            </w:pPr>
          </w:p>
        </w:tc>
      </w:tr>
      <w:tr>
        <w:trPr>
          <w:trHeight w:val="253"/>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used in per share calculations:</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w:t>
            </w:r>
          </w:p>
        </w:tc>
        <w:tc>
          <w:tcPr>
            <w:tcW w:w="0" w:type="dxa"/>
            <w:vAlign w:val="bottom"/>
          </w:tcPr>
          <w:p>
            <w:pPr>
              <w:spacing w:after="0"/>
              <w:rPr>
                <w:sz w:val="1"/>
                <w:szCs w:val="1"/>
                <w:color w:val="auto"/>
              </w:rPr>
            </w:pPr>
          </w:p>
        </w:tc>
      </w:tr>
      <w:tr>
        <w:trPr>
          <w:trHeight w:val="224"/>
        </w:trPr>
        <w:tc>
          <w:tcPr>
            <w:tcW w:w="7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millions; 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gridSpan w:val="10"/>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May 5, 2026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6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8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88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3160" w:type="dxa"/>
            <w:vAlign w:val="bottom"/>
          </w:tcPr>
          <w:p>
            <w:pPr>
              <w:spacing w:after="0"/>
              <w:rPr>
                <w:sz w:val="8"/>
                <w:szCs w:val="8"/>
                <w:color w:val="auto"/>
              </w:rPr>
            </w:pPr>
          </w:p>
        </w:tc>
        <w:tc>
          <w:tcPr>
            <w:tcW w:w="182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88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316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160" w:type="dxa"/>
            <w:vAlign w:val="bottom"/>
          </w:tcPr>
          <w:p>
            <w:pPr>
              <w:spacing w:after="0"/>
              <w:rPr>
                <w:sz w:val="17"/>
                <w:szCs w:val="17"/>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64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16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February 3, 2026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629.5</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8"/>
              </w:rPr>
              <w:t>(1,146.6)</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608.8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0" w:type="dxa"/>
            <w:vAlign w:val="bottom"/>
          </w:tcPr>
          <w:p>
            <w:pPr>
              <w:spacing w:after="0"/>
              <w:rPr>
                <w:sz w:val="1"/>
                <w:szCs w:val="1"/>
                <w:color w:val="auto"/>
              </w:rPr>
            </w:pPr>
          </w:p>
        </w:tc>
      </w:tr>
      <w:tr>
        <w:trPr>
          <w:trHeight w:val="23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foreign currency</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translation gain</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5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3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May 5, 2026</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8"/>
              </w:rPr>
              <w:t>(1,146.6)</w:t>
            </w:r>
          </w:p>
        </w:tc>
        <w:tc>
          <w:tcPr>
            <w:tcW w:w="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4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614.5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0" w:type="dxa"/>
            <w:vAlign w:val="bottom"/>
          </w:tcPr>
          <w:p>
            <w:pPr>
              <w:spacing w:after="0"/>
              <w:rPr>
                <w:sz w:val="1"/>
                <w:szCs w:val="1"/>
                <w:color w:val="auto"/>
              </w:rPr>
            </w:pPr>
          </w:p>
        </w:tc>
      </w:tr>
      <w:tr>
        <w:trPr>
          <w:trHeight w:val="900"/>
        </w:trPr>
        <w:tc>
          <w:tcPr>
            <w:tcW w:w="3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gridSpan w:val="10"/>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May 6, 2025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16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8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5"/>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160" w:type="dxa"/>
            <w:vAlign w:val="bottom"/>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8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16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160" w:type="dxa"/>
            <w:vAlign w:val="bottom"/>
          </w:tcPr>
          <w:p>
            <w:pPr>
              <w:spacing w:after="0"/>
              <w:rPr>
                <w:sz w:val="17"/>
                <w:szCs w:val="17"/>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64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16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February 4, 2025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609.9</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(1,120.6)</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0" w:type="dxa"/>
            <w:vAlign w:val="bottom"/>
          </w:tcPr>
          <w:p>
            <w:pPr>
              <w:spacing w:after="0"/>
              <w:rPr>
                <w:sz w:val="1"/>
                <w:szCs w:val="1"/>
                <w:color w:val="auto"/>
              </w:rPr>
            </w:pPr>
          </w:p>
        </w:tc>
      </w:tr>
      <w:tr>
        <w:trPr>
          <w:trHeight w:val="23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1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foreign currency</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translation gain</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3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5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7"/>
        </w:trPr>
        <w:tc>
          <w:tcPr>
            <w:tcW w:w="3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May 6, 2025</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(1,144.7)</w:t>
            </w:r>
          </w:p>
        </w:tc>
        <w:tc>
          <w:tcPr>
            <w:tcW w:w="20" w:type="dxa"/>
            <w:vAlign w:val="bottom"/>
          </w:tcPr>
          <w:p>
            <w:pPr>
              <w:spacing w:after="0"/>
              <w:rPr>
                <w:sz w:val="18"/>
                <w:szCs w:val="18"/>
                <w:color w:val="auto"/>
              </w:rPr>
            </w:pPr>
          </w:p>
        </w:tc>
        <w:tc>
          <w:tcPr>
            <w:tcW w:w="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0" w:type="dxa"/>
            <w:vAlign w:val="bottom"/>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679.2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43" w:right="35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millions; 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4"/>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37"/>
        </w:trPr>
        <w:tc>
          <w:tcPr>
            <w:tcW w:w="80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260" w:type="dxa"/>
            <w:vAlign w:val="bottom"/>
          </w:tcPr>
          <w:p>
            <w:pPr>
              <w:spacing w:after="0"/>
              <w:rPr>
                <w:sz w:val="16"/>
                <w:szCs w:val="16"/>
                <w:color w:val="auto"/>
              </w:rPr>
            </w:pP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May 6, 2025</w:t>
            </w:r>
          </w:p>
        </w:tc>
        <w:tc>
          <w:tcPr>
            <w:tcW w:w="0" w:type="dxa"/>
            <w:vAlign w:val="bottom"/>
          </w:tcPr>
          <w:p>
            <w:pPr>
              <w:spacing w:after="0"/>
              <w:rPr>
                <w:sz w:val="1"/>
                <w:szCs w:val="1"/>
                <w:color w:val="auto"/>
              </w:rPr>
            </w:pPr>
          </w:p>
        </w:tc>
      </w:tr>
      <w:tr>
        <w:trPr>
          <w:trHeight w:val="37"/>
        </w:trPr>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8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3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0" w:type="dxa"/>
            <w:vAlign w:val="bottom"/>
          </w:tcPr>
          <w:p>
            <w:pPr>
              <w:spacing w:after="0"/>
              <w:rPr>
                <w:sz w:val="1"/>
                <w:szCs w:val="1"/>
                <w:color w:val="auto"/>
              </w:rPr>
            </w:pPr>
          </w:p>
        </w:tc>
      </w:tr>
      <w:tr>
        <w:trPr>
          <w:trHeight w:val="23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taxes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3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3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receivable</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3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 and deferred charges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3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46"/>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6"/>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0" w:type="dxa"/>
            <w:vAlign w:val="bottom"/>
          </w:tcPr>
          <w:p>
            <w:pPr>
              <w:spacing w:after="0"/>
              <w:rPr>
                <w:sz w:val="1"/>
                <w:szCs w:val="1"/>
                <w:color w:val="auto"/>
              </w:rPr>
            </w:pPr>
          </w:p>
        </w:tc>
      </w:tr>
      <w:tr>
        <w:trPr>
          <w:trHeight w:val="220"/>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0" w:type="dxa"/>
            <w:vAlign w:val="bottom"/>
          </w:tcPr>
          <w:p>
            <w:pPr>
              <w:spacing w:after="0"/>
              <w:rPr>
                <w:sz w:val="1"/>
                <w:szCs w:val="1"/>
                <w:color w:val="auto"/>
              </w:rPr>
            </w:pPr>
          </w:p>
        </w:tc>
      </w:tr>
      <w:tr>
        <w:trPr>
          <w:trHeight w:val="237"/>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0" w:type="dxa"/>
            <w:vAlign w:val="bottom"/>
          </w:tcPr>
          <w:p>
            <w:pPr>
              <w:spacing w:after="0"/>
              <w:rPr>
                <w:sz w:val="1"/>
                <w:szCs w:val="1"/>
                <w:color w:val="auto"/>
              </w:rPr>
            </w:pPr>
          </w:p>
        </w:tc>
      </w:tr>
      <w:tr>
        <w:trPr>
          <w:trHeight w:val="220"/>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term loan and revolver</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0" w:type="dxa"/>
            <w:vAlign w:val="bottom"/>
          </w:tcPr>
          <w:p>
            <w:pPr>
              <w:spacing w:after="0"/>
              <w:rPr>
                <w:sz w:val="1"/>
                <w:szCs w:val="1"/>
                <w:color w:val="auto"/>
              </w:rPr>
            </w:pPr>
          </w:p>
        </w:tc>
      </w:tr>
      <w:tr>
        <w:trPr>
          <w:trHeight w:val="23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Term loan and revolver payments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sale-leaseback transactions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Principal payments on sale-leaseback financing</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Principal payments on finance leases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Repurchases of common stock under share repurchase program</w:t>
            </w:r>
          </w:p>
        </w:tc>
        <w:tc>
          <w:tcPr>
            <w:tcW w:w="26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36"/>
        </w:trPr>
        <w:tc>
          <w:tcPr>
            <w:tcW w:w="8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23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4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cash and cash equivalents</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cash and cash equivalents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accounts payable for the acquisition of property and equipment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23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paid/( refunds) for income taxes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for interest,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 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Dave &amp; Buster’s Entertainment, Inc. (referred to herein as the “Company,” “we,” “us” and “our”), any predecessor companies and its wholly-owned subsidiaries, including Dave &amp; Buster’s Holdings, Inc. (“D&amp;B Holdings”), which owns 100% of the outstanding common stock of Dave &amp; Buster’s, Inc. (“D&amp;B Inc”), the operating company. The Company, headquartered in Coppell, Texas, is a leading operator of high-volume entertainment and dining venues (“stores”) in North America for adults and families.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operates its business as one reportable operating segment, with two reporting units based on its major brands: Dave &amp; Buster's and Main Event. The Company has one reportable operating segment as both brands provide similar products and services to a similar customer base, are managed together by a single management team and share similar economic characteristics. See further discussion of segment consideration at Note 8 - Segment Information to the unaudited consolidated financial statements.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May 5, 2026, the Company opened one store. As of May 5, 2026, the Company owned and operated 244 stores in 44 states, Puerto Rico and one Canadian province.</w:t>
      </w:r>
    </w:p>
    <w:p>
      <w:pPr>
        <w:spacing w:after="0" w:line="50"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Calendar </w:t>
      </w:r>
      <w:r>
        <w:rPr>
          <w:rFonts w:ascii="Times New Roman" w:cs="Times New Roman" w:eastAsia="Times New Roman" w:hAnsi="Times New Roman"/>
          <w:sz w:val="18"/>
          <w:szCs w:val="18"/>
          <w:color w:val="auto"/>
        </w:rPr>
        <w:t>— We operate on a 52-week or 53-week fiscal year that ends on the Tuesday after the Monday closest to January 31. Each quarterly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reported has 13 weeks, except for 53-week fiscal years when the fourth quarter has 14 weeks. Fiscal 2026, which will end February 2, 2027, and fiscal 2025, which ended on February 3, 2026, both follow a 52-week calendar.</w:t>
      </w:r>
    </w:p>
    <w:p>
      <w:pPr>
        <w:spacing w:after="0" w:line="6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 The Company’s financial statements have been prepared in accordance with generally accepted accounting principles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(“GAAP”) in the United States for interim financial information as prescribed by the Securities and Exchange Commission (“SEC”). Accordingly, they do not include all the information and 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Our quarterly financial data should be read in conjunction with the audited financial statements and notes thereto for the year ended February 3, 2026, included in our Annual Report on Form 10-K as filed with the SEC on March 31, 2026.</w:t>
      </w:r>
    </w:p>
    <w:p>
      <w:pPr>
        <w:spacing w:after="0" w:line="7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us to make estimates and assumptions that affect the reported amounts of assets, liabilities, revenues and expenses and related disclosures of contingent assets and liabilities at the date of the consolidated financial statements and for the period then ended. Actual results could differ from those estimates. Operating results for the three months ended May 5, 2026 are not necessarily indicative of results that may be expected for any other interim period or for the full fiscal year ending February 2, 2027.</w:t>
      </w:r>
    </w:p>
    <w:p>
      <w:pPr>
        <w:spacing w:after="0" w:line="68"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We consider transaction settlements in process from credit card companies and all highly-liquid investments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can create book overdrafts. There were no book overdrafts as of May 5, 2026 or as of February 3, 2026.</w:t>
      </w:r>
    </w:p>
    <w:p>
      <w:pPr>
        <w:spacing w:after="0" w:line="68"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Financial Instruments </w:t>
      </w:r>
      <w:r>
        <w:rPr>
          <w:rFonts w:ascii="Times New Roman" w:cs="Times New Roman" w:eastAsia="Times New Roman" w:hAnsi="Times New Roman"/>
          <w:sz w:val="18"/>
          <w:szCs w:val="18"/>
          <w:color w:val="auto"/>
        </w:rPr>
        <w:t>— Fair value is defined as the price that would be received to sell an asset or paid to transfer a liability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orderly transaction between market participants at the measurement date under current market conditions. In determining fair value, the accounting standards establish a three-level hierarchy for inputs used in measuring fair value.</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other current liabilities approximate fair value because of their short-term nature. The fair value of the Company’s debt is determined based on traded price data as of the measurement date, which we classify as a level two input within the fair value hierarchy as defined under GAAP. The fair value of the Company's debt was as follows as of the periods indicated:</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160" w:type="dxa"/>
            <w:vAlign w:val="bottom"/>
          </w:tcPr>
          <w:p>
            <w:pPr>
              <w:spacing w:after="0"/>
              <w:rPr>
                <w:sz w:val="16"/>
                <w:szCs w:val="16"/>
                <w:color w:val="auto"/>
              </w:rPr>
            </w:pPr>
          </w:p>
        </w:tc>
        <w:tc>
          <w:tcPr>
            <w:tcW w:w="13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February 3, 2026</w:t>
            </w:r>
          </w:p>
        </w:tc>
      </w:tr>
      <w:tr>
        <w:trPr>
          <w:trHeight w:val="23"/>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Revolving credit facility</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r>
      <w:tr>
        <w:trPr>
          <w:trHeight w:val="237"/>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Term loans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1,223.5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1,264.3</w:t>
            </w:r>
          </w:p>
        </w:tc>
      </w:tr>
      <w:tr>
        <w:trPr>
          <w:trHeight w:val="268"/>
        </w:trPr>
        <w:tc>
          <w:tcPr>
            <w:tcW w:w="7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debt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1,373.5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 Our entertainment revenues primarily consist of attractions including redemption and simulation games, bowling, laser tag, billiards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gravity ropes. Our food and beverage revenues consist of full meals, appetizers and both alcoholic and non-alcoholic beverages. The Company's revenue by category was as follows: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 unaudited)</w:t>
      </w: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79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6"/>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240" w:type="dxa"/>
            <w:vAlign w:val="bottom"/>
          </w:tcPr>
          <w:p>
            <w:pPr>
              <w:spacing w:after="0"/>
              <w:rPr>
                <w:sz w:val="16"/>
                <w:szCs w:val="16"/>
                <w:color w:val="auto"/>
              </w:rPr>
            </w:pPr>
          </w:p>
        </w:tc>
        <w:tc>
          <w:tcPr>
            <w:tcW w:w="130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May 6, 2025</w:t>
            </w:r>
          </w:p>
        </w:tc>
      </w:tr>
      <w:tr>
        <w:trPr>
          <w:trHeight w:val="37"/>
        </w:trPr>
        <w:tc>
          <w:tcPr>
            <w:tcW w:w="79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Entertainment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339.5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w:t>
            </w:r>
          </w:p>
        </w:tc>
      </w:tr>
      <w:tr>
        <w:trPr>
          <w:trHeight w:val="243"/>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62"/>
        </w:trPr>
        <w:tc>
          <w:tcPr>
            <w:tcW w:w="7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Entertainment revenues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Food and non-alcoholic beverages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r>
      <w:tr>
        <w:trPr>
          <w:trHeight w:val="236"/>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Alcoholic beverages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w:t>
            </w:r>
          </w:p>
        </w:tc>
      </w:tr>
      <w:tr>
        <w:trPr>
          <w:trHeight w:val="268"/>
        </w:trPr>
        <w:tc>
          <w:tcPr>
            <w:tcW w:w="7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Food and beverage revenues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Primarily consists of revenue earned from party and room rentals, gift card breakage (see </w:t>
      </w:r>
      <w:r>
        <w:rPr>
          <w:rFonts w:ascii="Times New Roman" w:cs="Times New Roman" w:eastAsia="Times New Roman" w:hAnsi="Times New Roman"/>
          <w:sz w:val="16"/>
          <w:szCs w:val="16"/>
          <w:i w:val="1"/>
          <w:iCs w:val="1"/>
          <w:color w:val="auto"/>
        </w:rPr>
        <w:t>Revenue Recognition</w:t>
      </w:r>
      <w:r>
        <w:rPr>
          <w:rFonts w:ascii="Times New Roman" w:cs="Times New Roman" w:eastAsia="Times New Roman" w:hAnsi="Times New Roman"/>
          <w:sz w:val="16"/>
          <w:szCs w:val="16"/>
          <w:color w:val="auto"/>
        </w:rPr>
        <w:t xml:space="preserve"> below) and franchise revenues.</w:t>
      </w:r>
    </w:p>
    <w:p>
      <w:pPr>
        <w:spacing w:after="0" w:line="7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for Entertainment </w:t>
      </w:r>
      <w:r>
        <w:rPr>
          <w:rFonts w:ascii="Times New Roman" w:cs="Times New Roman" w:eastAsia="Times New Roman" w:hAnsi="Times New Roman"/>
          <w:sz w:val="18"/>
          <w:szCs w:val="18"/>
          <w:color w:val="auto"/>
        </w:rPr>
        <w:t>— Customers purchase cards with game play credits to be used on a variety of redemption and simulation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games. Entertainment revenues related to game play primarily consist of game play credits, which are used by customers to activate video and redemption games. Redemption games allow customers to earn tickets, which may be redeemed for prizes. We have deferred a portion of entertainment revenues for the estimated unfulfilled performance obligations related to unredeemed game play credits and unredeemed tickets. The deferred entertainment revenue is based on an estimated rate of future use by customers of unused game play credits and the material right provided to customers to redeem tickets in the future for prizes. The Company recognizes breakage as revenue in proportion to the pattern of redemption by the customers. This breakage is based on the Company’s specific historical redemption patterns and will change as those redemption patterns change over time. Recognized game play credits and tickets breakage revenue is included in Entertainment revenues in the Consolidated Statements of Comprehensive Income. Historically, select Company promotional programs have included multiple performance obligations that are discounted from the standalone selling prices. We allocate the entire discount to the remaining performance obligation.</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May 5, 2026, we recognized revenue of $43.0 related to the amount in deferred entertainment revenues as of the end of fiscal 2025.</w:t>
      </w:r>
    </w:p>
    <w:p>
      <w:pPr>
        <w:spacing w:after="0" w:line="50"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for Gift Cards </w:t>
      </w:r>
      <w:r>
        <w:rPr>
          <w:rFonts w:ascii="Times New Roman" w:cs="Times New Roman" w:eastAsia="Times New Roman" w:hAnsi="Times New Roman"/>
          <w:sz w:val="18"/>
          <w:szCs w:val="18"/>
          <w:color w:val="auto"/>
        </w:rPr>
        <w:t>— During the three months ended May 5, 2026, we recognized revenue of $8.8 related to the amount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deferred gift card revenue as of the end of fiscal 2025. These revenues are included in Entertainment revenues on the Consolidated Statements of Comprehensive Income. We recognize breakage revenue on unredeemed gift cards in proportion to the pattern of redemption by the customers.</w:t>
      </w:r>
    </w:p>
    <w:p>
      <w:pPr>
        <w:spacing w:after="0" w:line="63"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Share </w:t>
      </w:r>
      <w:r>
        <w:rPr>
          <w:rFonts w:ascii="Times New Roman" w:cs="Times New Roman" w:eastAsia="Times New Roman" w:hAnsi="Times New Roman"/>
          <w:sz w:val="18"/>
          <w:szCs w:val="18"/>
          <w:color w:val="auto"/>
        </w:rPr>
        <w:t>— Basic net income per share is computed by dividing net income available to common shareholders by the basic weighted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average number of common shares outstanding for the reporting period. Diluted net income per share reflects the potential dilution that could occur if securities or other contracts to issue common stock were exercised or converted into common stock. For the calculation of diluted net income per share, the basic weighted average shares outstanding is increased by the dilutive effect of stock options and restricted share awards. Stock options and restricted share awards with an anti-dilutive effect are not included in the diluted net income per share calculation.</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Basic weighted average shares outstanding were reconciled to diluted weighted average shares outstanding as follows: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200" w:type="dxa"/>
            <w:vAlign w:val="bottom"/>
            <w:gridSpan w:val="3"/>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7980" w:type="dxa"/>
            <w:vAlign w:val="bottom"/>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186"/>
        </w:trPr>
        <w:tc>
          <w:tcPr>
            <w:tcW w:w="7980" w:type="dxa"/>
            <w:vAlign w:val="bottom"/>
          </w:tcPr>
          <w:p>
            <w:pPr>
              <w:spacing w:after="0"/>
              <w:rPr>
                <w:sz w:val="16"/>
                <w:szCs w:val="16"/>
                <w:color w:val="auto"/>
              </w:rPr>
            </w:pP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15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May 6, 2025</w:t>
            </w:r>
          </w:p>
        </w:tc>
      </w:tr>
      <w:tr>
        <w:trPr>
          <w:trHeight w:val="23"/>
        </w:trPr>
        <w:tc>
          <w:tcPr>
            <w:tcW w:w="79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weighted average shares outstanding</w:t>
            </w:r>
          </w:p>
        </w:tc>
        <w:tc>
          <w:tcPr>
            <w:tcW w:w="1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34.66</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w:t>
            </w:r>
          </w:p>
        </w:tc>
      </w:tr>
      <w:tr>
        <w:trPr>
          <w:trHeight w:val="237"/>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 average dilutive impact of awards</w:t>
            </w:r>
          </w:p>
        </w:tc>
        <w:tc>
          <w:tcPr>
            <w:tcW w:w="15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0.47</w:t>
            </w:r>
          </w:p>
        </w:tc>
      </w:tr>
      <w:tr>
        <w:trPr>
          <w:trHeight w:val="268"/>
        </w:trPr>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awards excluded as anti-dilutive</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w:t>
            </w:r>
          </w:p>
        </w:tc>
      </w:tr>
    </w:tbl>
    <w:p>
      <w:pPr>
        <w:spacing w:after="0" w:line="20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 Accounting Pronouncements </w:t>
      </w:r>
      <w:r>
        <w:rPr>
          <w:rFonts w:ascii="Times New Roman" w:cs="Times New Roman" w:eastAsia="Times New Roman" w:hAnsi="Times New Roman"/>
          <w:sz w:val="18"/>
          <w:szCs w:val="18"/>
          <w:color w:val="auto"/>
        </w:rPr>
        <w:t>— We reviewed the accounting pronouncements that were issued during fiscal 2026 to determine whether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they would have a material impact on the consolidated financial statements.</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See the discussion at Note 1 to the consolidated financial statements in the Company's Annual Report on Form 10-K for the year ended February 3, 2026 for previously issued accounting pronouncements that may impact the Company in the future.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 unaudited)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Accrued Liabilities and Other Long-Term Liabilities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liabilities consisted of the following as of the dates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180" w:type="dxa"/>
            <w:vAlign w:val="bottom"/>
          </w:tcPr>
          <w:p>
            <w:pPr>
              <w:spacing w:after="0"/>
              <w:rPr>
                <w:sz w:val="16"/>
                <w:szCs w:val="16"/>
                <w:color w:val="auto"/>
              </w:rPr>
            </w:pPr>
          </w:p>
        </w:tc>
        <w:tc>
          <w:tcPr>
            <w:tcW w:w="138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February 3, 2026</w:t>
            </w:r>
          </w:p>
        </w:tc>
      </w:tr>
      <w:tr>
        <w:trPr>
          <w:trHeight w:val="37"/>
        </w:trPr>
        <w:tc>
          <w:tcPr>
            <w:tcW w:w="80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7"/>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entertainment 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Current portion of operating lease liabilities, net </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r>
      <w:tr>
        <w:trPr>
          <w:trHeight w:val="24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3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5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use and other taxes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3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taxes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5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deposits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3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5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Utilities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3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self-insurance reserves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5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deferred occupancy costs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36"/>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6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Balances are net of leasehold incentive receivables from landlords and prepaid amounts.</w:t>
      </w:r>
    </w:p>
    <w:p>
      <w:pPr>
        <w:spacing w:after="0" w:line="82" w:lineRule="exact"/>
        <w:rPr>
          <w:rFonts w:ascii="Times New Roman" w:cs="Times New Roman" w:eastAsia="Times New Roman" w:hAnsi="Times New Roman"/>
          <w:sz w:val="21"/>
          <w:szCs w:val="21"/>
          <w:color w:val="auto"/>
          <w:vertAlign w:val="superscript"/>
        </w:rPr>
      </w:pPr>
    </w:p>
    <w:p>
      <w:pPr>
        <w:ind w:left="50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Other long-term liabilities consisted of the following as of the dates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180" w:type="dxa"/>
            <w:vAlign w:val="bottom"/>
          </w:tcPr>
          <w:p>
            <w:pPr>
              <w:spacing w:after="0"/>
              <w:rPr>
                <w:sz w:val="16"/>
                <w:szCs w:val="16"/>
                <w:color w:val="auto"/>
              </w:rPr>
            </w:pPr>
          </w:p>
        </w:tc>
        <w:tc>
          <w:tcPr>
            <w:tcW w:w="136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February 3, 2026</w:t>
            </w:r>
          </w:p>
        </w:tc>
      </w:tr>
      <w:tr>
        <w:trPr>
          <w:trHeight w:val="37"/>
        </w:trPr>
        <w:tc>
          <w:tcPr>
            <w:tcW w:w="79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6"/>
        </w:trPr>
        <w:tc>
          <w:tcPr>
            <w:tcW w:w="794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 xml:space="preserve">Long-term lease financing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367.5</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Long-term finance leases </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r>
      <w:tr>
        <w:trPr>
          <w:trHeight w:val="24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portion of self-insurance reserves</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3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 liability</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4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long-term liabilities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444.6</w:t>
            </w:r>
          </w:p>
        </w:tc>
      </w:tr>
      <w:tr>
        <w:trPr>
          <w:trHeight w:val="20"/>
        </w:trPr>
        <w:tc>
          <w:tcPr>
            <w:tcW w:w="7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discussion of failed sale-leaseback transactions and finance leases at Note 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Leases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currently lease the vast majority of the buildings or sites for our stores, store support center, and warehouse space under facility operating leases. These leases typically have initial terms ranging from ten to twenty-five years and include one or more options to renew. When determining the lease term, we include option periods for which renewal is reasonably certain. Most of the leases require us to pay property taxes, insurance, and maintenance of the leased assets. Our lease agreements do not contain any material residual value guarantees or material restrictive covenants. Operating leases also include certain equipment leases that have a term in excess of one year. Certain facility leases also have provisions for additional variable contingent rentals based on revenues.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Finance leases are included within “Property and equipment”, “Accrued liabilities” and “Other long-term liabilities” in the Consolidated Balance Sheets. Finance lease payments are classified as a reduction of cash flows in financing activities related to principal and operating activities related to interest with corresponding asset amortization included in operating activities in the Consolidated Statements of Cash Flows.</w:t>
      </w:r>
    </w:p>
    <w:p>
      <w:pPr>
        <w:spacing w:after="0" w:line="68"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Operating lease cost, variable lease cost and short-term lease cost related primarily to our facilities is included in “Other store operating expenses” for our operating stores, “Pre-opening costs” for our stores not yet operating, or “General and administrative expenses” for our store support center and warehouse, in the Consolidated Statements of Comprehensive Income.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 unaudited)</w:t>
      </w:r>
    </w:p>
    <w:p>
      <w:pPr>
        <w:spacing w:after="0" w:line="200" w:lineRule="exact"/>
        <w:rPr>
          <w:sz w:val="20"/>
          <w:szCs w:val="20"/>
          <w:color w:val="auto"/>
        </w:rPr>
      </w:pPr>
    </w:p>
    <w:p>
      <w:pPr>
        <w:spacing w:after="0" w:line="23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components of lease expense, including variable lease costs primarily consisting of common area maintenance charges and property taxes, were as follows for the periods presented:</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800" w:type="dxa"/>
            <w:vAlign w:val="bottom"/>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r>
      <w:tr>
        <w:trPr>
          <w:trHeight w:val="37"/>
        </w:trPr>
        <w:tc>
          <w:tcPr>
            <w:tcW w:w="798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186"/>
        </w:trPr>
        <w:tc>
          <w:tcPr>
            <w:tcW w:w="79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6, 2025</w:t>
            </w:r>
          </w:p>
        </w:tc>
        <w:tc>
          <w:tcPr>
            <w:tcW w:w="400" w:type="dxa"/>
            <w:vAlign w:val="bottom"/>
          </w:tcPr>
          <w:p>
            <w:pPr>
              <w:spacing w:after="0"/>
              <w:rPr>
                <w:sz w:val="16"/>
                <w:szCs w:val="16"/>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243"/>
        </w:trPr>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52.7</w:t>
            </w:r>
          </w:p>
        </w:tc>
      </w:tr>
      <w:tr>
        <w:trPr>
          <w:trHeight w:val="24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1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12.0</w:t>
            </w:r>
          </w:p>
        </w:tc>
      </w:tr>
      <w:tr>
        <w:trPr>
          <w:trHeight w:val="27"/>
        </w:trPr>
        <w:tc>
          <w:tcPr>
            <w:tcW w:w="7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1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63"/>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auto"/>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63.7</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65.7</w:t>
            </w:r>
          </w:p>
        </w:tc>
      </w:tr>
      <w:tr>
        <w:trPr>
          <w:trHeight w:val="20"/>
        </w:trPr>
        <w:tc>
          <w:tcPr>
            <w:tcW w:w="79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Operating lease payments in the table above include minimum lease payments for future sites for which the leases have commenced. As of May 5, 2026, the Company had signed lease agreements with total commitments of $94.4 related to six facility leases, which had not yet commenced. Fixed minimum lease payments related to these facilities were not included in the right-of-use assets and lease liabilities on the Consolidated Balance Sheets as of May 5, 2026.</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Sale-leaseback transactions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fiscal 2025, the Company entered into sale and master lease agreements (“sale-leaseback transactions”) with an unrelated third party. Under these agreements:</w:t>
      </w:r>
    </w:p>
    <w:p>
      <w:pPr>
        <w:spacing w:after="0" w:line="54" w:lineRule="exact"/>
        <w:rPr>
          <w:sz w:val="20"/>
          <w:szCs w:val="20"/>
          <w:color w:val="auto"/>
        </w:rPr>
      </w:pPr>
    </w:p>
    <w:p>
      <w:pPr>
        <w:ind w:left="580" w:hanging="248"/>
        <w:spacing w:after="0" w:line="282" w:lineRule="auto"/>
        <w:tabs>
          <w:tab w:leader="none" w:pos="5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sold two of its open store properties, and certain store properties under development, including land, buildings and certain improvements, and then leased the assets back through these sale-leaseback transactions.</w:t>
      </w:r>
    </w:p>
    <w:p>
      <w:pPr>
        <w:spacing w:after="0" w:line="53" w:lineRule="exact"/>
        <w:rPr>
          <w:rFonts w:ascii="Times New Roman" w:cs="Times New Roman" w:eastAsia="Times New Roman" w:hAnsi="Times New Roman"/>
          <w:sz w:val="18"/>
          <w:szCs w:val="18"/>
          <w:color w:val="auto"/>
        </w:rPr>
      </w:pPr>
    </w:p>
    <w:p>
      <w:pPr>
        <w:ind w:left="580" w:right="20" w:hanging="248"/>
        <w:spacing w:after="0" w:line="282" w:lineRule="auto"/>
        <w:tabs>
          <w:tab w:leader="none" w:pos="5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proceeds related to these sale and master lease agreements as of May 5, 2026 were $123.2, net of certain closing costs, $16.8 of which was received during the three months ended May 5, 2026.</w:t>
      </w:r>
    </w:p>
    <w:p>
      <w:pPr>
        <w:spacing w:after="0" w:line="52"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sale-leaseback transactions were accounted for as failed sale leasebacks based on GAAP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 a result, the store property assets remain on the Consolidated Balance Sheet at their historical cost and are depreciated over the remaining term of the applicable master lease.</w:t>
      </w:r>
    </w:p>
    <w:p>
      <w:pPr>
        <w:spacing w:after="0" w:line="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May 5, 2026, the current outstanding financing liability of $2.8 was included in Accrued liabilities on the Consolidated Balance Sheet and the long-term outstanding financing liability of $384.4 was included in Other long-term liabilities on the Consolidated Balance Sheet for the transactions noted above, as well as failed sale leaseback transactions entered into prior to fiscal 2025.</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May 5, 2026, the Company had finance lease liabilities related to three properties. The current outstanding finance lease liability of $0.4 was included in Accrued liabilities on the Consolidated Balance Sheet and the long-term outstanding finance lease liability of $32.6 was included in Other long-term liabilities on the Consolidated Balance Sheet.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consisted of the following as of the dates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180" w:type="dxa"/>
            <w:vAlign w:val="bottom"/>
          </w:tcPr>
          <w:p>
            <w:pPr>
              <w:spacing w:after="0"/>
              <w:rPr>
                <w:sz w:val="16"/>
                <w:szCs w:val="16"/>
                <w:color w:val="auto"/>
              </w:rPr>
            </w:pPr>
          </w:p>
        </w:tc>
        <w:tc>
          <w:tcPr>
            <w:tcW w:w="13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February 3, 2026</w:t>
            </w:r>
          </w:p>
        </w:tc>
      </w:tr>
      <w:tr>
        <w:trPr>
          <w:trHeight w:val="23"/>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facility—revolver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5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Credit facility—term loans</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1,380.5</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1,382.3</w:t>
            </w:r>
          </w:p>
        </w:tc>
      </w:tr>
      <w:tr>
        <w:trPr>
          <w:trHeight w:val="257"/>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 outstanding</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w:t>
            </w:r>
          </w:p>
        </w:tc>
      </w:tr>
      <w:tr>
        <w:trPr>
          <w:trHeight w:val="25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installments of long-term debt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6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debt issue discounts and debt issuance costs</w:t>
            </w:r>
          </w:p>
        </w:tc>
        <w:tc>
          <w:tcPr>
            <w:tcW w:w="2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43"/>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1,495.3</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1,515.0</w:t>
            </w:r>
          </w:p>
        </w:tc>
      </w:tr>
      <w:tr>
        <w:trPr>
          <w:trHeight w:val="27"/>
        </w:trPr>
        <w:tc>
          <w:tcPr>
            <w:tcW w:w="8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fiscal 2022, the Company entered into a senior secured credit agreement (as amended periodically, the “Credit Agreement”) including a revolving credit facility (the “Revolving Credit Facility”) and a term loan facility (together with the Revolving Credit Facility, the “Credit Facility”). On November 1, 2024, D&amp;B Inc. entered into an amendment with its banking syndicate that amended the Credit Facility (the “Fourth Amendment”). The Fourth Amendment, among other things, increased term loans to an aggregate principal amount of $700.0 (the “Incremental Term B Loans”) with a maturity date of November 1, 2031, and increased the Revolving Credit Facility by $150.0 to a total of $650.0 and extended the</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 unaudited)</w:t>
      </w:r>
    </w:p>
    <w:p>
      <w:pPr>
        <w:spacing w:after="0" w:line="200" w:lineRule="exact"/>
        <w:rPr>
          <w:sz w:val="20"/>
          <w:szCs w:val="20"/>
          <w:color w:val="auto"/>
        </w:rPr>
      </w:pP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maturity date of November 1, 2029. The proceeds from the Incremental Term B Loans were primarily used to redeem $440.0 of outstanding senior secured notes, and to pay down $200.0 of the principal on term loans outstanding under the Credit Facility (the “Existing Term B Loans”).</w:t>
      </w:r>
    </w:p>
    <w:p>
      <w:pPr>
        <w:spacing w:after="0" w:line="5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 December 2025, D&amp;B Inc., D&amp;B Holdings, the lenders party thereto and Deutsche Bank AG New York Branch, as administrative agent entered into the Fifth Amendment to the Credit Agreement (the “Fifth Amendment”),</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Fifth Amendment among other things:</w:t>
      </w:r>
    </w:p>
    <w:p>
      <w:pPr>
        <w:spacing w:after="0" w:line="63" w:lineRule="exact"/>
        <w:rPr>
          <w:sz w:val="20"/>
          <w:szCs w:val="20"/>
          <w:color w:val="auto"/>
        </w:rPr>
      </w:pPr>
    </w:p>
    <w:p>
      <w:pPr>
        <w:ind w:left="820" w:hanging="326"/>
        <w:spacing w:after="0" w:line="281"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an increase in the maximum permitted net total leverage ratio of D&amp;B Inc. and its restricted subsidiaries from 3.50:1.00 to 4.00:1.00 as of the end of each fiscal quarter when applicable to test the net total leverage ratio and</w:t>
      </w:r>
    </w:p>
    <w:p>
      <w:pPr>
        <w:spacing w:after="0" w:line="1"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margin applicable to the revolving loans to, in the case of SOFR loans, 3.25% per annum and, in the case of ABR loans, 2.25% per annum.</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Both the Existing Term B Loans and the Incremental Term B Loans bear interest at Term SOFR or ABR (each, as defined in the amended Credit Agreement) plus (i) in the case of Term SOFR loans, 3.25% per annum and (ii) in the case of ABR loans, 2.25% per annum. Borrowings under the Revolving Credit Facility bear interest subject to a pricing grid based on net total leverage, at Term SOFR plus a spread ranging from 2.50% to 3.25% per annum or ABR plus a spread ranging from 1.50% to 2.25% per annum. Unused commitments under the Revolving Credit Facility incur initial commitment fees of 0.30% to 0.50%. Additionally, the interest rate margin applicable to the Existing Term B Loans and loans outstanding under the Revolving Credit Facility would be subject to an additional 0.25% step-down if a rating of B1/B+ or higher from Moody’s and S&amp;P is achieved (which will step back up if such rating is subsequently not maintained).</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 portion of the Revolving Credit Facility not to exceed $35.0 is available for the issuance of letters of credit. As of May 5, 2026, we had letters of credit outstanding of $20.5 and an unused commitment balance of $479.5 under the Revolving Credit Facility. The Credit Facility may be increased through incremental facilities, by an amount equal to the greater of (i) $400.0 and (ii) 0.75 times trailing twelve-month Adjusted EBITDA, as defined in the Credit Agreement, plus additional amounts subject to compliance with applicable leverage ratio and/or interest coverage ratio requirements.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and debt compliance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debt agreements contain restrictive covenants that, among other things, place certain limitations on our ability to incur additional indebtedness, make loans or advances to subsidiaries and other entities, pay dividends, acquire other businesses or sell assets. The Credit Facility also requires the Company to maintain a maximum net total leverage ratio, as defined in the Credit Agreement, as of the end of each fiscal quarter. As of May 5, 2026, we believe we were in compliance with our debt covenants and the terms of our debt agreements.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Company’s weighted average effective interest rate on its total debt facilities was 7.9% and 8.6% for the three months ended May 5, 2026 and May 6, 2025, respectively.</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total interest expense, net for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2820" w:type="dxa"/>
            <w:vAlign w:val="bottom"/>
            <w:gridSpan w:val="4"/>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79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6, 2025</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on debt</w:t>
            </w:r>
          </w:p>
        </w:tc>
        <w:tc>
          <w:tcPr>
            <w:tcW w:w="1180" w:type="dxa"/>
            <w:vAlign w:val="bottom"/>
            <w:tcBorders>
              <w:bottom w:val="single" w:sz="8" w:color="CCEEFF"/>
            </w:tcBorders>
            <w:shd w:val="clear" w:color="auto" w:fill="CCEEFF"/>
          </w:tcPr>
          <w:p>
            <w:pPr>
              <w:jc w:val="right"/>
              <w:ind w:right="100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29.3</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debt issue discounts and issuance costs</w:t>
            </w:r>
          </w:p>
        </w:tc>
        <w:tc>
          <w:tcPr>
            <w:tcW w:w="1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Interest expense on sale-leaseback transactions </w:t>
            </w:r>
            <w:r>
              <w:rPr>
                <w:rFonts w:ascii="Times New Roman" w:cs="Times New Roman" w:eastAsia="Times New Roman" w:hAnsi="Times New Roman"/>
                <w:sz w:val="21"/>
                <w:szCs w:val="21"/>
                <w:color w:val="auto"/>
                <w:vertAlign w:val="superscript"/>
              </w:rPr>
              <w:t>(1)</w:t>
            </w:r>
          </w:p>
        </w:tc>
        <w:tc>
          <w:tcPr>
            <w:tcW w:w="11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Interest expense on finance leases </w:t>
            </w:r>
            <w:r>
              <w:rPr>
                <w:rFonts w:ascii="Times New Roman" w:cs="Times New Roman" w:eastAsia="Times New Roman" w:hAnsi="Times New Roman"/>
                <w:sz w:val="21"/>
                <w:szCs w:val="21"/>
                <w:color w:val="auto"/>
                <w:vertAlign w:val="superscript"/>
              </w:rPr>
              <w:t>(1)</w:t>
            </w:r>
          </w:p>
        </w:tc>
        <w:tc>
          <w:tcPr>
            <w:tcW w:w="1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Capitalized interest</w:t>
            </w:r>
          </w:p>
        </w:tc>
        <w:tc>
          <w:tcPr>
            <w:tcW w:w="1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7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interest expense, net</w:t>
            </w:r>
          </w:p>
        </w:tc>
        <w:tc>
          <w:tcPr>
            <w:tcW w:w="1180" w:type="dxa"/>
            <w:vAlign w:val="bottom"/>
            <w:tcBorders>
              <w:bottom w:val="single" w:sz="8" w:color="CCEEFF"/>
            </w:tcBorders>
            <w:shd w:val="clear" w:color="auto" w:fill="CCEEFF"/>
          </w:tcPr>
          <w:p>
            <w:pPr>
              <w:jc w:val="right"/>
              <w:ind w:right="100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36.9</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See further discussion of failed sale-leaseback transactions and finance leases at Note 3.</w:t>
            </w: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802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amounts; unaudited)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Commitments and Contingencies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is subject to certain legal proceedings and claims that arise in the ordinary course of our business, including claims alleging violations of federal and state law regarding workplace and employment matters, discrimination, slip-and-fall and other customer-related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is subject to the terms of a settlement agreement with the Federal Trade Commission that requires us, on an ongoing basis, to establish, implement, and maintain a comprehensive information security program that is reasonably designed to protect the security, confidentiality, and integrity of personal information collected from or about consumers. The agreement does not require us to pay any fines or other monetary assessments, and we do not believe that the terms of the agreement will have a material adverse effect on our business, operations, or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 Equity and Share-Based Compensation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Share issuances and repurchases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treats shares withheld for tax purposes on behalf of its employees in connection with the vesting of time-based and performance-based restricted stock units as common stock repurchases because they reduce the number of shares that would have been issued upon vesting. These were immaterial for all periods presented.</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March 2023, our Board of Directors approved a share repurchase program with an initial authorized limit of $100.0. Subsequently, our Board of Directors approved additional repurchases for a total authorized limit of $600.0 under the plan as of May 5, 2026. The remaining dollar value of shares that may be repurchased under the program was $104.0 as of May 5, 2026. Future decisions to repurchase shares continue to be at the discretion of the Board of Directors and will be dependent on our operating performance, financial condition, capital expenditure requirements and other factors that the Board of Directors considers relevant.</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share-based compensation expense, which is included in General and administrative expenses on the consolidated statements of income, was as follows for the periods presented:</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4"/>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79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6"/>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240" w:type="dxa"/>
            <w:vAlign w:val="bottom"/>
          </w:tcPr>
          <w:p>
            <w:pPr>
              <w:spacing w:after="0"/>
              <w:rPr>
                <w:sz w:val="16"/>
                <w:szCs w:val="16"/>
                <w:color w:val="auto"/>
              </w:rPr>
            </w:pP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May 6, 2025</w:t>
            </w:r>
          </w:p>
        </w:tc>
      </w:tr>
      <w:tr>
        <w:trPr>
          <w:trHeight w:val="37"/>
        </w:trPr>
        <w:tc>
          <w:tcPr>
            <w:tcW w:w="79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7"/>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7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Share-based awards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long-term incentive compensation plan provides awards to executive and management personnel, as well as directors, and issues share-based awards. We also grant stock options or restricted stock units to executive and management personnel and members of our Board of Directors. Options granted to employees generally become exercisable ratably over a three-year period from the grant date. Performance-based restricted stock units and market stock units awarded to employees generally either vest ratably over three years or fully vest after three years, subject to the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amounts; unaudited)</w:t>
      </w:r>
    </w:p>
    <w:p>
      <w:pPr>
        <w:spacing w:after="0" w:line="200" w:lineRule="exact"/>
        <w:rPr>
          <w:sz w:val="20"/>
          <w:szCs w:val="20"/>
          <w:color w:val="auto"/>
        </w:rPr>
      </w:pP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achievement of specified performance or market conditions, as applicable. Time-based restricted stock units have various service periods not exceeding five years.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share-based compensation award activity during the three months ended May 5, 2026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6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 xml:space="preserve">Stock Units </w:t>
            </w:r>
            <w:r>
              <w:rPr>
                <w:rFonts w:ascii="Times New Roman" w:cs="Times New Roman" w:eastAsia="Times New Roman" w:hAnsi="Times New Roman"/>
                <w:sz w:val="18"/>
                <w:szCs w:val="18"/>
                <w:b w:val="1"/>
                <w:bCs w:val="1"/>
                <w:color w:val="auto"/>
                <w:w w:val="97"/>
                <w:vertAlign w:val="superscript"/>
              </w:rPr>
              <w:t>(1)</w:t>
            </w:r>
          </w:p>
        </w:tc>
        <w:tc>
          <w:tcPr>
            <w:tcW w:w="380" w:type="dxa"/>
            <w:vAlign w:val="bottom"/>
          </w:tcPr>
          <w:p>
            <w:pPr>
              <w:spacing w:after="0"/>
              <w:rPr>
                <w:sz w:val="20"/>
                <w:szCs w:val="20"/>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3"/>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February 3, 2026</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7"/>
        </w:trPr>
        <w:tc>
          <w:tcPr>
            <w:tcW w:w="6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 and distributed</w:t>
            </w: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or cancelled</w:t>
            </w: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7"/>
        </w:trPr>
        <w:tc>
          <w:tcPr>
            <w:tcW w:w="63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as of May 5, 2026</w:t>
            </w:r>
          </w:p>
        </w:tc>
        <w:tc>
          <w:tcPr>
            <w:tcW w:w="106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Remaining unrecognized compensation expense</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r>
    </w:tbl>
    <w:p>
      <w:pPr>
        <w:spacing w:after="0" w:line="131"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performance-based restricted stock units, market-based restricted stock units and time-based restricted stock units.</w:t>
      </w:r>
    </w:p>
    <w:p>
      <w:pPr>
        <w:spacing w:after="0" w:line="2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fair value of our time-based and performance-based restricted stock units was based on our closing stock price on the date of grant. The grant date fair value of stock options was determined using the Black-Scholes option valuation model. The unrecognized expense will be substantially recognized by the end of fiscal 2028.</w:t>
      </w:r>
    </w:p>
    <w:p>
      <w:pPr>
        <w:spacing w:after="0" w:line="6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fiscal 2026, the Company granted certain options, time-based and performance-based restricted stock units to the Company’s executive officers, the Board of Directors, and employees. The majority of these grants vest over three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May 5, 2026, was 43.0%, compared to 17.8% for the three months ended May 6, 2025. The increase in the effective tax rate for the current-year period was primarily due to the estimated annual effective tax rate applied in the interim provision calculation, which increased the relative impact of state income taxes, tax credits, permanent items and discrete tax items on the quarter’s tax rate. In the prior-year period, these items had a lesser relative impact due to a larger pretax income base.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Segment Information</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provides premier entertainment and dining experiences for adults and families under the “Dave &amp; Buster’s” and “Main Event” brands and offers guests the opportunity to “Eat Drink Play and Watch,” all in one location. The Company's Chief Executive Officer, the Company’s chief operating decision maker (“CODM”), reviews the financial information presented on a consolidated basis. The CODM assesses performance and allocates resources based on the Company’s Consolidated Statements of Comprehensive Income, since the Company provides its offerings and key metrics, costs and margins similarly to both business units. The CODM manages and evaluates the results of the business in a consolidated manner to drive synergies and develop uniform strategies. Accordingly, key components and processes of the Company’s operations are centrally managed, including site acquisition and development, customer service, marketing, human resources, finance and accounting, legal, risk management, and government affairs. Segment asset information is not used by the CODM to allocate resources. Under the described organizational and reporting structure, the Company has one reportable segment. As a single reportable segment entity, the Company’s segment performance measure was net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 unaudited)</w:t>
      </w:r>
    </w:p>
    <w:p>
      <w:pPr>
        <w:spacing w:after="0" w:line="200" w:lineRule="exact"/>
        <w:rPr>
          <w:sz w:val="20"/>
          <w:szCs w:val="20"/>
          <w:color w:val="auto"/>
        </w:rPr>
      </w:pP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attributable to its shareholders. See Note 1 for a description of the Company's disaggregated revenues by offering (entertainment and other revenues and food and beverage revenues).</w:t>
      </w:r>
    </w:p>
    <w:p>
      <w:pPr>
        <w:spacing w:after="0" w:line="5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Significant segment expenses are presented in the Company’s Consolidated Statements of Comprehensive Income. Some expenses not separately presented on the Company’s Consolidated Statements of Operations have been disaggregated on a functional basis and presented below.</w:t>
      </w:r>
    </w:p>
    <w:p>
      <w:pPr>
        <w:sectPr>
          <w:pgSz w:w="11900" w:h="16838" w:orient="portrait"/>
          <w:cols w:equalWidth="0" w:num="1">
            <w:col w:w="11240"/>
          </w:cols>
          <w:pgMar w:left="320" w:top="171" w:right="339" w:bottom="1440" w:gutter="0" w:footer="0" w:header="0"/>
        </w:sect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Other store operating expenses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Store lease expenses </w:t>
      </w:r>
      <w:r>
        <w:rPr>
          <w:rFonts w:ascii="Times New Roman" w:cs="Times New Roman" w:eastAsia="Times New Roman" w:hAnsi="Times New Roman"/>
          <w:sz w:val="23"/>
          <w:szCs w:val="23"/>
          <w:color w:val="auto"/>
          <w:vertAlign w:val="superscript"/>
        </w:rPr>
        <w:t>(1)</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Advertising and marketing costs </w:t>
      </w:r>
      <w:r>
        <w:rPr>
          <w:rFonts w:ascii="Times New Roman" w:cs="Times New Roman" w:eastAsia="Times New Roman" w:hAnsi="Times New Roman"/>
          <w:sz w:val="23"/>
          <w:szCs w:val="23"/>
          <w:color w:val="auto"/>
          <w:vertAlign w:val="superscript"/>
        </w:rPr>
        <w:t>(2)</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Other costs </w:t>
      </w:r>
      <w:r>
        <w:rPr>
          <w:rFonts w:ascii="Times New Roman" w:cs="Times New Roman" w:eastAsia="Times New Roman" w:hAnsi="Times New Roman"/>
          <w:sz w:val="23"/>
          <w:szCs w:val="23"/>
          <w:color w:val="auto"/>
          <w:vertAlign w:val="superscript"/>
        </w:rPr>
        <w:t>(3)</w:t>
      </w:r>
    </w:p>
    <w:p>
      <w:pPr>
        <w:spacing w:after="0" w:line="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Total other store operating expenses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20313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260" w:type="dxa"/>
            <w:vAlign w:val="bottom"/>
          </w:tcPr>
          <w:p>
            <w:pPr>
              <w:spacing w:after="0"/>
              <w:rPr>
                <w:sz w:val="16"/>
                <w:szCs w:val="16"/>
                <w:color w:val="auto"/>
              </w:rPr>
            </w:pPr>
          </w:p>
        </w:tc>
        <w:tc>
          <w:tcPr>
            <w:tcW w:w="13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May 6, 2025</w:t>
            </w:r>
          </w:p>
        </w:tc>
      </w:tr>
      <w:tr>
        <w:trPr>
          <w:trHeight w:val="37"/>
        </w:trPr>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7"/>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70"/>
        </w:trPr>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77"/>
        </w:trPr>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50"/>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w:t>
            </w:r>
          </w:p>
        </w:tc>
      </w:tr>
      <w:tr>
        <w:trPr>
          <w:trHeight w:val="27"/>
        </w:trPr>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0628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-376555</wp:posOffset>
            </wp:positionV>
            <wp:extent cx="710628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7280" w:space="720"/>
            <w:col w:w="3240"/>
          </w:cols>
          <w:pgMar w:left="320" w:top="171" w:right="339" w:bottom="1440" w:gutter="0" w:footer="0" w:header="0"/>
          <w:type w:val="continuous"/>
        </w:sectPr>
      </w:pPr>
    </w:p>
    <w:p>
      <w:pPr>
        <w:ind w:left="320" w:hanging="312"/>
        <w:spacing w:after="0"/>
        <w:tabs>
          <w:tab w:leader="none" w:pos="3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represent minimum and variable lease costs incurred to operate certain of our stores. See Note 3 for further discussion.</w:t>
      </w:r>
    </w:p>
    <w:p>
      <w:pPr>
        <w:ind w:left="320" w:hanging="312"/>
        <w:spacing w:after="0" w:line="187" w:lineRule="auto"/>
        <w:tabs>
          <w:tab w:leader="none" w:pos="3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represent costs incurred to market our brands at a local and national level.</w:t>
      </w:r>
    </w:p>
    <w:p>
      <w:pPr>
        <w:ind w:left="320" w:hanging="312"/>
        <w:spacing w:after="0" w:line="191" w:lineRule="auto"/>
        <w:tabs>
          <w:tab w:leader="none" w:pos="3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Remaining amounts include various costs incurred to operate our stores that are not considered individually significant.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4"/>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37"/>
        </w:trPr>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Other charges and gains</w:t>
            </w: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80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May 6, 2025</w:t>
            </w: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System implementation costs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Asset losses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5"/>
        </w:trPr>
        <w:tc>
          <w:tcPr>
            <w:tcW w:w="8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charges and gains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represent non-capitalizable costs incurred to implement software at both the store and corporate level.</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represent the write-off of assets retired or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the accompanying unaudited consolidated financial statements and the related notes in Item 1 and with the audited consolidated financial statements and the related notes included in our Annual Report on Form 10-K for fiscal 2025 as filed with the SEC on March 31, 2026.</w:t>
      </w:r>
    </w:p>
    <w:p>
      <w:pPr>
        <w:spacing w:after="0" w:line="6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Unless otherwise specified, the meanings of all defined terms in “Management’s Discussion and Analysis of Financial Condition and Results of Operations” are consistent with the meanings of such terms as defined in the Notes to unaudited consolidated financial statements. This discussion contains statements that are, or may be deemed to be, “forward-looking statements” within the meaning of Section 27A of the Securities Act of 1933, as amended,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the industry in which we operate; expansion and opening of new locations; expectations regarding variability in run-rate levels in our stores and seasonality; expectations of future proceeds from sale leaseback transactions; anticipated breakage; our compliance with debt covenants and the terms of our debt agreement; our defenses to various legal claims we may face; and opportunities and risks affecting our business, industry and financial results, including macroeconomic factors.</w:t>
      </w:r>
    </w:p>
    <w:p>
      <w:pPr>
        <w:spacing w:after="0" w:line="8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Important factors that could cause our actual results and financial condition to differ materially from those indicated in the forward-looking statements include, among others, the following: our ability to successfully design and execute our business strategy; our effectiveness at integrating and operating our past or future acquisitions; the effects of new or improved technologies or changes in consumer behavior; the potential for unfavorable publicity; our ability to obtain and renew leases on favorable terms or at all; our substantial indebtedness and covenants in our debt agreements restricting our ability to implement our business plan; our success in opening and operating new stores profitably and optimizing existing stores; risks related to our information systems and potential cybersecurity breaches or other privacy or data incidents; the cost and availability of certain commodities; our procurement of new games and entertainment offerings and our ability to obtain related licensing rights; the extensive laws and regulations in which we must comply with; and other factors, including those set forth in the section entitled “Risk Factors” in our Annual Report on Form 10-K filed with the SEC on March 31, 2026. In addition, even if our results of operations, financial condition and liquidity, and the development of the industry in which we operate are consistent with the forward-looking statements contained in this Form 10-Q, such results or developments may not be indicative of results or developments in subsequent periods. Forward-looking statements are based only on information currently available to us and speak only as of the date of this Form 10-Q. We do not undertake any obligation to update or revise the forward-looking statements to reflect events that occur or circumstances that exist after the date on which such statements were made, except to the extent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Financial Highlights</w:t>
      </w:r>
    </w:p>
    <w:p>
      <w:pPr>
        <w:spacing w:after="0" w:line="121"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revenue of $559.2 decreased 1.5% compared to the first quarter of 2025.</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Comparable store sales decreased 5.4% compared to the same calendar period in 2025. See further discussion of comparable store sales below at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b w:val="1"/>
          <w:bCs w:val="1"/>
          <w:i w:val="1"/>
          <w:iCs w:val="1"/>
          <w:color w:val="auto"/>
        </w:rPr>
        <w:t>.</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totaled $5.7, or $0.16 per diluted share, compared to net income of $21.7, or $0.62 per diluted share in the first quarter of 2025.</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Adjusted EBITDA of $123.2 decreased 9.5%, or $12.9, from the first quarter of 2025. See further discussion of Adjusted EBITDA, a non-GAAP measure, at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xml:space="preserve"> below along with a reconciliation to net income, the most comparable GAAP measure, at </w:t>
      </w:r>
      <w:r>
        <w:rPr>
          <w:rFonts w:ascii="Times New Roman" w:cs="Times New Roman" w:eastAsia="Times New Roman" w:hAnsi="Times New Roman"/>
          <w:sz w:val="18"/>
          <w:szCs w:val="18"/>
          <w:i w:val="1"/>
          <w:iCs w:val="1"/>
          <w:color w:val="auto"/>
        </w:rPr>
        <w:t>Reconciliations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Non-GAAP Financial Measures </w:t>
      </w: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a leading owner and operator of high-volume venues primarily in North America that combine entertainment and dining for both adults and families under the “Dave &amp; Buster’s” and “Main Event” brands. The core of our concept is to offer our customers various forms of entertainment along with quality dining all in one location. Our entertainment offerings provide an extensive assortment of attractions centered around playing games, bowling, and watching live sports and other televised events. Our brands appeal to a relatively balanced mix of male and female adults, as well as families and teenagers. We believe we appeal to a diverse customer base by providing a highly customizable experience in a dynamic and fun setting.</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Dave &amp; Buster’s stores average 36,800 square feet and range in size between approximately 16,100 and 70,000 square feet. Our Main Event stores average about 53,300 square feet and range in size between approximately 37,500 and 78,200 square feet. Generally, our stores are open seven days a week, with normal hours of operation generally from between 10:00 to 11:30 a.m. until midnight, with stores typically open for extended hours on weekends.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Measures of Our Performance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monitor and analyze several key performance measures to manage our business and evaluate financial and operating performance, including:</w:t>
      </w:r>
    </w:p>
    <w:p>
      <w:pPr>
        <w:spacing w:after="0" w:line="113"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store sales — </w:t>
      </w:r>
      <w:r>
        <w:rPr>
          <w:rFonts w:ascii="Times New Roman" w:cs="Times New Roman" w:eastAsia="Times New Roman" w:hAnsi="Times New Roman"/>
          <w:sz w:val="18"/>
          <w:szCs w:val="18"/>
          <w:color w:val="auto"/>
        </w:rPr>
        <w:t>Comparable store sales are a comparison of sales to the same period of prior years for the comparable store base.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historically define the comparable store base to include those stores open for a full 18 months before the beginning of the current fiscal year and exclude stores permanently closed or planned for closure during the current fiscal year. For fiscal 2026, our comparable store base consists of 224 stores, of which 165 are Dave &amp; Buster's branded stores and 59 are Main Event branded stores.</w:t>
      </w:r>
    </w:p>
    <w:p>
      <w:pPr>
        <w:spacing w:after="0" w:line="68"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store openings — </w:t>
      </w:r>
      <w:r>
        <w:rPr>
          <w:rFonts w:ascii="Times New Roman" w:cs="Times New Roman" w:eastAsia="Times New Roman" w:hAnsi="Times New Roman"/>
          <w:sz w:val="18"/>
          <w:szCs w:val="18"/>
          <w:color w:val="auto"/>
        </w:rPr>
        <w:t>Our ability to expand our business and reach new customers is influenced by the opening of additional stores in both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existing markets. The success of our new stores is indicative of our brand appeal and the efficacy of our site selection and operating models. For the three months ended May 5, 2026, we opened one new Dave &amp; Buster’s branded store.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to the results provided in accordance with GAAP, we provide non-GAAP measures which present operating results on an adjusted basis. These are supplemental measures of performance that are not required by or presented in accordance with GAAP and include Adjusted EBITDA, Credit Adjusted EBITDA and Store Operating Income Before Depreciation and Amortization (defined below). These non-GAAP measures do not represent and should not be considered as alternatives to net income or cash flows from operations, as determined in accordance with GAAP, and our calculations thereof may not be comparable to similarly titled measures reported by other companies and should not be considered in isolation or as a substitute for measures of performance prepared in accordance with GAAP.</w:t>
      </w:r>
    </w:p>
    <w:p>
      <w:pPr>
        <w:spacing w:after="0" w:line="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certain other costs that may be important in analyzing our GAAP results. Because Adjusted EBITDA does not account for these expenses, its utility as a measure of our operating performance has material limitations. Our calculations of Adjusted EBITDA adjust for these amounts because we believe they do not directly relate to the ongoing operations of the current business of our stores and therefore complicate the comparison of the underlying business between periods. Nevertheless, because of the limitations described above, management does not view Adjusted EBITDA, Credit Adjusted EBITDA or Store Operating Income Before Depreciation and Amortization in isolation and also uses other measures, such as revenues, gross margin, operating income and net income to measure operating performance.</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plus interest expense, net, loss on debt refinancing, provision for income taxes, depreciation and amortization expense, (gain) loss on property and equipment transactions, impairment of long-lived assets, share-based compensation, currency transaction (gains) losses, transaction and integration costs, system implementation costs and other items,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00" w:lineRule="exact"/>
        <w:rPr>
          <w:sz w:val="20"/>
          <w:szCs w:val="20"/>
          <w:color w:val="auto"/>
        </w:rPr>
      </w:pPr>
    </w:p>
    <w:p>
      <w:pPr>
        <w:spacing w:after="0" w:line="23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Credit Adjusted EBITDA</w:t>
      </w:r>
    </w:p>
    <w:p>
      <w:pPr>
        <w:spacing w:after="0" w:line="119" w:lineRule="exact"/>
        <w:rPr>
          <w:sz w:val="20"/>
          <w:szCs w:val="20"/>
          <w:color w:val="auto"/>
        </w:rPr>
      </w:pPr>
    </w:p>
    <w:p>
      <w:pPr>
        <w:jc w:val="both"/>
        <w:ind w:firstLine="486"/>
        <w:spacing w:after="0" w:line="277" w:lineRule="auto"/>
        <w:rPr>
          <w:sz w:val="20"/>
          <w:szCs w:val="20"/>
          <w:color w:val="auto"/>
        </w:rPr>
      </w:pPr>
      <w:r>
        <w:rPr>
          <w:rFonts w:ascii="Times New Roman" w:cs="Times New Roman" w:eastAsia="Times New Roman" w:hAnsi="Times New Roman"/>
          <w:sz w:val="17"/>
          <w:szCs w:val="17"/>
          <w:color w:val="auto"/>
        </w:rPr>
        <w:t xml:space="preserve">We define “Credit Adjusted EBITDA” as net income plus certain items as defined at </w:t>
      </w:r>
      <w:r>
        <w:rPr>
          <w:rFonts w:ascii="Times New Roman" w:cs="Times New Roman" w:eastAsia="Times New Roman" w:hAnsi="Times New Roman"/>
          <w:sz w:val="17"/>
          <w:szCs w:val="17"/>
          <w:i w:val="1"/>
          <w:iCs w:val="1"/>
          <w:color w:val="auto"/>
        </w:rPr>
        <w:t>Adjusted EBITDA</w:t>
      </w:r>
      <w:r>
        <w:rPr>
          <w:rFonts w:ascii="Times New Roman" w:cs="Times New Roman" w:eastAsia="Times New Roman" w:hAnsi="Times New Roman"/>
          <w:sz w:val="17"/>
          <w:szCs w:val="17"/>
          <w:color w:val="auto"/>
        </w:rPr>
        <w:t xml:space="preserve"> above, as well as certain other adjustments as defined in our Credit Agreement (see </w:t>
      </w:r>
      <w:r>
        <w:rPr>
          <w:rFonts w:ascii="Times New Roman" w:cs="Times New Roman" w:eastAsia="Times New Roman" w:hAnsi="Times New Roman"/>
          <w:sz w:val="17"/>
          <w:szCs w:val="17"/>
          <w:i w:val="1"/>
          <w:iCs w:val="1"/>
          <w:color w:val="auto"/>
        </w:rPr>
        <w:t>Liquidity and Capital Resources</w:t>
      </w:r>
      <w:r>
        <w:rPr>
          <w:rFonts w:ascii="Times New Roman" w:cs="Times New Roman" w:eastAsia="Times New Roman" w:hAnsi="Times New Roman"/>
          <w:sz w:val="17"/>
          <w:szCs w:val="17"/>
          <w:color w:val="auto"/>
        </w:rPr>
        <w:t xml:space="preserve"> below for additional discussion and reconciliation). These other adjustments include</w:t>
      </w:r>
    </w:p>
    <w:p>
      <w:pPr>
        <w:spacing w:after="0" w:line="1" w:lineRule="exact"/>
        <w:rPr>
          <w:sz w:val="20"/>
          <w:szCs w:val="20"/>
          <w:color w:val="auto"/>
        </w:rPr>
      </w:pPr>
    </w:p>
    <w:p>
      <w:pPr>
        <w:jc w:val="both"/>
        <w:ind w:firstLine="8"/>
        <w:spacing w:after="0" w:line="255" w:lineRule="auto"/>
        <w:tabs>
          <w:tab w:leader="none" w:pos="2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entertainment revenue deferrals, (ii) the cost of new projects, including store pre-opening costs, and (iii) other costs and adjustments as permitted by the Credit Agreement. We believe the presentation of Credit Adjusted EBITDA is appropriate as the metric provides additional information to investors about the calculation of, and compliance with, certain financial covenants in the Credit Agreement.</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define “Store Operating Income Before Depreciation and Amortization” as operating income, plus depreciation and amortization expense, general and administrative expenses, pre-opening costs and other charges and gains. Store Operating Income Before Depreciation and Amortization allows for the evaluation of operating performance across stores of varying size and volume.</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Store Operating Income Before Depreciation and Amortization is another useful measure in evaluating our operating performance because the metric removes the impact of general and administrative expenses, which are not incurred at the store level, and the costs of opening new stores, which are non-recurring at the store level, and thus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the metric permits the evaluation of store-level productivity, efficiency, and performance, and we use Store Operating Income Before Depreciation and Amortization as a means of evaluating store financial performance compared to our competitors. However, because the measure excludes significant items such as general and administrative expenses, pre-opening costs, and other charges and gains, as well as our interest expense, net, loss on debt refinancing and depreciation and amortization expense, which are important in evaluating our consolidated financial performance from period to period, the value of this measure is limited as a measure of our consolidated financial performance.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of Operating Results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operate on a 52-week or 53-week fiscal year that ends on the Tuesday after the Monday closest to January 31. Each quarterly period reported has 13 weeks, except for 53-week fiscal years when the fourth quarter has 14 weeks. Fiscal 2026, which will end February 2, 2027 and fiscal 2025, which ended on February 3, 2026, both follow a 52-week calendar.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Store-Level Variability, Quarterly Fluctuations, Seasonality and Inflation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operate stores of various sizes and experience significant store variability in volumes, operating results and net investment costs.</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new stores typically open with sales volumes in excess of their expected long-term run-rate levels, which we refer to as a “honeymoon” effect. We traditionally expect our new store sales volumes in year two to be lower than our year one targets, and to grow in line with the rest of our comparable store base thereafter. As a result of the substantial revenues associated with each new store, the number and timing of new store openings will result in significant fluctuations in quarterly results.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New store operating margins (excluding pre-opening expenses) during the first year of operation may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operating results historically have fluctuated due to seasonal factors. Typically, we have higher revenues associated with the spring and year-end holidays, and sales and customer traffic during these periods are susceptible to the impact of severe, unfavorable or unseasonably mild weather. Our third quarter, which encompasses the back-to-school fall season, has historically had lower revenues as compared to other quarters.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00" w:lineRule="exact"/>
        <w:rPr>
          <w:sz w:val="20"/>
          <w:szCs w:val="20"/>
          <w:color w:val="auto"/>
        </w:rPr>
      </w:pPr>
    </w:p>
    <w:p>
      <w:pPr>
        <w:spacing w:after="0" w:line="23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Economic and environmental conditions and changes in regulatory legislation could exert pressure on both supplier pricing and consumer spending related to entertainment and dining alternatives. There is no assurance that our cost of products will remain stable or that federal, state, or local minimum wage rates will not increase beyond amounts currently legislated. However, the effects of any supplier price increase or wage rate increases might be partially offset by selective price increases if competitively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May 5, 2026 (the “2026 period”) Compared to the Three Months Ended May 6, 2025 (the “2025 period”)</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selected data for the periods indicated. All information, except for Company-owned stores at the end of the period, is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derived</w:t>
            </w: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from</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accompanying</w:t>
            </w:r>
          </w:p>
        </w:tc>
        <w:tc>
          <w:tcPr>
            <w:tcW w:w="18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Consolidated</w:t>
            </w:r>
          </w:p>
        </w:tc>
        <w:tc>
          <w:tcPr>
            <w:tcW w:w="1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Statements</w:t>
            </w:r>
          </w:p>
        </w:tc>
        <w:tc>
          <w:tcPr>
            <w:tcW w:w="74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of</w:t>
            </w:r>
          </w:p>
        </w:tc>
        <w:tc>
          <w:tcPr>
            <w:tcW w:w="16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Comprehensive</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Income.</w:t>
            </w:r>
          </w:p>
        </w:tc>
      </w:tr>
      <w:tr>
        <w:trPr>
          <w:trHeight w:val="201"/>
        </w:trPr>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
        </w:trPr>
        <w:tc>
          <w:tcPr>
            <w:tcW w:w="1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gridSpan w:val="4"/>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86"/>
        </w:trPr>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gridSpan w:val="4"/>
          </w:tcPr>
          <w:p>
            <w:pPr>
              <w:ind w:left="1060"/>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740" w:type="dxa"/>
            <w:vAlign w:val="bottom"/>
          </w:tcPr>
          <w:p>
            <w:pPr>
              <w:spacing w:after="0"/>
              <w:rPr>
                <w:sz w:val="16"/>
                <w:szCs w:val="16"/>
                <w:color w:val="auto"/>
              </w:rPr>
            </w:pPr>
          </w:p>
        </w:tc>
        <w:tc>
          <w:tcPr>
            <w:tcW w:w="16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May 6, 2025</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
        </w:trPr>
        <w:tc>
          <w:tcPr>
            <w:tcW w:w="2140" w:type="dxa"/>
            <w:vAlign w:val="bottom"/>
            <w:tcBorders>
              <w:bottom w:val="single" w:sz="8" w:color="CCEEFF"/>
            </w:tcBorders>
            <w:gridSpan w:val="2"/>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15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37"/>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Entertainment revenues</w:t>
            </w:r>
          </w:p>
        </w:tc>
        <w:tc>
          <w:tcPr>
            <w:tcW w:w="9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61.7 %</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64.6 %</w:t>
            </w:r>
          </w:p>
        </w:tc>
        <w:tc>
          <w:tcPr>
            <w:tcW w:w="20" w:type="dxa"/>
            <w:vAlign w:val="bottom"/>
          </w:tcPr>
          <w:p>
            <w:pPr>
              <w:spacing w:after="0"/>
              <w:rPr>
                <w:sz w:val="20"/>
                <w:szCs w:val="20"/>
                <w:color w:val="auto"/>
              </w:rPr>
            </w:pPr>
          </w:p>
        </w:tc>
      </w:tr>
      <w:tr>
        <w:trPr>
          <w:trHeight w:val="237"/>
        </w:trPr>
        <w:tc>
          <w:tcPr>
            <w:tcW w:w="2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Food and beverage revenues</w:t>
            </w:r>
          </w:p>
        </w:tc>
        <w:tc>
          <w:tcPr>
            <w:tcW w:w="90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38.3 %</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20" w:type="dxa"/>
            <w:vAlign w:val="bottom"/>
          </w:tcPr>
          <w:p>
            <w:pPr>
              <w:spacing w:after="0"/>
              <w:rPr>
                <w:sz w:val="20"/>
                <w:szCs w:val="20"/>
                <w:color w:val="auto"/>
              </w:rPr>
            </w:pPr>
          </w:p>
        </w:tc>
      </w:tr>
      <w:tr>
        <w:trPr>
          <w:trHeight w:val="24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9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567.7</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20" w:type="dxa"/>
            <w:vAlign w:val="bottom"/>
          </w:tcPr>
          <w:p>
            <w:pPr>
              <w:spacing w:after="0"/>
              <w:rPr>
                <w:sz w:val="21"/>
                <w:szCs w:val="21"/>
                <w:color w:val="auto"/>
              </w:rPr>
            </w:pPr>
          </w:p>
        </w:tc>
      </w:tr>
      <w:tr>
        <w:trPr>
          <w:trHeight w:val="243"/>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Cost of entertainment </w:t>
            </w:r>
            <w:r>
              <w:rPr>
                <w:rFonts w:ascii="Times New Roman" w:cs="Times New Roman" w:eastAsia="Times New Roman" w:hAnsi="Times New Roman"/>
                <w:sz w:val="21"/>
                <w:szCs w:val="21"/>
                <w:color w:val="auto"/>
                <w:vertAlign w:val="superscript"/>
              </w:rPr>
              <w:t>(1)</w:t>
            </w:r>
          </w:p>
        </w:tc>
        <w:tc>
          <w:tcPr>
            <w:tcW w:w="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20" w:type="dxa"/>
            <w:vAlign w:val="bottom"/>
          </w:tcPr>
          <w:p>
            <w:pPr>
              <w:spacing w:after="0"/>
              <w:rPr>
                <w:sz w:val="21"/>
                <w:szCs w:val="21"/>
                <w:color w:val="auto"/>
              </w:rPr>
            </w:pPr>
          </w:p>
        </w:tc>
      </w:tr>
      <w:tr>
        <w:trPr>
          <w:trHeight w:val="243"/>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Cost of food and beverage </w:t>
            </w:r>
            <w:r>
              <w:rPr>
                <w:rFonts w:ascii="Times New Roman" w:cs="Times New Roman" w:eastAsia="Times New Roman" w:hAnsi="Times New Roman"/>
                <w:sz w:val="21"/>
                <w:szCs w:val="21"/>
                <w:color w:val="auto"/>
                <w:vertAlign w:val="superscript"/>
              </w:rPr>
              <w:t>(1)</w:t>
            </w:r>
          </w:p>
        </w:tc>
        <w:tc>
          <w:tcPr>
            <w:tcW w:w="9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24.5 %</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8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25.6 %</w:t>
            </w:r>
          </w:p>
        </w:tc>
        <w:tc>
          <w:tcPr>
            <w:tcW w:w="20" w:type="dxa"/>
            <w:vAlign w:val="bottom"/>
          </w:tcPr>
          <w:p>
            <w:pPr>
              <w:spacing w:after="0"/>
              <w:rPr>
                <w:sz w:val="21"/>
                <w:szCs w:val="21"/>
                <w:color w:val="auto"/>
              </w:rPr>
            </w:pPr>
          </w:p>
        </w:tc>
      </w:tr>
      <w:tr>
        <w:trPr>
          <w:trHeight w:val="227"/>
        </w:trPr>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cost of products</w:t>
            </w:r>
          </w:p>
        </w:tc>
        <w:tc>
          <w:tcPr>
            <w:tcW w:w="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20" w:type="dxa"/>
            <w:vAlign w:val="bottom"/>
          </w:tcPr>
          <w:p>
            <w:pPr>
              <w:spacing w:after="0"/>
              <w:rPr>
                <w:sz w:val="19"/>
                <w:szCs w:val="19"/>
                <w:color w:val="auto"/>
              </w:rPr>
            </w:pPr>
          </w:p>
        </w:tc>
      </w:tr>
      <w:tr>
        <w:trPr>
          <w:trHeight w:val="253"/>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payroll and benefits</w:t>
            </w:r>
          </w:p>
        </w:tc>
        <w:tc>
          <w:tcPr>
            <w:tcW w:w="9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25.1 %</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23.8 %</w:t>
            </w:r>
          </w:p>
        </w:tc>
        <w:tc>
          <w:tcPr>
            <w:tcW w:w="20" w:type="dxa"/>
            <w:vAlign w:val="bottom"/>
          </w:tcPr>
          <w:p>
            <w:pPr>
              <w:spacing w:after="0"/>
              <w:rPr>
                <w:sz w:val="21"/>
                <w:szCs w:val="21"/>
                <w:color w:val="auto"/>
              </w:rPr>
            </w:pPr>
          </w:p>
        </w:tc>
      </w:tr>
      <w:tr>
        <w:trPr>
          <w:trHeight w:val="233"/>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store operating expenses</w:t>
            </w:r>
          </w:p>
        </w:tc>
        <w:tc>
          <w:tcPr>
            <w:tcW w:w="9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33.2 %</w:t>
            </w:r>
          </w:p>
        </w:tc>
        <w:tc>
          <w:tcPr>
            <w:tcW w:w="20" w:type="dxa"/>
            <w:vAlign w:val="bottom"/>
          </w:tcPr>
          <w:p>
            <w:pPr>
              <w:spacing w:after="0"/>
              <w:rPr>
                <w:sz w:val="20"/>
                <w:szCs w:val="20"/>
                <w:color w:val="auto"/>
              </w:rPr>
            </w:pPr>
          </w:p>
        </w:tc>
      </w:tr>
      <w:tr>
        <w:trPr>
          <w:trHeight w:val="25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20" w:type="dxa"/>
            <w:vAlign w:val="bottom"/>
          </w:tcPr>
          <w:p>
            <w:pPr>
              <w:spacing w:after="0"/>
              <w:rPr>
                <w:sz w:val="21"/>
                <w:szCs w:val="21"/>
                <w:color w:val="auto"/>
              </w:rPr>
            </w:pPr>
          </w:p>
        </w:tc>
      </w:tr>
      <w:tr>
        <w:trPr>
          <w:trHeight w:val="233"/>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expenses</w:t>
            </w: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20" w:type="dxa"/>
            <w:vAlign w:val="bottom"/>
          </w:tcPr>
          <w:p>
            <w:pPr>
              <w:spacing w:after="0"/>
              <w:rPr>
                <w:sz w:val="20"/>
                <w:szCs w:val="20"/>
                <w:color w:val="auto"/>
              </w:rPr>
            </w:pPr>
          </w:p>
        </w:tc>
      </w:tr>
      <w:tr>
        <w:trPr>
          <w:trHeight w:val="253"/>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Pre-opening costs</w:t>
            </w:r>
          </w:p>
        </w:tc>
        <w:tc>
          <w:tcPr>
            <w:tcW w:w="9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20" w:type="dxa"/>
            <w:vAlign w:val="bottom"/>
          </w:tcPr>
          <w:p>
            <w:pPr>
              <w:spacing w:after="0"/>
              <w:rPr>
                <w:sz w:val="21"/>
                <w:szCs w:val="21"/>
                <w:color w:val="auto"/>
              </w:rPr>
            </w:pPr>
          </w:p>
        </w:tc>
      </w:tr>
      <w:tr>
        <w:trPr>
          <w:trHeight w:val="236"/>
        </w:trPr>
        <w:tc>
          <w:tcPr>
            <w:tcW w:w="2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charges and gains</w:t>
            </w:r>
          </w:p>
        </w:tc>
        <w:tc>
          <w:tcPr>
            <w:tcW w:w="90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20" w:type="dxa"/>
            <w:vAlign w:val="bottom"/>
          </w:tcPr>
          <w:p>
            <w:pPr>
              <w:spacing w:after="0"/>
              <w:rPr>
                <w:sz w:val="20"/>
                <w:szCs w:val="20"/>
                <w:color w:val="auto"/>
              </w:rPr>
            </w:pPr>
          </w:p>
        </w:tc>
      </w:tr>
      <w:tr>
        <w:trPr>
          <w:trHeight w:val="237"/>
        </w:trPr>
        <w:tc>
          <w:tcPr>
            <w:tcW w:w="2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operating costs</w:t>
            </w:r>
          </w:p>
        </w:tc>
        <w:tc>
          <w:tcPr>
            <w:tcW w:w="9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100" w:type="dxa"/>
            <w:vAlign w:val="bottom"/>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91.6 %</w:t>
            </w:r>
          </w:p>
        </w:tc>
        <w:tc>
          <w:tcPr>
            <w:tcW w:w="10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504.5</w:t>
            </w:r>
          </w:p>
        </w:tc>
        <w:tc>
          <w:tcPr>
            <w:tcW w:w="8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88.9 %</w:t>
            </w:r>
          </w:p>
        </w:tc>
        <w:tc>
          <w:tcPr>
            <w:tcW w:w="20" w:type="dxa"/>
            <w:vAlign w:val="bottom"/>
          </w:tcPr>
          <w:p>
            <w:pPr>
              <w:spacing w:after="0"/>
              <w:rPr>
                <w:sz w:val="20"/>
                <w:szCs w:val="20"/>
                <w:color w:val="auto"/>
              </w:rPr>
            </w:pPr>
          </w:p>
        </w:tc>
      </w:tr>
      <w:tr>
        <w:trPr>
          <w:trHeight w:val="233"/>
        </w:trPr>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Operating income</w:t>
            </w:r>
          </w:p>
        </w:tc>
        <w:tc>
          <w:tcPr>
            <w:tcW w:w="9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20" w:type="dxa"/>
            <w:vAlign w:val="bottom"/>
          </w:tcPr>
          <w:p>
            <w:pPr>
              <w:spacing w:after="0"/>
              <w:rPr>
                <w:sz w:val="20"/>
                <w:szCs w:val="20"/>
                <w:color w:val="auto"/>
              </w:rPr>
            </w:pPr>
          </w:p>
        </w:tc>
      </w:tr>
      <w:tr>
        <w:trPr>
          <w:trHeight w:val="246"/>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9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8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20" w:type="dxa"/>
            <w:vAlign w:val="bottom"/>
          </w:tcPr>
          <w:p>
            <w:pPr>
              <w:spacing w:after="0"/>
              <w:rPr>
                <w:sz w:val="21"/>
                <w:szCs w:val="21"/>
                <w:color w:val="auto"/>
              </w:rPr>
            </w:pPr>
          </w:p>
        </w:tc>
      </w:tr>
      <w:tr>
        <w:trPr>
          <w:trHeight w:val="233"/>
        </w:trPr>
        <w:tc>
          <w:tcPr>
            <w:tcW w:w="30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20" w:type="dxa"/>
            <w:vAlign w:val="bottom"/>
          </w:tcPr>
          <w:p>
            <w:pPr>
              <w:spacing w:after="0"/>
              <w:rPr>
                <w:sz w:val="20"/>
                <w:szCs w:val="20"/>
                <w:color w:val="auto"/>
              </w:rPr>
            </w:pPr>
          </w:p>
        </w:tc>
      </w:tr>
      <w:tr>
        <w:trPr>
          <w:trHeight w:val="246"/>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20" w:type="dxa"/>
            <w:vAlign w:val="bottom"/>
          </w:tcPr>
          <w:p>
            <w:pPr>
              <w:spacing w:after="0"/>
              <w:rPr>
                <w:sz w:val="21"/>
                <w:szCs w:val="21"/>
                <w:color w:val="auto"/>
              </w:rPr>
            </w:pPr>
          </w:p>
        </w:tc>
      </w:tr>
      <w:tr>
        <w:trPr>
          <w:trHeight w:val="243"/>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21"/>
                <w:szCs w:val="21"/>
                <w:color w:val="auto"/>
              </w:rPr>
            </w:pPr>
          </w:p>
        </w:tc>
        <w:tc>
          <w:tcPr>
            <w:tcW w:w="7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20" w:type="dxa"/>
            <w:vAlign w:val="bottom"/>
          </w:tcPr>
          <w:p>
            <w:pPr>
              <w:spacing w:after="0"/>
              <w:rPr>
                <w:sz w:val="21"/>
                <w:szCs w:val="21"/>
                <w:color w:val="auto"/>
              </w:rPr>
            </w:pPr>
          </w:p>
        </w:tc>
      </w:tr>
      <w:tr>
        <w:trPr>
          <w:trHeight w:val="20"/>
        </w:trPr>
        <w:tc>
          <w:tcPr>
            <w:tcW w:w="1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Company-owned stores at end of period</w:t>
            </w:r>
          </w:p>
        </w:tc>
        <w:tc>
          <w:tcPr>
            <w:tcW w:w="1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0" w:type="dxa"/>
            <w:vAlign w:val="bottom"/>
          </w:tcPr>
          <w:p>
            <w:pPr>
              <w:spacing w:after="0"/>
              <w:rPr>
                <w:sz w:val="20"/>
                <w:szCs w:val="20"/>
                <w:color w:val="auto"/>
              </w:rPr>
            </w:pPr>
          </w:p>
        </w:tc>
      </w:tr>
    </w:tbl>
    <w:p>
      <w:pPr>
        <w:spacing w:after="0" w:line="135" w:lineRule="exact"/>
        <w:rPr>
          <w:sz w:val="20"/>
          <w:szCs w:val="20"/>
          <w:color w:val="auto"/>
        </w:rPr>
      </w:pPr>
    </w:p>
    <w:p>
      <w:pPr>
        <w:ind w:left="340" w:hanging="332"/>
        <w:spacing w:after="0" w:line="225"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percentages are expressed as a percentage of total revenues for the respective period presented, except cost of entertainment, which is expressed as a percentage of entertainment revenues, and cost of food and beverage, which is expressed as a percentage of food and beverage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Reconciliations of Non-GAAP Financial Measures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Net income to Adjusted EBITDA for the periods indicated:</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7"/>
        </w:trPr>
        <w:tc>
          <w:tcPr>
            <w:tcW w:w="60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6"/>
        </w:trPr>
        <w:tc>
          <w:tcPr>
            <w:tcW w:w="6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6, 2025</w:t>
            </w:r>
          </w:p>
        </w:tc>
        <w:tc>
          <w:tcPr>
            <w:tcW w:w="680" w:type="dxa"/>
            <w:vAlign w:val="bottom"/>
          </w:tcPr>
          <w:p>
            <w:pPr>
              <w:spacing w:after="0"/>
              <w:rPr>
                <w:sz w:val="16"/>
                <w:szCs w:val="16"/>
                <w:color w:val="auto"/>
              </w:rPr>
            </w:pPr>
          </w:p>
        </w:tc>
      </w:tr>
      <w:tr>
        <w:trPr>
          <w:trHeight w:val="37"/>
        </w:trPr>
        <w:tc>
          <w:tcPr>
            <w:tcW w:w="60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36"/>
        </w:trPr>
        <w:tc>
          <w:tcPr>
            <w:tcW w:w="604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Net income</w:t>
            </w:r>
            <w:r>
              <w:rPr>
                <w:rFonts w:ascii="Times New Roman" w:cs="Times New Roman" w:eastAsia="Times New Roman" w:hAnsi="Times New Roman"/>
                <w:sz w:val="21"/>
                <w:szCs w:val="21"/>
                <w:color w:val="auto"/>
                <w:vertAlign w:val="superscript"/>
              </w:rPr>
              <w:t>(1)</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3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3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(2)</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and integration costs</w:t>
            </w:r>
            <w:r>
              <w:rPr>
                <w:rFonts w:ascii="Times New Roman" w:cs="Times New Roman" w:eastAsia="Times New Roman" w:hAnsi="Times New Roman"/>
                <w:sz w:val="21"/>
                <w:szCs w:val="21"/>
                <w:color w:val="auto"/>
                <w:vertAlign w:val="superscript"/>
              </w:rPr>
              <w:t>(3)</w:t>
            </w:r>
          </w:p>
        </w:tc>
        <w:tc>
          <w:tcPr>
            <w:tcW w:w="50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 implementation costs</w:t>
            </w:r>
            <w:r>
              <w:rPr>
                <w:rFonts w:ascii="Times New Roman" w:cs="Times New Roman" w:eastAsia="Times New Roman" w:hAnsi="Times New Roman"/>
                <w:sz w:val="21"/>
                <w:szCs w:val="21"/>
                <w:color w:val="auto"/>
                <w:vertAlign w:val="superscript"/>
              </w:rPr>
              <w:t>(4)</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43"/>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items, net</w:t>
            </w:r>
            <w:r>
              <w:rPr>
                <w:rFonts w:ascii="Times New Roman" w:cs="Times New Roman" w:eastAsia="Times New Roman" w:hAnsi="Times New Roman"/>
                <w:sz w:val="21"/>
                <w:szCs w:val="21"/>
                <w:color w:val="auto"/>
                <w:vertAlign w:val="superscript"/>
              </w:rPr>
              <w:t>(5)</w:t>
            </w: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4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r>
      <w:tr>
        <w:trPr>
          <w:trHeight w:val="262"/>
        </w:trPr>
        <w:tc>
          <w:tcPr>
            <w:tcW w:w="6040" w:type="dxa"/>
            <w:vAlign w:val="bottom"/>
            <w:tcBorders>
              <w:bottom w:val="single" w:sz="8" w:color="CCEEFF"/>
            </w:tcBorders>
            <w:shd w:val="clear" w:color="auto" w:fill="CCEEFF"/>
          </w:tcPr>
          <w:p>
            <w:pPr>
              <w:ind w:left="240"/>
              <w:spacing w:after="0" w:line="237" w:lineRule="exact"/>
              <w:rPr>
                <w:sz w:val="20"/>
                <w:szCs w:val="20"/>
                <w:color w:val="auto"/>
              </w:rPr>
            </w:pPr>
            <w:r>
              <w:rPr>
                <w:rFonts w:ascii="Times New Roman" w:cs="Times New Roman" w:eastAsia="Times New Roman" w:hAnsi="Times New Roman"/>
                <w:sz w:val="16"/>
                <w:szCs w:val="16"/>
                <w:color w:val="auto"/>
              </w:rPr>
              <w:t xml:space="preserve">Adjusted EBITDA, a non-GAAP measure </w:t>
            </w:r>
            <w:r>
              <w:rPr>
                <w:rFonts w:ascii="Times New Roman" w:cs="Times New Roman" w:eastAsia="Times New Roman" w:hAnsi="Times New Roman"/>
                <w:sz w:val="21"/>
                <w:szCs w:val="21"/>
                <w:color w:val="auto"/>
                <w:vertAlign w:val="superscript"/>
              </w:rPr>
              <w:t>(1)</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24.0 %</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percentages are expressed as a percentage of total revenues for the respective period presented.</w:t>
      </w:r>
    </w:p>
    <w:p>
      <w:pPr>
        <w:ind w:left="340" w:right="80" w:hanging="332"/>
        <w:spacing w:after="0" w:line="215"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Non-cash share-based compensation expense, net of forfeitures, recorded in General and administrative expenses on the Consolidated Statements of Comprehensive Income.</w:t>
      </w:r>
    </w:p>
    <w:p>
      <w:pPr>
        <w:ind w:left="340" w:right="60" w:hanging="332"/>
        <w:spacing w:after="0" w:line="220"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Transaction and integration costs related to the acquisition and integration of Main Event recorded in Other charges and gains on the Consolidated Statements of Comprehensive Income.</w:t>
      </w:r>
    </w:p>
    <w:p>
      <w:pPr>
        <w:spacing w:after="0" w:line="1" w:lineRule="exact"/>
        <w:rPr>
          <w:rFonts w:ascii="Times New Roman" w:cs="Times New Roman" w:eastAsia="Times New Roman" w:hAnsi="Times New Roman"/>
          <w:sz w:val="21"/>
          <w:szCs w:val="21"/>
          <w:color w:val="auto"/>
          <w:vertAlign w:val="superscript"/>
        </w:rPr>
      </w:pPr>
    </w:p>
    <w:p>
      <w:pPr>
        <w:ind w:left="340" w:right="60" w:hanging="332"/>
        <w:spacing w:after="0" w:line="217"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System implementation costs represent expenses incurred related to the development of new enterprise resource planning, human capital management and inventory software for our stores and store support teams. These charges are recorded in Other charges and gains on the Consolidated Statements of Comprehensive Income.</w:t>
      </w:r>
    </w:p>
    <w:p>
      <w:pPr>
        <w:jc w:val="both"/>
        <w:ind w:left="340" w:right="60" w:hanging="332"/>
        <w:spacing w:after="0" w:line="245"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amount related to the 2026 first-quarter period ended May 5, 2026 consisted primarily of $1.9 loss on property and equipment transactions and $0.8 </w:t>
      </w:r>
      <w:r>
        <w:rPr>
          <w:rFonts w:ascii="Times New Roman" w:cs="Times New Roman" w:eastAsia="Times New Roman" w:hAnsi="Times New Roman"/>
          <w:sz w:val="17"/>
          <w:szCs w:val="17"/>
          <w:color w:val="auto"/>
        </w:rPr>
        <w:t>of severance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costs</w:t>
      </w:r>
      <w:r>
        <w:rPr>
          <w:rFonts w:ascii="Times New Roman" w:cs="Times New Roman" w:eastAsia="Times New Roman" w:hAnsi="Times New Roman"/>
          <w:sz w:val="16"/>
          <w:szCs w:val="16"/>
          <w:color w:val="auto"/>
        </w:rPr>
        <w:t>. The amount for the 2025 period primarily consisted of a $3.8 loss on property and equipment transaction, $0.9 of discretionary retention incentives, and $0.3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6"/>
          <w:szCs w:val="16"/>
          <w:color w:val="auto"/>
        </w:rPr>
        <w:t>severance costs. Discretionary retention incentives and severance costs are included in General and administrative expenses on the Consolidated Statements of Comprehensive Income. (Gain) loss on property and equipment transactions is included in Other charges and gains on the Consolidated Statements of Comprehensive Income.</w:t>
      </w:r>
    </w:p>
    <w:p>
      <w:pPr>
        <w:spacing w:after="0" w:line="3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Operating income to Store Operating Income Before Depreciation and Amortization for the periods indicated:</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7"/>
        </w:trPr>
        <w:tc>
          <w:tcPr>
            <w:tcW w:w="60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6"/>
        </w:trPr>
        <w:tc>
          <w:tcPr>
            <w:tcW w:w="6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6, 2025</w:t>
            </w:r>
          </w:p>
        </w:tc>
        <w:tc>
          <w:tcPr>
            <w:tcW w:w="680" w:type="dxa"/>
            <w:vAlign w:val="bottom"/>
          </w:tcPr>
          <w:p>
            <w:pPr>
              <w:spacing w:after="0"/>
              <w:rPr>
                <w:sz w:val="16"/>
                <w:szCs w:val="16"/>
                <w:color w:val="auto"/>
              </w:rPr>
            </w:pPr>
          </w:p>
        </w:tc>
      </w:tr>
      <w:tr>
        <w:trPr>
          <w:trHeight w:val="37"/>
        </w:trPr>
        <w:tc>
          <w:tcPr>
            <w:tcW w:w="60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37"/>
        </w:trPr>
        <w:tc>
          <w:tcPr>
            <w:tcW w:w="604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 xml:space="preserve">Operating income </w:t>
            </w:r>
            <w:r>
              <w:rPr>
                <w:rFonts w:ascii="Times New Roman" w:cs="Times New Roman" w:eastAsia="Times New Roman" w:hAnsi="Times New Roman"/>
                <w:sz w:val="21"/>
                <w:szCs w:val="21"/>
                <w:color w:val="auto"/>
                <w:vertAlign w:val="superscript"/>
              </w:rPr>
              <w:t>(1)</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r>
      <w:tr>
        <w:trPr>
          <w:trHeight w:val="23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3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Pre-opening costs</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charges and gains</w:t>
            </w: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43"/>
        </w:trPr>
        <w:tc>
          <w:tcPr>
            <w:tcW w:w="6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Store Operating Income Before Depreciation and Amortization, a non-GAAP measure </w:t>
            </w:r>
            <w:r>
              <w:rPr>
                <w:rFonts w:ascii="Times New Roman" w:cs="Times New Roman" w:eastAsia="Times New Roman" w:hAnsi="Times New Roman"/>
                <w:sz w:val="21"/>
                <w:szCs w:val="21"/>
                <w:color w:val="auto"/>
                <w:vertAlign w:val="superscript"/>
              </w:rPr>
              <w:t>(1)</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27.3 %</w:t>
            </w:r>
          </w:p>
        </w:tc>
        <w:tc>
          <w:tcPr>
            <w:tcW w:w="80" w:type="dxa"/>
            <w:vAlign w:val="bottom"/>
          </w:tcPr>
          <w:p>
            <w:pPr>
              <w:spacing w:after="0"/>
              <w:rPr>
                <w:sz w:val="21"/>
                <w:szCs w:val="21"/>
                <w:color w:val="auto"/>
              </w:rPr>
            </w:pPr>
          </w:p>
        </w:tc>
        <w:tc>
          <w:tcPr>
            <w:tcW w:w="7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28.6 %</w:t>
            </w:r>
          </w:p>
        </w:tc>
      </w:tr>
      <w:tr>
        <w:trPr>
          <w:trHeight w:val="20"/>
        </w:trPr>
        <w:tc>
          <w:tcPr>
            <w:tcW w:w="6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90" w:lineRule="exact"/>
        <w:rPr>
          <w:sz w:val="20"/>
          <w:szCs w:val="20"/>
          <w:color w:val="auto"/>
        </w:rPr>
      </w:pPr>
    </w:p>
    <w:p>
      <w:pPr>
        <w:ind w:left="320" w:hanging="231"/>
        <w:spacing w:after="0"/>
        <w:tabs>
          <w:tab w:leader="none" w:pos="3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percentages are expressed as a percentage of total revenues for the respective period presented.</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24"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Revenues - </w:t>
      </w:r>
      <w:r>
        <w:rPr>
          <w:rFonts w:ascii="Times New Roman" w:cs="Times New Roman" w:eastAsia="Times New Roman" w:hAnsi="Times New Roman"/>
          <w:sz w:val="18"/>
          <w:szCs w:val="18"/>
          <w:color w:val="auto"/>
        </w:rPr>
        <w:t>Selected revenue data and store data for the periods indicated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3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6, 2025</w:t>
            </w: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3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Comparable store revenues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541.5</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3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Noncomparable store revenues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5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Other noncomparable revenues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37"/>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567.7</w:t>
            </w:r>
          </w:p>
        </w:tc>
        <w:tc>
          <w:tcPr>
            <w:tcW w:w="8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Comparable store operating weeks</w:t>
            </w: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Noncomparable store operating weeks</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68"/>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store operating weeks</w:t>
            </w:r>
          </w:p>
        </w:tc>
        <w:tc>
          <w:tcPr>
            <w:tcW w:w="2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changes in deferred entertainment revenues, gift card deferrals and certain other revenues not associated with stores.</w:t>
      </w:r>
    </w:p>
    <w:p>
      <w:pPr>
        <w:spacing w:after="0" w:line="82" w:lineRule="exact"/>
        <w:rPr>
          <w:rFonts w:ascii="Times New Roman" w:cs="Times New Roman" w:eastAsia="Times New Roman" w:hAnsi="Times New Roman"/>
          <w:sz w:val="21"/>
          <w:szCs w:val="21"/>
          <w:color w:val="auto"/>
          <w:vertAlign w:val="superscript"/>
        </w:rPr>
      </w:pPr>
    </w:p>
    <w:p>
      <w:pPr>
        <w:ind w:left="50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The table below represents our revenue mix for the fiscal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6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7"/>
        </w:trPr>
        <w:tc>
          <w:tcPr>
            <w:tcW w:w="464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4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0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May 6, 2025</w:t>
            </w:r>
          </w:p>
        </w:tc>
        <w:tc>
          <w:tcPr>
            <w:tcW w:w="920" w:type="dxa"/>
            <w:vAlign w:val="bottom"/>
          </w:tcPr>
          <w:p>
            <w:pPr>
              <w:spacing w:after="0"/>
              <w:rPr>
                <w:sz w:val="16"/>
                <w:szCs w:val="16"/>
                <w:color w:val="auto"/>
              </w:rPr>
            </w:pPr>
          </w:p>
        </w:tc>
      </w:tr>
      <w:tr>
        <w:trPr>
          <w:trHeight w:val="37"/>
        </w:trPr>
        <w:tc>
          <w:tcPr>
            <w:tcW w:w="46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3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Entertainment revenues</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345.1</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61.7 %</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rPr>
              <w:t>366.6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64.6 %</w:t>
            </w:r>
          </w:p>
        </w:tc>
      </w:tr>
      <w:tr>
        <w:trPr>
          <w:trHeight w:val="23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Food revenues</w:t>
            </w:r>
          </w:p>
        </w:tc>
        <w:tc>
          <w:tcPr>
            <w:tcW w:w="58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148.6</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26.6 %</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0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rPr>
              <w:t>137.5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24.2 %</w:t>
            </w:r>
          </w:p>
        </w:tc>
      </w:tr>
      <w:tr>
        <w:trPr>
          <w:trHeight w:val="24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Beverage revenues</w:t>
            </w:r>
          </w:p>
        </w:tc>
        <w:tc>
          <w:tcPr>
            <w:tcW w:w="5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65.5</w:t>
            </w:r>
          </w:p>
        </w:tc>
        <w:tc>
          <w:tcPr>
            <w:tcW w:w="8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8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rPr>
              <w:t>63.6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11.2 %</w:t>
            </w:r>
          </w:p>
        </w:tc>
      </w:tr>
      <w:tr>
        <w:trPr>
          <w:trHeight w:val="236"/>
        </w:trPr>
        <w:tc>
          <w:tcPr>
            <w:tcW w:w="4640" w:type="dxa"/>
            <w:vAlign w:val="bottom"/>
          </w:tcPr>
          <w:p>
            <w:pPr>
              <w:spacing w:after="0"/>
              <w:rPr>
                <w:sz w:val="20"/>
                <w:szCs w:val="20"/>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559.2</w:t>
            </w:r>
          </w:p>
        </w:tc>
        <w:tc>
          <w:tcPr>
            <w:tcW w:w="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rPr>
              <w:t>567.7</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7"/>
        </w:trPr>
        <w:tc>
          <w:tcPr>
            <w:tcW w:w="46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Total revenues for the 2026 period decreased $8.5, or 1.5%, to $559.2 compared to $567.7 for the 2025 period. The decrease in revenue was primarily related to a $29.2 decrease in comparable store sales, partially offset by an $18.1 increase in noncomparable store revenues, and an increase of $2.6 in other noncomparable revenues. The decrease in comparable store revenues was due to a reduction in walk-in business relative to the prior year period. The change in other noncomparable revenues reflects breakage on unredeemed game play credits, tickets and gift cards corresponding to guest utilization patterns over time. See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at Note 1 to the unaudited consolidated financial statements for a discussion of revenue recognition associated with game play credits, tickets and gift cards.</w:t>
      </w:r>
    </w:p>
    <w:p>
      <w:pPr>
        <w:spacing w:after="0" w:line="75"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products - </w:t>
      </w:r>
      <w:r>
        <w:rPr>
          <w:rFonts w:ascii="Times New Roman" w:cs="Times New Roman" w:eastAsia="Times New Roman" w:hAnsi="Times New Roman"/>
          <w:sz w:val="18"/>
          <w:szCs w:val="18"/>
          <w:color w:val="auto"/>
        </w:rPr>
        <w:t>The total cost of products was $79.8 for the 2026 period and $82.1 for the 2025 period. The total cost of products as a percentage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total revenues decreased to 14.3% for the 2026 period compared to 14.5% for the 2025 period. The decrease in total cost of products as a percentage of total revenues was associated with declines in both entertainment and food and beverage cost of sales, partially offset by a higher food and beverage revenue mix.</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entertainment decreased to $27.4 in the 2026 period compared to $30.6 in the 2025 period. The cost of entertainment, as a percentage of entertainment revenues, decreased to 7.9% for the 2026 period from 8.3% in the 2025 period. The decrease was primarily attributable to vendor cost savings and lower redemptions due to ticket payout adjustments and redemption center pricing changes, partially offset by continued tariff cost pressure.</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food and beverage products increased to $52.4 for the 2026 period compared to $51.5 for the 2025 period. Cost of food and beverage products as a percentage of food and beverage revenues decreased to 24.5% for the 2026 period from 25.6% for the 2025 period. The increase cost was due to higher food and beverage revenue associated with eat-and-play combo enhancements driving higher food attach rates. The decline as a percentage of food and beverage revenues was due to higher check growth associated with menu enhancements made in the second half of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payroll and benefits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operating payroll and benefits increased to $140.1 in the 2026 period compared to $135.0 in the 2025 period. The increase was primarily due to a $5.3M increase associated with noncomparable stores. The total cost of operating payroll and benefits as a percentage of total revenues for 2026 was 25.1% compared to 23.8% in 2025. The increase was primarily due to sales deleveraging.</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store operating expenses decreased to $186.7 in the 2026 period compared to $188.4 in the 2025 period. Other store operating expense as a percentage of total revenues increased to 33.4% in the 2026 period compared to 33.2% in the 2025 period. The increase was primarily due to sales deleveraging.</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to $27.5 in the 2026 period compared to $24.4 in the 2025 period, and as a percentage of total revenues were 4.9% in the 2026 period compared to 4.3% in the 2025. The increase in general and administrative expenses in 2026 was driven primarily by higher employee related costs, consulting and legal expenses.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to $70.9 in the 2026 period from $63.2 in the 2025 period, primarily due to new store openings, store remodels and new amusement offerings.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Pre-opening costs decreased to $5.4 in the 2026 period compared to $6.1 in the 2025 period. This decrease was primarily due to the timing of costs in our pipeline of new stores for the respective periods.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charges and gains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charges and gains decreased to $1.9 in the 2026 period compared to $5.3 in the 2025 period primarily due to a decrease in the write off of certain assets and a decrease in system implementation costs.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Interest expense, net increased slightly to $36.9 in the 2026 period compared to $36.8 in the 2025 period due primarily to incremental interest expense associated with sale-leaseback transactions, in addition to lower balances on our Credit Facility and lower weighted average effective interest rates of 7.9% during the period, compared to 8.6% in the prior year. See further discussion of the Company's debt activity and failed sale-leaseback transaction at Note 4 and Note 3, respectively, to the unaudited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effective tax rate for the 2026 period was 43.0%, compared to 17.8% for the 2025 period. The effective tax rate increase for the 2026 period in comparison to the 2025 period was primarily due to the estimated annual effective tax rate applied in the interim provision calculation, which increased the relative impact of state income taxes, tax credits, permanent items and discrete tax items on the quarter’s tax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fiscal 2022, the Company entered into a senior secured credit agreement (as amended periodically, the “Credit Agreement”) including a revolving credit facility (the “Revolving Credit Facility”) and a term loan facility (together with the Revolving Credit Facility, the “Credit Facility”). On November 1, 2024, D&amp;B Inc. entered into an amendment with its banking syndicate that amended the Credit Facility (the “Fourth Amendment”). The Fourth Amendment, among other things, increased term loans to an aggregate principal amount of $700.0 (the “Incremental Term B Loans”) with a maturity date of November 1, 2031, and increased the Revolving Credit Facility by $150.0 to a total of $650.0 and extended the maturity date of November 1, 2029. The proceeds from the Incremental Term B Loans were primarily used to redeem $440.0 of outstanding senior secured notes, and to pay down $200.0 of the principal on term loans outstanding under the Credit Facility (the “Existing Term B Loans”).</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December 2025, D&amp;B Inc., Dave &amp; Buster’s Holdings, Inc. (“D&amp;B Holdings”), the lenders party thereto and Deutsche Bank AG New York Branch, as administrative agent, entered into the Fifth Amendment to the Credit Agreement (the “Fifth Amendment”),</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Fifth Amendment among other things:</w:t>
      </w:r>
    </w:p>
    <w:p>
      <w:pPr>
        <w:spacing w:after="0" w:line="63" w:lineRule="exact"/>
        <w:rPr>
          <w:sz w:val="20"/>
          <w:szCs w:val="20"/>
          <w:color w:val="auto"/>
        </w:rPr>
      </w:pPr>
    </w:p>
    <w:p>
      <w:pPr>
        <w:ind w:left="820" w:hanging="326"/>
        <w:spacing w:after="0" w:line="281"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an increase in the maximum permitted net total leverage ratio of D&amp;B Inc. and its restricted subsidiaries from 3.50:1.00 to 4.00:1.00 as of the end of each fiscal quarter when applicable to test the net total leverage ratio and</w:t>
      </w:r>
    </w:p>
    <w:p>
      <w:pPr>
        <w:spacing w:after="0" w:line="1"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margin applicable to the revolving loans to, in the case of SOFR loans, 3.25% per annum and, in the case of ABR loans, 2.25% per annum.</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Both the Existing Term B Loans and the Incremental Term B Loans bear interest at Term SOFR or ABR (each, as defined in the amended Credit Agreement) plus (i) in the case of Term SOFR loans, 3.25% per annum and (ii) in the case of ABR loans, 2.25% per annum. Borrowings under the Revolving Credit Facility bear interest subject to a pricing grid based on net total leverage, at Term SOFR plus a spread ranging from 2.50% to 3.25% per annum or ABR plus a spread ranging from 1.50% to 2.25% per annum. Unused commitments under the Revolving Credit Facility incur initial commitment fees of 0.30% to 0.50%. Additionally, the interest rate margin applicable to the Existing Term B Loans and loans outstanding under the Revolving Credit Facility would be subject to an additional 0.25% step-down if a rating of B1/B+ or higher from Moody’s and S&amp;P is achieved (which will step up if such rating is subsequently not maintained).</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 portion of the Revolving Credit Facility not to exceed $35.0 is available for the issuance of letters of credit. As of May 5, 2026, we had letters of credit outstanding of $20.5 and an unused commitment balance of $479.5 under the Revolving Credit Facility. The Credit Facility may be increased through incremental facilities, by an amount equal to the greater of (i) $400.0 and (ii) 0.75 times trailing 12-month Adjusted EBITDA, as defined in the Credit Agreement, plus additional amounts subject to compliance with applicable leverage ratio and/or interest coverage ratio requirements.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Sale-leaseback transactions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entered into sale and master lease agreements (a “sale leaseback”) with unrelated third parties. Under these agreements, the Company has sold certain store properties, including land, buildings and certain improvements and then leased the assets back through the sale-leaseback transactions.</w:t>
      </w:r>
    </w:p>
    <w:p>
      <w:pPr>
        <w:spacing w:after="0" w:line="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sale-leaseback transactions were accounted for as failed sale leasebacks based on GAAP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 a result, the store property assets remained on the Consolidated Balance Sheet at their historical net book value and are depreciated over the remaining term of the applicable master lease. Financing liabilities were recognized in the amount of the proceeds received, net of certain transactions costs. The Company does not recognize rent expense related to the leased assets. Instead, monthly rent payments under the applicable master lease agreement are recorded as interest expense and a reduction of the outstanding liability.</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3 to the unaudited consolidated financial statements for further discussion of these transactions.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recorded interest expense, net for the periods presented:</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820" w:type="dxa"/>
            <w:vAlign w:val="bottom"/>
            <w:gridSpan w:val="4"/>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r>
      <w:tr>
        <w:trPr>
          <w:trHeight w:val="37"/>
        </w:trPr>
        <w:tc>
          <w:tcPr>
            <w:tcW w:w="79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186"/>
        </w:trPr>
        <w:tc>
          <w:tcPr>
            <w:tcW w:w="79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5, 2026</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6, 2025</w:t>
            </w:r>
          </w:p>
        </w:tc>
        <w:tc>
          <w:tcPr>
            <w:tcW w:w="380" w:type="dxa"/>
            <w:vAlign w:val="bottom"/>
          </w:tcPr>
          <w:p>
            <w:pPr>
              <w:spacing w:after="0"/>
              <w:rPr>
                <w:sz w:val="16"/>
                <w:szCs w:val="16"/>
                <w:color w:val="auto"/>
              </w:rPr>
            </w:pPr>
          </w:p>
        </w:tc>
      </w:tr>
      <w:tr>
        <w:trPr>
          <w:trHeight w:val="23"/>
        </w:trPr>
        <w:tc>
          <w:tcPr>
            <w:tcW w:w="79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17"/>
        </w:trPr>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on debt</w:t>
            </w:r>
          </w:p>
        </w:tc>
        <w:tc>
          <w:tcPr>
            <w:tcW w:w="1180" w:type="dxa"/>
            <w:vAlign w:val="bottom"/>
            <w:tcBorders>
              <w:bottom w:val="single" w:sz="8" w:color="CCEEFF"/>
            </w:tcBorders>
            <w:shd w:val="clear" w:color="auto" w:fill="CCEEFF"/>
          </w:tcPr>
          <w:p>
            <w:pPr>
              <w:jc w:val="right"/>
              <w:ind w:right="100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29.3</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10"/>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debt issue discounts and issuance costs</w:t>
            </w:r>
          </w:p>
        </w:tc>
        <w:tc>
          <w:tcPr>
            <w:tcW w:w="1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33"/>
        </w:trPr>
        <w:tc>
          <w:tcPr>
            <w:tcW w:w="7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4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Interest expense on sale-leaseback transactions </w:t>
            </w:r>
            <w:r>
              <w:rPr>
                <w:rFonts w:ascii="Times New Roman" w:cs="Times New Roman" w:eastAsia="Times New Roman" w:hAnsi="Times New Roman"/>
                <w:sz w:val="21"/>
                <w:szCs w:val="21"/>
                <w:color w:val="auto"/>
                <w:vertAlign w:val="superscript"/>
              </w:rPr>
              <w:t>(1)</w:t>
            </w:r>
          </w:p>
        </w:tc>
        <w:tc>
          <w:tcPr>
            <w:tcW w:w="11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43"/>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Interest expense on finance leases </w:t>
            </w:r>
            <w:r>
              <w:rPr>
                <w:rFonts w:ascii="Times New Roman" w:cs="Times New Roman" w:eastAsia="Times New Roman" w:hAnsi="Times New Roman"/>
                <w:sz w:val="21"/>
                <w:szCs w:val="21"/>
                <w:color w:val="auto"/>
                <w:vertAlign w:val="superscript"/>
              </w:rPr>
              <w:t>(1)</w:t>
            </w:r>
          </w:p>
        </w:tc>
        <w:tc>
          <w:tcPr>
            <w:tcW w:w="1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0"/>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Capitalized interest</w:t>
            </w:r>
          </w:p>
        </w:tc>
        <w:tc>
          <w:tcPr>
            <w:tcW w:w="1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79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interest expense, net</w:t>
            </w:r>
          </w:p>
        </w:tc>
        <w:tc>
          <w:tcPr>
            <w:tcW w:w="1180" w:type="dxa"/>
            <w:vAlign w:val="bottom"/>
            <w:tcBorders>
              <w:bottom w:val="single" w:sz="8" w:color="CCEEFF"/>
            </w:tcBorders>
            <w:shd w:val="clear" w:color="auto" w:fill="CCEEFF"/>
          </w:tcPr>
          <w:p>
            <w:pPr>
              <w:jc w:val="right"/>
              <w:ind w:right="100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240" w:hanging="232"/>
        <w:spacing w:after="0"/>
        <w:tabs>
          <w:tab w:leader="none" w:pos="24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discussion of failed sale-leaseback transactions and finance leases at Note 3 to the unaudited consolidated financial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Adjusted EBITDA and Net Total Leverage Ratio</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Credit Adjusted EBITDA, a non-GAAP measure, represents net loss plus certain items as defined at </w:t>
      </w: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i w:val="1"/>
          <w:iCs w:val="1"/>
          <w:color w:val="auto"/>
        </w:rPr>
        <w:t>Non-GAAP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Measures </w:t>
      </w:r>
      <w:r>
        <w:rPr>
          <w:rFonts w:ascii="Times New Roman" w:cs="Times New Roman" w:eastAsia="Times New Roman" w:hAnsi="Times New Roman"/>
          <w:sz w:val="18"/>
          <w:szCs w:val="18"/>
          <w:color w:val="auto"/>
        </w:rPr>
        <w:t>above, as well as certain other adjustments as defined in our Credit Agreement. These other adjustments include (i) entertainment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deferrals, (ii) the cost of new projects, including store pre-opening costs, (iii) business optimization expenses and other restructuring costs, and (iv) other costs and adjustments as permitted by the Credit Agreements. The following table reconciles Net income to Credit Adjusted EBITDA, as defined in our Credit Agreement for the period indicated:</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9640" w:type="dxa"/>
            <w:vAlign w:val="bottom"/>
          </w:tcPr>
          <w:p>
            <w:pPr>
              <w:spacing w:after="0"/>
              <w:rPr>
                <w:sz w:val="15"/>
                <w:szCs w:val="15"/>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Trailing Four Quarters</w:t>
            </w:r>
          </w:p>
        </w:tc>
      </w:tr>
      <w:tr>
        <w:trPr>
          <w:trHeight w:val="176"/>
        </w:trPr>
        <w:tc>
          <w:tcPr>
            <w:tcW w:w="9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9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May 5, 2026</w:t>
            </w:r>
          </w:p>
        </w:tc>
      </w:tr>
      <w:tr>
        <w:trPr>
          <w:trHeight w:val="23"/>
        </w:trPr>
        <w:tc>
          <w:tcPr>
            <w:tcW w:w="9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r>
      <w:tr>
        <w:trPr>
          <w:trHeight w:val="233"/>
        </w:trPr>
        <w:tc>
          <w:tcPr>
            <w:tcW w:w="9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w:t>
            </w:r>
          </w:p>
        </w:tc>
      </w:tr>
      <w:tr>
        <w:trPr>
          <w:trHeight w:val="253"/>
        </w:trPr>
        <w:tc>
          <w:tcPr>
            <w:tcW w:w="9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Loss on debt refinancing</w:t>
            </w: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9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53"/>
        </w:trPr>
        <w:tc>
          <w:tcPr>
            <w:tcW w:w="9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w:t>
            </w:r>
          </w:p>
        </w:tc>
      </w:tr>
      <w:tr>
        <w:trPr>
          <w:trHeight w:val="243"/>
        </w:trPr>
        <w:tc>
          <w:tcPr>
            <w:tcW w:w="9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 xml:space="preserve">Share-based compensation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43"/>
        </w:trPr>
        <w:tc>
          <w:tcPr>
            <w:tcW w:w="9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 xml:space="preserve">Transaction and integration costs </w:t>
            </w:r>
            <w:r>
              <w:rPr>
                <w:rFonts w:ascii="Times New Roman" w:cs="Times New Roman" w:eastAsia="Times New Roman" w:hAnsi="Times New Roman"/>
                <w:sz w:val="21"/>
                <w:szCs w:val="21"/>
                <w:color w:val="auto"/>
                <w:vertAlign w:val="superscript"/>
              </w:rPr>
              <w:t>(2)</w:t>
            </w: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43"/>
        </w:trPr>
        <w:tc>
          <w:tcPr>
            <w:tcW w:w="9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 xml:space="preserve">System implementation costs </w:t>
            </w:r>
            <w:r>
              <w:rPr>
                <w:rFonts w:ascii="Times New Roman" w:cs="Times New Roman" w:eastAsia="Times New Roman" w:hAnsi="Times New Roman"/>
                <w:sz w:val="21"/>
                <w:szCs w:val="21"/>
                <w:color w:val="auto"/>
                <w:vertAlign w:val="superscript"/>
              </w:rPr>
              <w:t>(3)</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43"/>
        </w:trPr>
        <w:tc>
          <w:tcPr>
            <w:tcW w:w="9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 xml:space="preserve">Loss on property and equipment transactions and impairments </w:t>
            </w:r>
            <w:r>
              <w:rPr>
                <w:rFonts w:ascii="Times New Roman" w:cs="Times New Roman" w:eastAsia="Times New Roman" w:hAnsi="Times New Roman"/>
                <w:sz w:val="21"/>
                <w:szCs w:val="21"/>
                <w:color w:val="auto"/>
                <w:vertAlign w:val="superscript"/>
              </w:rPr>
              <w:t>(4)</w:t>
            </w: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43"/>
        </w:trPr>
        <w:tc>
          <w:tcPr>
            <w:tcW w:w="9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 xml:space="preserve">Other items, net </w:t>
            </w:r>
            <w:r>
              <w:rPr>
                <w:rFonts w:ascii="Times New Roman" w:cs="Times New Roman" w:eastAsia="Times New Roman" w:hAnsi="Times New Roman"/>
                <w:sz w:val="21"/>
                <w:szCs w:val="21"/>
                <w:color w:val="auto"/>
                <w:vertAlign w:val="superscript"/>
              </w:rPr>
              <w:t>(5)</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43"/>
        </w:trPr>
        <w:tc>
          <w:tcPr>
            <w:tcW w:w="9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 xml:space="preserve">Pre-opening costs </w:t>
            </w:r>
            <w:r>
              <w:rPr>
                <w:rFonts w:ascii="Times New Roman" w:cs="Times New Roman" w:eastAsia="Times New Roman" w:hAnsi="Times New Roman"/>
                <w:sz w:val="21"/>
                <w:szCs w:val="21"/>
                <w:color w:val="auto"/>
                <w:vertAlign w:val="superscript"/>
              </w:rPr>
              <w:t>(6)</w:t>
            </w: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43"/>
        </w:trPr>
        <w:tc>
          <w:tcPr>
            <w:tcW w:w="96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 xml:space="preserve">Credit Facility specific items, net </w:t>
            </w:r>
            <w:r>
              <w:rPr>
                <w:rFonts w:ascii="Times New Roman" w:cs="Times New Roman" w:eastAsia="Times New Roman" w:hAnsi="Times New Roman"/>
                <w:sz w:val="21"/>
                <w:szCs w:val="21"/>
                <w:color w:val="auto"/>
                <w:vertAlign w:val="superscript"/>
              </w:rPr>
              <w:t>(7)</w:t>
            </w: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62"/>
        </w:trPr>
        <w:tc>
          <w:tcPr>
            <w:tcW w:w="9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Credit Adjusted EBITDA, a non-GAAP measure</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461.9</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352"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See discussion of share-based compensation at </w:t>
      </w:r>
      <w:r>
        <w:rPr>
          <w:rFonts w:ascii="Times New Roman" w:cs="Times New Roman" w:eastAsia="Times New Roman" w:hAnsi="Times New Roman"/>
          <w:sz w:val="16"/>
          <w:szCs w:val="16"/>
          <w:i w:val="1"/>
          <w:iCs w:val="1"/>
          <w:color w:val="auto"/>
        </w:rPr>
        <w:t>Adjusted EBITDA</w:t>
      </w:r>
      <w:r>
        <w:rPr>
          <w:rFonts w:ascii="Times New Roman" w:cs="Times New Roman" w:eastAsia="Times New Roman" w:hAnsi="Times New Roman"/>
          <w:sz w:val="16"/>
          <w:szCs w:val="16"/>
          <w:color w:val="auto"/>
        </w:rPr>
        <w:t xml:space="preserve"> above.</w:t>
      </w:r>
    </w:p>
    <w:p>
      <w:pPr>
        <w:ind w:left="320" w:hanging="312"/>
        <w:spacing w:after="0" w:line="191" w:lineRule="auto"/>
        <w:tabs>
          <w:tab w:leader="none" w:pos="32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See discussion of transaction and integration costs at </w:t>
      </w:r>
      <w:r>
        <w:rPr>
          <w:rFonts w:ascii="Times New Roman" w:cs="Times New Roman" w:eastAsia="Times New Roman" w:hAnsi="Times New Roman"/>
          <w:sz w:val="16"/>
          <w:szCs w:val="16"/>
          <w:i w:val="1"/>
          <w:iCs w:val="1"/>
          <w:color w:val="auto"/>
        </w:rPr>
        <w:t>Adjusted EBITDA</w:t>
      </w:r>
      <w:r>
        <w:rPr>
          <w:rFonts w:ascii="Times New Roman" w:cs="Times New Roman" w:eastAsia="Times New Roman" w:hAnsi="Times New Roman"/>
          <w:sz w:val="16"/>
          <w:szCs w:val="16"/>
          <w:color w:val="auto"/>
        </w:rPr>
        <w:t xml:space="preserve"> above.</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See discussion of system implementation costs at </w:t>
      </w:r>
      <w:r>
        <w:rPr>
          <w:rFonts w:ascii="Times New Roman" w:cs="Times New Roman" w:eastAsia="Times New Roman" w:hAnsi="Times New Roman"/>
          <w:sz w:val="16"/>
          <w:szCs w:val="16"/>
          <w:i w:val="1"/>
          <w:iCs w:val="1"/>
          <w:color w:val="auto"/>
        </w:rPr>
        <w:t>Adjusted EBITDA</w:t>
      </w:r>
      <w:r>
        <w:rPr>
          <w:rFonts w:ascii="Times New Roman" w:cs="Times New Roman" w:eastAsia="Times New Roman" w:hAnsi="Times New Roman"/>
          <w:sz w:val="16"/>
          <w:szCs w:val="16"/>
          <w:color w:val="auto"/>
        </w:rPr>
        <w:t xml:space="preserve"> above.</w:t>
      </w:r>
    </w:p>
    <w:p>
      <w:pPr>
        <w:ind w:left="320" w:hanging="312"/>
        <w:spacing w:after="0" w:line="191" w:lineRule="auto"/>
        <w:tabs>
          <w:tab w:leader="none" w:pos="32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store asset impairments and loss on property and equipment disposals.</w:t>
      </w:r>
    </w:p>
    <w:p>
      <w:pPr>
        <w:spacing w:after="0" w:line="10" w:lineRule="exact"/>
        <w:rPr>
          <w:rFonts w:ascii="Times New Roman" w:cs="Times New Roman" w:eastAsia="Times New Roman" w:hAnsi="Times New Roman"/>
          <w:sz w:val="21"/>
          <w:szCs w:val="21"/>
          <w:color w:val="auto"/>
          <w:vertAlign w:val="superscript"/>
        </w:rPr>
      </w:pPr>
    </w:p>
    <w:p>
      <w:pPr>
        <w:jc w:val="both"/>
        <w:ind w:left="340" w:right="80" w:hanging="332"/>
        <w:spacing w:after="0" w:line="236" w:lineRule="auto"/>
        <w:tabs>
          <w:tab w:leader="none" w:pos="328"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consists of discretionary retention incentives, severance costs, (gain) loss on property and equipment transactions and certain third-party consulting fees. The third-party consulting fees are not part of our ongoing operations and were incurred in association with a change in leadership to execute discrete, project-based strategic initiatives aimed at analyzing and summarizing growth opportunities and cost reductions for the Company. The transformative nature, narrow scope, and limited duration of these incremental consulting fees are not reflective of the ordinary course expenses incurred to operate our business. Third-party consulting fees, discretionary retention incentives and severance costs are included in General and administrative expenses on the Consolidated Statements of Comprehensive Income.</w:t>
      </w:r>
    </w:p>
    <w:p>
      <w:pPr>
        <w:ind w:left="340" w:right="100" w:hanging="332"/>
        <w:spacing w:after="0" w:line="218" w:lineRule="auto"/>
        <w:tabs>
          <w:tab w:leader="none" w:pos="328"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costs incurred, primarily consisting of occupancy and payroll related expenses, associated with the opening of new stores. These costs are considered a “cost of new projects” as defined in our Credit Facility.</w:t>
      </w:r>
    </w:p>
    <w:p>
      <w:pPr>
        <w:spacing w:after="0" w:line="1" w:lineRule="exact"/>
        <w:rPr>
          <w:rFonts w:ascii="Times New Roman" w:cs="Times New Roman" w:eastAsia="Times New Roman" w:hAnsi="Times New Roman"/>
          <w:sz w:val="21"/>
          <w:szCs w:val="21"/>
          <w:color w:val="auto"/>
          <w:vertAlign w:val="superscript"/>
        </w:rPr>
      </w:pPr>
    </w:p>
    <w:p>
      <w:pPr>
        <w:jc w:val="both"/>
        <w:ind w:left="340" w:right="80" w:hanging="332"/>
        <w:spacing w:after="0" w:line="229" w:lineRule="auto"/>
        <w:tabs>
          <w:tab w:leader="none" w:pos="328"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other adjustments allowed under our Credit Agreement in the determination of Net Total Leverage Ratio including (i) amortization of software costs, (ii) executive search fees, (iii) public company costs, (iv) estimated impact of remodels to financial performance, (v) the proforma impact of certain leases that were reclassified as finance leases during fiscal 2025 and (vi) the pro forma impact of certain implemented cost saving initiatives.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Net Total Leverage Ratio calculation, as defined in our Credit Agreement as of and for the period indicated:</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Credit Adjusted EBITDA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-150495</wp:posOffset>
            </wp:positionV>
            <wp:extent cx="7106285"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Total debt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-6985</wp:posOffset>
            </wp:positionV>
            <wp:extent cx="710628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6"/>
          <w:szCs w:val="16"/>
          <w:color w:val="auto"/>
        </w:rPr>
        <w:t>Less: Cash and cash equivalents</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Add: Outstanding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7106285"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Net debt (b)</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Total Leverage Ratio (b / a)</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and for the Trailing</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Four Quarters Ended</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May 5, 2026</w:t>
      </w:r>
    </w:p>
    <w:p>
      <w:pPr>
        <w:spacing w:after="0" w:line="65" w:lineRule="exact"/>
        <w:rPr>
          <w:sz w:val="20"/>
          <w:szCs w:val="20"/>
          <w:color w:val="auto"/>
        </w:rPr>
      </w:pPr>
    </w:p>
    <w:p>
      <w:pPr>
        <w:ind w:left="1100" w:hanging="1096"/>
        <w:spacing w:after="0"/>
        <w:tabs>
          <w:tab w:leader="none" w:pos="11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54610</wp:posOffset>
            </wp:positionV>
            <wp:extent cx="10375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93" w:lineRule="exact"/>
        <w:rPr>
          <w:sz w:val="20"/>
          <w:szCs w:val="20"/>
          <w:color w:val="auto"/>
        </w:rPr>
      </w:pPr>
    </w:p>
    <w:p>
      <w:pPr>
        <w:ind w:left="980" w:hanging="976"/>
        <w:spacing w:after="0"/>
        <w:tabs>
          <w:tab w:leader="none" w:pos="9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1,535.3</w:t>
      </w:r>
    </w:p>
    <w:p>
      <w:pPr>
        <w:spacing w:after="0" w:line="45" w:lineRule="exact"/>
        <w:rPr>
          <w:rFonts w:ascii="Times New Roman" w:cs="Times New Roman" w:eastAsia="Times New Roman" w:hAnsi="Times New Roman"/>
          <w:sz w:val="16"/>
          <w:szCs w:val="16"/>
          <w:color w:val="auto"/>
        </w:rPr>
      </w:pPr>
    </w:p>
    <w:p>
      <w:pPr>
        <w:ind w:left="11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(19.6)</w:t>
      </w:r>
    </w:p>
    <w:p>
      <w:pPr>
        <w:spacing w:after="0" w:line="7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20.5</w:t>
      </w:r>
    </w:p>
    <w:p>
      <w:pPr>
        <w:spacing w:after="0" w:line="73" w:lineRule="exact"/>
        <w:rPr>
          <w:sz w:val="20"/>
          <w:szCs w:val="20"/>
          <w:color w:val="auto"/>
        </w:rPr>
      </w:pPr>
    </w:p>
    <w:p>
      <w:pPr>
        <w:ind w:left="980" w:hanging="976"/>
        <w:spacing w:after="0"/>
        <w:tabs>
          <w:tab w:leader="none" w:pos="9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1,536.2</w:t>
      </w:r>
    </w:p>
    <w:p>
      <w:pPr>
        <w:spacing w:after="0" w:line="72" w:lineRule="exact"/>
        <w:rPr>
          <w:rFonts w:ascii="Times New Roman" w:cs="Times New Roman" w:eastAsia="Times New Roman" w:hAnsi="Times New Roman"/>
          <w:sz w:val="16"/>
          <w:szCs w:val="16"/>
          <w:color w:val="auto"/>
        </w:rPr>
      </w:pPr>
    </w:p>
    <w:p>
      <w:pPr>
        <w:ind w:left="12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10375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54610</wp:posOffset>
            </wp:positionV>
            <wp:extent cx="10375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375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-133350</wp:posOffset>
            </wp:positionV>
            <wp:extent cx="10375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880" w:space="720"/>
            <w:col w:w="1640"/>
          </w:cols>
          <w:pgMar w:left="320" w:top="171" w:right="339" w:bottom="1440" w:gutter="0" w:footer="0" w:header="0"/>
          <w:type w:val="continuous"/>
        </w:sectPr>
      </w:pPr>
    </w:p>
    <w:p>
      <w:pPr>
        <w:spacing w:after="0" w:line="8" w:lineRule="exact"/>
        <w:rPr>
          <w:sz w:val="20"/>
          <w:szCs w:val="20"/>
          <w:color w:val="auto"/>
        </w:rPr>
      </w:pPr>
    </w:p>
    <w:p>
      <w:pPr>
        <w:ind w:left="340" w:right="80" w:hanging="332"/>
        <w:spacing w:after="0" w:line="232" w:lineRule="auto"/>
        <w:tabs>
          <w:tab w:leader="none" w:pos="328"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 represents the face amount of debt outstanding, net of unamortized debt issuance costs and debt discounts, and balances outstanding under finance leases. See discussion of finance leases at Note 3 to the unaudited consolidated financial statements.</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Dividends and Share Repurchases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March 2023, our Board of Directors approved a share repurchase program with an initial authorized limit of $100.0. Subsequently, our Board of Directors approved additional repurchases for a total authorized limit of $600.0 under the plan as of May 5, 2026. The remaining dollar value of shares that may be repurchased under the program was $104.0 as of May 5, 2026. Future decisions to repurchase shares continue to be at the discretion of the Board of Directors and will be dependent on our operating performance, financial condition, capital expenditure requirements and other factors that the Board of Directors considers relevant.</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have been no dividends declared or paid during 2026. Future decisions to pay cash dividends or repurchase shares continue to be at the discretion of the Board of Directors and will be dependent on our operating performance, financial condition, capital expenditure requirements, compliance with debt agreements and other factors that the Board of Directors considers relevant.</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of May 5, 2026, the Company had cash and cash equivalents of $19.6. The Company can operate with a working capital deficit because cash from sales is usually received before related liabilities for product supplies, labor and services become due. Our operations do not require significant inventory or receivables, and we continually invest in our business through the growth of stores and operating improvement additions, which are reflected as non-current assets and not a part of working capital. Based on our current business plan, we believe our cash and cash equivalents, combined with expected cash flows from operations and available borrowings under our Revolving Credit Facility, should be sufficient not only for our operating requirements but also to enable us, in the aggregate, to finance our capital allocation strategy, including capital expenditures, through at least the next twelve months.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Activity</w:t>
      </w:r>
    </w:p>
    <w:p>
      <w:pPr>
        <w:spacing w:after="0" w:line="117"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 Cash flow from operations typically provides us with a significant source of liquidity. Our operating cash flows result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from cash received from our customers, offset by cash payments we make for products and services, team member compensation, occupancy, and other operating costs. Cash from operating activities is also subject to changes in working capital. Working capital at any specific point in time is subject to many variables, including seasonality, the timing of cash receipts and payments, and vendor payment terms, partially offset by lower Other long-term liabilities.</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Cash flow from operating activities increased to $113.8 for the 2026 period compared to $95.8 for the 2025 period. The increase was primarily driven by changes in working capital due to timing of accruals and payments, partially offset by a decrease in net income.</w:t>
      </w:r>
    </w:p>
    <w:p>
      <w:pPr>
        <w:spacing w:after="0" w:line="5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 Cash flow used in investing decreased to $105.3 for the 2026 period from $154.6 for the 2025 period primarily due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in capital expenditures.</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reflects accrual-based capital additions for the periods presented along with certain reimbursements from landlords directly related to certain of those capital additions and proceeds from the sale of certain capital assets: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7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37"/>
        </w:trPr>
        <w:tc>
          <w:tcPr>
            <w:tcW w:w="7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May 5, 2026</w:t>
            </w:r>
          </w:p>
        </w:tc>
        <w:tc>
          <w:tcPr>
            <w:tcW w:w="260" w:type="dxa"/>
            <w:vAlign w:val="bottom"/>
          </w:tcPr>
          <w:p>
            <w:pPr>
              <w:spacing w:after="0"/>
              <w:rPr>
                <w:sz w:val="20"/>
                <w:szCs w:val="20"/>
                <w:color w:val="auto"/>
              </w:rPr>
            </w:pPr>
          </w:p>
        </w:tc>
        <w:tc>
          <w:tcPr>
            <w:tcW w:w="144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May 6, 2025</w:t>
            </w:r>
          </w:p>
        </w:tc>
      </w:tr>
      <w:tr>
        <w:trPr>
          <w:trHeight w:val="250"/>
        </w:trPr>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stores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43"/>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Remodels and other initiatives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Games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43"/>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7"/>
        </w:trPr>
        <w:tc>
          <w:tcPr>
            <w:tcW w:w="7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7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additions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70"/>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Proceeds from landlords - tenant improvements and lease incentives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Payments from landlords - sale leaseback transactions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Capital additions, net of landlord reimbursements and other proceeds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420" w:hanging="412"/>
        <w:spacing w:after="0" w:line="239" w:lineRule="auto"/>
        <w:tabs>
          <w:tab w:leader="none" w:pos="354"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received from landlords as reimbursements for tenant improvements. Amounts related to operating leases are recorded as a reduction to operating lease right of use assets on the Consolidated Balance Sheets and included in cash provided by operating activities in the Consolidated Statements of Cash Flows. Amounts related to finance leases are recorded as a reduction to property and equipment on the Consolidated Balance Sheets and included in cash used in investing activities in the Consolidated Statements of Cash Flows.</w:t>
      </w:r>
    </w:p>
    <w:p>
      <w:pPr>
        <w:ind w:left="420" w:hanging="412"/>
        <w:spacing w:after="0" w:line="220" w:lineRule="auto"/>
        <w:tabs>
          <w:tab w:leader="none" w:pos="291"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received from landlords in sale-leaseback transactions and included in cash provided by financing activities in the Consolidated Statements of Cash Flows. See Note 8 to the unaudited consolidated financial statements for further discussion.</w:t>
      </w:r>
    </w:p>
    <w:p>
      <w:pPr>
        <w:spacing w:after="0" w:line="80"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 Cash flow used in financing was $5.5 in the 2026 period primarily consisting of net debt payments, partially offset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proceeds from sale-leaseback transactions. Cash flow provided by financing activities of $63.8 in the 2025 period primarily consisted of net debt proceeds, partially offset by share repurchases.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contractual obligations as reported on Form 10-K for the year ended February 3,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and estimates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 events were made. We evaluate our estimates and judgments on an 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A complete description of our critical accounting policies and estimates is included in our annual consolidated financial statements and the related notes in our Annual Report on Form 10-K for the year ended February 3, 2026.</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1 to the unaudited consolidated financial statements for information regarding new accounting pronouncements.</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exposed to market price fluctuation in food, beverage, supplies and other costs such as energy. Given the historical volatility of certain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borrowings under the Credit Facility, discussed further at Note 4 to the unaudited consolidated financial statements, bear interest based on variable interest rates. As of May 5, 2026, the Company had $150.0 outstanding on its revolving facility and an outstanding balance of $1,380.5 on its term loan facility. The impact on our annual results of operations of a hypothetical one percentage point interest rate change on the outstanding balance of the Credit Facility as of May 5, 2026 would be approximately $15.3.</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Severe increases in inflation, whether due to imposed tariffs or standard economic conditions, could affect the United States or global economies and have an adverse impact on our business, financial condition and results of operation. If several of the various costs in our business experience inflation at the same time, such as commodity price increases beyond our ability to control and increased labor costs, we may not be able to adjust prices to sufficiently offset the effect of the various cost increases without negatively impacting consumer demand.</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 and 15d-15 promulgated under the Exchange Act as of the end of the period covered by this report. Based on that evaluation, the Chief Executive Officer and Chief Financial Officer have concluded that these disclosure controls and procedures are effective.</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practices or processes that materially affected, or were reasonably likely to materially affect, our internal control over financial reporting during our first quarter ended May 5, 2026.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Information regarding legal proceedings is incorporated by reference from Note 5 to our unaudited consolidated financial statements set forth in Part I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See discussion in “Risk Factors” in Item 1A of the Company's Annual Report on Form 10-K for the year ended February 3, 2026. There have been no material changes from the information set forth in “Risk Factors” in Item 1A of the Company’s Annual Report on Form 10-K for the year ended February 3, 2026</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regarding repurchase of our common stock during the three months ended May 5, 2026: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75"/>
        </w:trPr>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60" w:type="dxa"/>
            <w:vAlign w:val="bottom"/>
          </w:tcPr>
          <w:p>
            <w:pPr>
              <w:spacing w:after="0"/>
              <w:rPr>
                <w:sz w:val="15"/>
                <w:szCs w:val="15"/>
                <w:color w:val="auto"/>
              </w:rPr>
            </w:pPr>
          </w:p>
        </w:tc>
        <w:tc>
          <w:tcPr>
            <w:tcW w:w="2300" w:type="dxa"/>
            <w:vAlign w:val="bottom"/>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62"/>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Repurchased as Part of Publicly</w:t>
            </w:r>
          </w:p>
        </w:tc>
        <w:tc>
          <w:tcPr>
            <w:tcW w:w="260" w:type="dxa"/>
            <w:vAlign w:val="bottom"/>
          </w:tcPr>
          <w:p>
            <w:pPr>
              <w:spacing w:after="0"/>
              <w:rPr>
                <w:sz w:val="14"/>
                <w:szCs w:val="14"/>
                <w:color w:val="auto"/>
              </w:rPr>
            </w:pPr>
          </w:p>
        </w:tc>
        <w:tc>
          <w:tcPr>
            <w:tcW w:w="2300" w:type="dxa"/>
            <w:vAlign w:val="bottom"/>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Repurchased</w:t>
            </w:r>
          </w:p>
        </w:tc>
      </w:tr>
      <w:tr>
        <w:trPr>
          <w:trHeight w:val="172"/>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left="148"/>
              <w:spacing w:after="0" w:line="172" w:lineRule="exact"/>
              <w:rPr>
                <w:sz w:val="20"/>
                <w:szCs w:val="20"/>
                <w:color w:val="auto"/>
              </w:rPr>
            </w:pPr>
            <w:r>
              <w:rPr>
                <w:rFonts w:ascii="Times New Roman" w:cs="Times New Roman" w:eastAsia="Times New Roman" w:hAnsi="Times New Roman"/>
                <w:sz w:val="14"/>
                <w:szCs w:val="14"/>
                <w:b w:val="1"/>
                <w:bCs w:val="1"/>
                <w:color w:val="auto"/>
                <w:w w:val="99"/>
              </w:rPr>
              <w:t xml:space="preserve">Repurchased </w:t>
            </w:r>
            <w:r>
              <w:rPr>
                <w:rFonts w:ascii="Times New Roman" w:cs="Times New Roman" w:eastAsia="Times New Roman" w:hAnsi="Times New Roman"/>
                <w:sz w:val="18"/>
                <w:szCs w:val="18"/>
                <w:b w:val="1"/>
                <w:bCs w:val="1"/>
                <w:color w:val="auto"/>
                <w:w w:val="99"/>
                <w:vertAlign w:val="superscript"/>
              </w:rPr>
              <w:t>(2)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12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4"/>
                <w:szCs w:val="14"/>
                <w:b w:val="1"/>
                <w:bCs w:val="1"/>
                <w:color w:val="auto"/>
                <w:w w:val="97"/>
              </w:rPr>
              <w:t xml:space="preserve">Announced Plans </w:t>
            </w:r>
            <w:r>
              <w:rPr>
                <w:rFonts w:ascii="Times New Roman" w:cs="Times New Roman" w:eastAsia="Times New Roman" w:hAnsi="Times New Roman"/>
                <w:sz w:val="18"/>
                <w:szCs w:val="18"/>
                <w:b w:val="1"/>
                <w:bCs w:val="1"/>
                <w:color w:val="auto"/>
                <w:w w:val="97"/>
                <w:vertAlign w:val="superscript"/>
              </w:rPr>
              <w:t>(2) (3)</w:t>
            </w:r>
          </w:p>
        </w:tc>
        <w:tc>
          <w:tcPr>
            <w:tcW w:w="260" w:type="dxa"/>
            <w:vAlign w:val="bottom"/>
          </w:tcPr>
          <w:p>
            <w:pPr>
              <w:spacing w:after="0"/>
              <w:rPr>
                <w:sz w:val="14"/>
                <w:szCs w:val="14"/>
                <w:color w:val="auto"/>
              </w:rPr>
            </w:pPr>
          </w:p>
        </w:tc>
        <w:tc>
          <w:tcPr>
            <w:tcW w:w="2300" w:type="dxa"/>
            <w:vAlign w:val="bottom"/>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 xml:space="preserve">Under the Plans </w:t>
            </w:r>
            <w:r>
              <w:rPr>
                <w:rFonts w:ascii="Times New Roman" w:cs="Times New Roman" w:eastAsia="Times New Roman" w:hAnsi="Times New Roman"/>
                <w:sz w:val="9"/>
                <w:szCs w:val="9"/>
                <w:b w:val="1"/>
                <w:bCs w:val="1"/>
                <w:color w:val="auto"/>
              </w:rPr>
              <w:t>(4)</w:t>
            </w:r>
          </w:p>
        </w:tc>
      </w:tr>
      <w:tr>
        <w:trPr>
          <w:trHeight w:val="230"/>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Period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 xml:space="preserve">Paid per Share </w:t>
            </w:r>
            <w:r>
              <w:rPr>
                <w:rFonts w:ascii="Times New Roman" w:cs="Times New Roman" w:eastAsia="Times New Roman" w:hAnsi="Times New Roman"/>
                <w:sz w:val="18"/>
                <w:szCs w:val="18"/>
                <w:b w:val="1"/>
                <w:bCs w:val="1"/>
                <w:color w:val="auto"/>
                <w:w w:val="99"/>
                <w:vertAlign w:val="superscript"/>
              </w:rPr>
              <w:t>(2)</w:t>
            </w:r>
          </w:p>
        </w:tc>
        <w:tc>
          <w:tcPr>
            <w:tcW w:w="10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7"/>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4, 2026 to March 3, 2026</w:t>
            </w:r>
          </w:p>
        </w:tc>
        <w:tc>
          <w:tcPr>
            <w:tcW w:w="12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r>
      <w:tr>
        <w:trPr>
          <w:trHeight w:val="23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March 4, 2026 to April 7, 2026</w:t>
            </w:r>
          </w:p>
        </w:tc>
        <w:tc>
          <w:tcPr>
            <w:tcW w:w="1260" w:type="dxa"/>
            <w:vAlign w:val="bottom"/>
          </w:tcPr>
          <w:p>
            <w:pPr>
              <w:spacing w:after="0"/>
              <w:rPr>
                <w:sz w:val="20"/>
                <w:szCs w:val="20"/>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gridSpan w:val="2"/>
          </w:tcPr>
          <w:p>
            <w:pPr>
              <w:ind w:left="18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w:t>
            </w:r>
          </w:p>
        </w:tc>
      </w:tr>
      <w:tr>
        <w:trPr>
          <w:trHeight w:val="253"/>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8, 2026 to May 5, 2026</w:t>
            </w:r>
          </w:p>
        </w:tc>
        <w:tc>
          <w:tcPr>
            <w:tcW w:w="12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r>
    </w:tbl>
    <w:p>
      <w:pPr>
        <w:spacing w:after="0" w:line="135" w:lineRule="exact"/>
        <w:rPr>
          <w:sz w:val="20"/>
          <w:szCs w:val="20"/>
          <w:color w:val="auto"/>
        </w:rPr>
      </w:pPr>
    </w:p>
    <w:p>
      <w:pPr>
        <w:ind w:left="340" w:right="100" w:hanging="332"/>
        <w:spacing w:after="0" w:line="223" w:lineRule="auto"/>
        <w:tabs>
          <w:tab w:leader="none" w:pos="32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uses a “4-5-4” calendar to determine the months in each quarter. The periods presented represent the 4-week and 5-week periods making up the three months ended May 5, 2026.</w:t>
      </w:r>
    </w:p>
    <w:p>
      <w:pPr>
        <w:ind w:left="340" w:right="100" w:hanging="332"/>
        <w:spacing w:after="0" w:line="220" w:lineRule="auto"/>
        <w:tabs>
          <w:tab w:leader="none" w:pos="32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cumulative shares repurchased under repurchase programs. Excludes shares withheld for tax purposes on behalf of our employees in connection with the vesting of time-based and performance-based restricted stock units.</w:t>
      </w:r>
    </w:p>
    <w:p>
      <w:pPr>
        <w:spacing w:after="0" w:line="1" w:lineRule="exact"/>
        <w:rPr>
          <w:rFonts w:ascii="Times New Roman" w:cs="Times New Roman" w:eastAsia="Times New Roman" w:hAnsi="Times New Roman"/>
          <w:sz w:val="21"/>
          <w:szCs w:val="21"/>
          <w:color w:val="auto"/>
          <w:vertAlign w:val="superscript"/>
        </w:rPr>
      </w:pPr>
    </w:p>
    <w:p>
      <w:pPr>
        <w:jc w:val="both"/>
        <w:ind w:left="340" w:right="80" w:hanging="332"/>
        <w:spacing w:after="0" w:line="228" w:lineRule="auto"/>
        <w:tabs>
          <w:tab w:leader="none" w:pos="32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Our Board of Directors approved a share repurchase program in fiscal 2023, with approved increases during 2024. Under the program, the Company may repurchase shares on the open market, through privately negotiated transactions, and through trading plans designed to comply with Rule 10b5-1 of the Exchange Act, as amended. The share repurchase program(s) may be modified, suspended or discontinued at any time.</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total cumulative share repurchase authorizations in effect, less cumulative purchases, at the end of each period presented.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Resignation of a Director; Reduction in Board Size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April 30, 2026, Atish Shah notified the Company of his decision to not stand for reelection to the Board of Directors at the Annual Meeting. Mr. Shah’s resignation was not due to any disagreement with the Company or its management with respect to any matter relating to the Company’s operations, policies, or practices. With Mr. Shah’s resignation, the Board of Directors voted to decrease the number of seats on the Board of Directors from eight (8) to seven (7), effective as of the final vote of the shareholders as the Annual Meeting.</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a Director</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On April 27, 2026, the Board of Directors appointed Charles Protell to the Board and nominated Mr. Protell for election by the shareholders at the Annual Meeting to continue his service as a director.</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None of our officers or directors, as defined in Rule 16a-1(f) of the Securities Exchange Act of 1934, adopted, modified, or terminated a “Rule 10b5-1 trading arrangement” or a “non-Rule 10b5-1 trading arrangement,” as defined in Item 408 of Regulation S-K, during the three months ended May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21"/>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0"/>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7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290"/>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of the Registrant, pursuant to 17 CFR 240.13a-14(a) or 17 CFR 240.15d-14(a).</w:t>
            </w:r>
          </w:p>
        </w:tc>
        <w:tc>
          <w:tcPr>
            <w:tcW w:w="1500" w:type="dxa"/>
            <w:vAlign w:val="bottom"/>
            <w:gridSpan w:val="3"/>
          </w:tcPr>
          <w:p>
            <w:pPr>
              <w:spacing w:after="0"/>
              <w:rPr>
                <w:sz w:val="24"/>
                <w:szCs w:val="24"/>
                <w:color w:val="auto"/>
              </w:rPr>
            </w:pPr>
          </w:p>
        </w:tc>
      </w:tr>
      <w:tr>
        <w:trPr>
          <w:trHeight w:val="30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 the Registrant, pursuant to 17 CFR 240.13a-14(a) or 17 CFR 240.15d-14(a).</w:t>
            </w:r>
          </w:p>
        </w:tc>
      </w:tr>
      <w:tr>
        <w:trPr>
          <w:trHeight w:val="20"/>
        </w:trPr>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2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of the Registrant, pursuant to 18 U.S.C. Section 1350, as adopted pursuant to Section 906 of the</w:t>
            </w:r>
          </w:p>
        </w:tc>
        <w:tc>
          <w:tcPr>
            <w:tcW w:w="28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980" w:type="dxa"/>
            <w:vAlign w:val="bottom"/>
            <w:gridSpan w:val="5"/>
          </w:tcPr>
          <w:p>
            <w:pPr>
              <w:spacing w:after="0"/>
              <w:rPr>
                <w:sz w:val="17"/>
                <w:szCs w:val="17"/>
                <w:color w:val="auto"/>
              </w:rPr>
            </w:pPr>
          </w:p>
        </w:tc>
      </w:tr>
      <w:tr>
        <w:trPr>
          <w:trHeight w:val="30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 the Registrant, pursuant to 18 U.S.C. Section 1350, as adopted pursuant to Section 906 of the</w:t>
            </w:r>
          </w:p>
        </w:tc>
      </w:tr>
      <w:tr>
        <w:trPr>
          <w:trHeight w:val="196"/>
        </w:trPr>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660" w:type="dxa"/>
            <w:vAlign w:val="bottom"/>
            <w:tcBorders>
              <w:top w:val="single" w:sz="8" w:color="0000FF"/>
            </w:tcBorders>
            <w:gridSpan w:val="4"/>
          </w:tcPr>
          <w:p>
            <w:pPr>
              <w:spacing w:after="0"/>
              <w:rPr>
                <w:sz w:val="17"/>
                <w:szCs w:val="17"/>
                <w:color w:val="auto"/>
              </w:rPr>
            </w:pPr>
          </w:p>
        </w:tc>
        <w:tc>
          <w:tcPr>
            <w:tcW w:w="340" w:type="dxa"/>
            <w:vAlign w:val="bottom"/>
            <w:gridSpan w:val="2"/>
          </w:tcPr>
          <w:p>
            <w:pPr>
              <w:spacing w:after="0"/>
              <w:rPr>
                <w:sz w:val="17"/>
                <w:szCs w:val="17"/>
                <w:color w:val="auto"/>
              </w:rPr>
            </w:pPr>
          </w:p>
        </w:tc>
      </w:tr>
      <w:tr>
        <w:trPr>
          <w:trHeight w:val="326"/>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Inline Instance Document—the instance document does not appear in the Interactive Data File because its XBRL tags are</w:t>
            </w:r>
          </w:p>
        </w:tc>
      </w:tr>
      <w:tr>
        <w:trPr>
          <w:trHeight w:val="234"/>
        </w:trPr>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Inline Taxonomy Extension Schema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Inline Taxonomy Extension Calculation Linkbase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Inline Taxonomy Extension Definition Linkbase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Inline Taxonomy Extension Label Linkbase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Inline Taxonomy Extension Presentation Linkbase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right="9480" w:firstLine="8"/>
        <w:spacing w:after="0" w:line="260" w:lineRule="auto"/>
        <w:tabs>
          <w:tab w:leader="none" w:pos="48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Furnished herewith</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DAVE &amp; BUSTER’S ENTERTAINMENT, INC.,</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315"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Tarun Lal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34290</wp:posOffset>
            </wp:positionV>
            <wp:extent cx="34118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Tarun Lal</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33"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Darin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34290</wp:posOffset>
            </wp:positionV>
            <wp:extent cx="34118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Darin Harper</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143" w:right="35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Tarun Lal, Chief Executive Officer of Dave &amp; Buster’s Entertainment, Inc.,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Dave &amp; Buster’s Entertainment,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15, 2026</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Tarun Lal</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Tarun Lal</w:t>
            </w:r>
          </w:p>
        </w:tc>
      </w:tr>
      <w:tr>
        <w:trPr>
          <w:trHeight w:val="234"/>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4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Darin Harper, Chief Financial Officer of Dave &amp; Buster’s Entertainment, Inc.,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Dave &amp; Buster’s Entertainment,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8"/>
          <w:szCs w:val="18"/>
          <w:color w:val="auto"/>
        </w:rPr>
        <w:t>/s/ Darin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Darin Harper</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Dave &amp; Buster’s Entertainment, Inc. (the “Company”) on Form 10-Q for the period ended May 5, 2026, as filed with the Securities and Exchange Commission on the date hereof (the “Report”), I, Tarun Lal, Chief Executive Officer of the Company, certify, pursuant to 18 U.S.C. Section 1350, that:</w:t>
      </w:r>
    </w:p>
    <w:p>
      <w:pPr>
        <w:spacing w:after="0" w:line="176" w:lineRule="exact"/>
        <w:rPr>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15, 2026</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Tarun Lal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Tarun Lal</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Dave &amp; Buster’s Entertainment, Inc. (the “Company”) on Form 10-Q for the period ended May 5, 2026, as filed with the Securities and Exchange Commission on the date hereof (the “Report”), I, Darin Harper, Chief Financial Officer of the Company, certify, pursuant to 18 U.S.C. Section 1350, that:</w:t>
      </w:r>
    </w:p>
    <w:p>
      <w:pPr>
        <w:spacing w:after="0" w:line="176"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15, 2026</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Darin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Darin Harper</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lowerRoman"/>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2026-06-15T15:34:36Z</dcterms:created>
  <dcterms:modified xsi:type="dcterms:W3CDTF">2026-06-15T15:34:36Z</dcterms:modified>
</cp:coreProperties>
</file>