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Hill Path Capital Partners LP</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100"/>
              <w:spacing w:after="0"/>
              <w:rPr>
                <w:sz w:val="20"/>
                <w:szCs w:val="20"/>
                <w:color w:val="auto"/>
              </w:rPr>
            </w:pPr>
            <w:r>
              <w:rPr>
                <w:rFonts w:ascii="Arial" w:cs="Arial" w:eastAsia="Arial" w:hAnsi="Arial"/>
                <w:sz w:val="13"/>
                <w:szCs w:val="13"/>
                <w:color w:val="auto"/>
              </w:rPr>
              <w:t>(First)</w:t>
            </w:r>
          </w:p>
        </w:tc>
        <w:tc>
          <w:tcPr>
            <w:tcW w:w="148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150 EAST 58TH STREET</w:t>
            </w:r>
          </w:p>
        </w:tc>
        <w:tc>
          <w:tcPr>
            <w:tcW w:w="148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33RD FLOOR</w:t>
            </w:r>
          </w:p>
        </w:tc>
        <w:tc>
          <w:tcPr>
            <w:tcW w:w="10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0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NY</w:t>
            </w:r>
          </w:p>
        </w:tc>
        <w:tc>
          <w:tcPr>
            <w:tcW w:w="14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10155</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00"/>
              <w:spacing w:after="0"/>
              <w:rPr>
                <w:sz w:val="20"/>
                <w:szCs w:val="20"/>
                <w:color w:val="auto"/>
              </w:rPr>
            </w:pPr>
            <w:r>
              <w:rPr>
                <w:rFonts w:ascii="Arial" w:cs="Arial" w:eastAsia="Arial" w:hAnsi="Arial"/>
                <w:sz w:val="13"/>
                <w:szCs w:val="13"/>
                <w:color w:val="auto"/>
              </w:rPr>
              <w:t>(State)</w:t>
            </w:r>
          </w:p>
        </w:tc>
        <w:tc>
          <w:tcPr>
            <w:tcW w:w="148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Dave &amp; Buster's Entertainment,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08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PLAY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0" w:type="dxa"/>
            <w:vAlign w:val="bottom"/>
            <w:tcBorders>
              <w:bottom w:val="single" w:sz="8" w:color="808080"/>
            </w:tcBorders>
          </w:tcPr>
          <w:p>
            <w:pPr>
              <w:spacing w:after="0"/>
              <w:rPr>
                <w:sz w:val="17"/>
                <w:szCs w:val="17"/>
                <w:color w:val="auto"/>
              </w:rPr>
            </w:pPr>
          </w:p>
        </w:tc>
        <w:tc>
          <w:tcPr>
            <w:tcW w:w="3080" w:type="dxa"/>
            <w:vAlign w:val="bottom"/>
            <w:tcBorders>
              <w:bottom w:val="single" w:sz="8" w:color="808080"/>
            </w:tcBorders>
          </w:tcPr>
          <w:p>
            <w:pPr>
              <w:spacing w:after="0"/>
              <w:rPr>
                <w:sz w:val="17"/>
                <w:szCs w:val="17"/>
                <w:color w:val="auto"/>
              </w:rPr>
            </w:pPr>
          </w:p>
        </w:tc>
        <w:tc>
          <w:tcPr>
            <w:tcW w:w="660" w:type="dxa"/>
            <w:vAlign w:val="bottom"/>
            <w:tcBorders>
              <w:bottom w:val="single" w:sz="8" w:color="808080"/>
            </w:tcBorders>
          </w:tcPr>
          <w:p>
            <w:pPr>
              <w:spacing w:after="0"/>
              <w:rPr>
                <w:sz w:val="17"/>
                <w:szCs w:val="17"/>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79"/>
        </w:trPr>
        <w:tc>
          <w:tcPr>
            <w:tcW w:w="80" w:type="dxa"/>
            <w:vAlign w:val="bottom"/>
            <w:tcBorders>
              <w:top w:val="single" w:sz="8" w:color="2C2C2C"/>
            </w:tcBorders>
          </w:tcPr>
          <w:p>
            <w:pPr>
              <w:spacing w:after="0"/>
              <w:rPr>
                <w:sz w:val="15"/>
                <w:szCs w:val="15"/>
                <w:color w:val="auto"/>
              </w:rPr>
            </w:pPr>
          </w:p>
        </w:tc>
        <w:tc>
          <w:tcPr>
            <w:tcW w:w="3740" w:type="dxa"/>
            <w:vAlign w:val="bottom"/>
            <w:tcBorders>
              <w:top w:val="single" w:sz="8" w:color="2C2C2C"/>
            </w:tcBorders>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240"/>
              <w:spacing w:after="0" w:line="179" w:lineRule="exact"/>
              <w:rPr>
                <w:sz w:val="20"/>
                <w:szCs w:val="20"/>
                <w:color w:val="auto"/>
              </w:rPr>
            </w:pPr>
            <w:r>
              <w:rPr>
                <w:rFonts w:ascii="Times New Roman" w:cs="Times New Roman" w:eastAsia="Times New Roman" w:hAnsi="Times New Roman"/>
                <w:sz w:val="17"/>
                <w:szCs w:val="17"/>
                <w:color w:val="0000FF"/>
              </w:rPr>
              <w:t>SEE EXPLANATION OF RESPONSES</w:t>
            </w:r>
          </w:p>
        </w:tc>
        <w:tc>
          <w:tcPr>
            <w:tcW w:w="0" w:type="dxa"/>
            <w:vAlign w:val="bottom"/>
          </w:tcPr>
          <w:p>
            <w:pPr>
              <w:spacing w:after="0"/>
              <w:rPr>
                <w:sz w:val="1"/>
                <w:szCs w:val="1"/>
                <w:color w:val="auto"/>
              </w:rPr>
            </w:pPr>
          </w:p>
        </w:tc>
      </w:tr>
      <w:tr>
        <w:trPr>
          <w:trHeight w:val="226"/>
        </w:trPr>
        <w:tc>
          <w:tcPr>
            <w:tcW w:w="3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04/24/2026</w:t>
            </w: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80" w:type="dxa"/>
            <w:vAlign w:val="bottom"/>
            <w:tcBorders>
              <w:bottom w:val="single" w:sz="8" w:color="2C2C2C"/>
            </w:tcBorders>
          </w:tcPr>
          <w:p>
            <w:pPr>
              <w:spacing w:after="0"/>
              <w:rPr>
                <w:sz w:val="16"/>
                <w:szCs w:val="16"/>
                <w:color w:val="auto"/>
              </w:rPr>
            </w:pPr>
          </w:p>
        </w:tc>
        <w:tc>
          <w:tcPr>
            <w:tcW w:w="308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3300" w:type="dxa"/>
            <w:vAlign w:val="bottom"/>
            <w:tcBorders>
              <w:bottom w:val="single" w:sz="8" w:color="2C2C2C"/>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36"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(1)(2)</w:t>
            </w:r>
          </w:p>
        </w:tc>
        <w:tc>
          <w:tcPr>
            <w:tcW w:w="170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04/24/2026</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11,278</w:t>
            </w:r>
            <w:r>
              <w:rPr>
                <w:rFonts w:ascii="Times New Roman" w:cs="Times New Roman" w:eastAsia="Times New Roman" w:hAnsi="Times New Roman"/>
                <w:sz w:val="22"/>
                <w:szCs w:val="22"/>
                <w:color w:val="008000"/>
                <w:vertAlign w:val="superscript"/>
              </w:rPr>
              <w:t>(3)</w:t>
            </w:r>
          </w:p>
        </w:tc>
        <w:tc>
          <w:tcPr>
            <w:tcW w:w="50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vMerge w:val="restart"/>
          </w:tcPr>
          <w:p>
            <w:pPr>
              <w:jc w:val="right"/>
              <w:ind w:right="4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17,074</w:t>
            </w:r>
          </w:p>
        </w:tc>
        <w:tc>
          <w:tcPr>
            <w:tcW w:w="9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Scott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2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Ross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Hill</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ind w:left="60"/>
              <w:spacing w:after="0" w:line="213" w:lineRule="exact"/>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(1)(2)</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156,760</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Path 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2"/>
                <w:szCs w:val="22"/>
                <w:color w:val="008000"/>
                <w:vertAlign w:val="superscript"/>
              </w:rPr>
              <w:t>(4)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Hill</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ind w:left="60"/>
              <w:spacing w:after="0" w:line="213" w:lineRule="exact"/>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(1)(2)</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1,293,990</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Path 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2"/>
                <w:szCs w:val="22"/>
                <w:color w:val="008000"/>
                <w:vertAlign w:val="superscript"/>
              </w:rPr>
              <w:t>(5)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Hill</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ind w:left="60"/>
              <w:spacing w:after="0" w:line="213" w:lineRule="exact"/>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(1)(2)</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650,501</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Path J</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2"/>
                <w:szCs w:val="22"/>
                <w:color w:val="008000"/>
                <w:vertAlign w:val="superscript"/>
              </w:rPr>
              <w:t>(6)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Hill</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Path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ind w:left="60"/>
              <w:spacing w:after="0" w:line="213" w:lineRule="exact"/>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(1)(2)</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2,095,246</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Hill</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Path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ind w:left="60"/>
              <w:spacing w:after="0" w:line="213" w:lineRule="exact"/>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(1)(2)</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2,869,527</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Partners II</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Hill</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Path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ind w:left="60"/>
              <w:spacing w:after="0" w:line="213" w:lineRule="exact"/>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(1)(2)</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53,231</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(9)</w:t>
            </w: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20" w:type="dxa"/>
            <w:vAlign w:val="bottom"/>
            <w:tcBorders>
              <w:top w:val="single" w:sz="8" w:color="808080"/>
            </w:tcBorders>
            <w:shd w:val="clear" w:color="auto" w:fill="2C2C2C"/>
          </w:tcPr>
          <w:p>
            <w:pPr>
              <w:spacing w:after="0" w:line="20" w:lineRule="exact"/>
              <w:rPr>
                <w:sz w:val="1"/>
                <w:szCs w:val="1"/>
                <w:color w:val="auto"/>
              </w:rPr>
            </w:pPr>
          </w:p>
        </w:tc>
        <w:tc>
          <w:tcPr>
            <w:tcW w:w="17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6"/>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150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bl>
    <w:p>
      <w:pPr>
        <w:sectPr>
          <w:pgSz w:w="11900" w:h="16838" w:orient="portrait"/>
          <w:cols w:equalWidth="0" w:num="1">
            <w:col w:w="11080"/>
          </w:cols>
          <w:pgMar w:left="460" w:top="219"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line="122" w:lineRule="exact"/>
              <w:rPr>
                <w:sz w:val="20"/>
                <w:szCs w:val="20"/>
                <w:color w:val="auto"/>
              </w:rPr>
            </w:pPr>
            <w:r>
              <w:rPr>
                <w:rFonts w:ascii="Arial" w:cs="Arial" w:eastAsia="Arial" w:hAnsi="Arial"/>
                <w:sz w:val="12"/>
                <w:szCs w:val="12"/>
                <w:b w:val="1"/>
                <w:bCs w:val="1"/>
                <w:color w:val="auto"/>
              </w:rPr>
              <w:t>3. Transaction</w:t>
            </w:r>
          </w:p>
        </w:tc>
        <w:tc>
          <w:tcPr>
            <w:tcW w:w="1100" w:type="dxa"/>
            <w:vAlign w:val="bottom"/>
            <w:gridSpan w:val="5"/>
          </w:tcPr>
          <w:p>
            <w:pPr>
              <w:ind w:left="40"/>
              <w:spacing w:after="0" w:line="122" w:lineRule="exact"/>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line="122" w:lineRule="exact"/>
              <w:rPr>
                <w:sz w:val="20"/>
                <w:szCs w:val="20"/>
                <w:color w:val="auto"/>
              </w:rPr>
            </w:pPr>
            <w:r>
              <w:rPr>
                <w:rFonts w:ascii="Arial" w:cs="Arial" w:eastAsia="Arial" w:hAnsi="Arial"/>
                <w:sz w:val="12"/>
                <w:szCs w:val="12"/>
                <w:b w:val="1"/>
                <w:bCs w:val="1"/>
                <w:color w:val="auto"/>
                <w:w w:val="89"/>
              </w:rPr>
              <w:t>4Code.</w:t>
            </w:r>
          </w:p>
        </w:tc>
        <w:tc>
          <w:tcPr>
            <w:tcW w:w="380" w:type="dxa"/>
            <w:vAlign w:val="bottom"/>
            <w:gridSpan w:val="3"/>
          </w:tcPr>
          <w:p>
            <w:pPr>
              <w:ind w:left="60"/>
              <w:spacing w:after="0" w:line="122"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72"/>
              </w:rPr>
              <w:t>6Exercisable.DateExercisableDate and</w:t>
            </w:r>
          </w:p>
        </w:tc>
        <w:tc>
          <w:tcPr>
            <w:tcW w:w="98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21" w:lineRule="exact"/>
              <w:rPr>
                <w:sz w:val="20"/>
                <w:szCs w:val="20"/>
                <w:color w:val="auto"/>
              </w:rPr>
            </w:pPr>
            <w:r>
              <w:rPr>
                <w:rFonts w:ascii="Arial" w:cs="Arial" w:eastAsia="Arial" w:hAnsi="Arial"/>
                <w:sz w:val="8"/>
                <w:szCs w:val="8"/>
                <w:b w:val="1"/>
                <w:bCs w:val="1"/>
                <w:color w:val="auto"/>
              </w:rPr>
              <w:t>(Month/Day/Year)</w:t>
            </w:r>
            <w:r>
              <w:rPr>
                <w:rFonts w:ascii="Arial" w:cs="Arial" w:eastAsia="Arial" w:hAnsi="Arial"/>
                <w:sz w:val="13"/>
                <w:szCs w:val="13"/>
                <w:color w:val="auto"/>
                <w:vertAlign w:val="subscript"/>
              </w:rPr>
              <w:t>*</w:t>
            </w:r>
          </w:p>
        </w:tc>
        <w:tc>
          <w:tcPr>
            <w:tcW w:w="1100" w:type="dxa"/>
            <w:vAlign w:val="bottom"/>
            <w:gridSpan w:val="5"/>
          </w:tcPr>
          <w:p>
            <w:pPr>
              <w:ind w:left="40"/>
              <w:spacing w:after="0" w:line="12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60" w:type="dxa"/>
            <w:vAlign w:val="bottom"/>
            <w:gridSpan w:val="4"/>
          </w:tcPr>
          <w:p>
            <w:pPr>
              <w:ind w:left="60"/>
              <w:spacing w:after="0" w:line="80" w:lineRule="exact"/>
              <w:rPr>
                <w:sz w:val="20"/>
                <w:szCs w:val="20"/>
                <w:color w:val="auto"/>
              </w:rPr>
            </w:pPr>
            <w:r>
              <w:rPr>
                <w:rFonts w:ascii="Arial" w:cs="Arial" w:eastAsia="Arial" w:hAnsi="Arial"/>
                <w:sz w:val="9"/>
                <w:szCs w:val="9"/>
                <w:color w:val="auto"/>
              </w:rPr>
              <w:t>1. Name and Address of Reporting Person</w:t>
            </w:r>
          </w:p>
        </w:tc>
        <w:tc>
          <w:tcPr>
            <w:tcW w:w="1100" w:type="dxa"/>
            <w:vAlign w:val="bottom"/>
            <w:gridSpan w:val="5"/>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1180" w:type="dxa"/>
            <w:vAlign w:val="bottom"/>
          </w:tcPr>
          <w:p>
            <w:pPr>
              <w:spacing w:after="0"/>
              <w:rPr>
                <w:sz w:val="4"/>
                <w:szCs w:val="4"/>
                <w:color w:val="auto"/>
              </w:rPr>
            </w:pPr>
          </w:p>
        </w:tc>
        <w:tc>
          <w:tcPr>
            <w:tcW w:w="1100" w:type="dxa"/>
            <w:vAlign w:val="bottom"/>
            <w:gridSpan w:val="5"/>
            <w:vMerge w:val="continue"/>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2"/>
                <w:szCs w:val="2"/>
                <w:color w:val="0000EE"/>
              </w:rPr>
              <w:t>Hill Path Capital Partners LP</w:t>
            </w: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ind w:left="60"/>
              <w:spacing w:after="0" w:line="121" w:lineRule="exact"/>
              <w:rPr>
                <w:rFonts w:ascii="Arial" w:cs="Arial" w:eastAsia="Arial" w:hAnsi="Arial"/>
                <w:sz w:val="12"/>
                <w:szCs w:val="12"/>
                <w:b w:val="1"/>
                <w:bCs w:val="1"/>
                <w:color w:val="auto"/>
              </w:rPr>
            </w:pPr>
            <w:hyperlink r:id="rId13">
              <w:r>
                <w:rPr>
                  <w:rFonts w:ascii="Arial" w:cs="Arial" w:eastAsia="Arial" w:hAnsi="Arial"/>
                  <w:sz w:val="12"/>
                  <w:szCs w:val="12"/>
                  <w:b w:val="1"/>
                  <w:bCs w:val="1"/>
                  <w:color w:val="auto"/>
                </w:rPr>
                <w:t>Deriv tive</w:t>
              </w:r>
            </w:hyperlink>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rFonts w:ascii="Arial" w:cs="Arial" w:eastAsia="Arial" w:hAnsi="Arial"/>
                <w:sz w:val="12"/>
                <w:szCs w:val="12"/>
                <w:b w:val="1"/>
                <w:bCs w:val="1"/>
                <w:color w:val="auto"/>
              </w:rPr>
            </w:pPr>
            <w:hyperlink r:id="rId13">
              <w:r>
                <w:rPr>
                  <w:rFonts w:ascii="Arial" w:cs="Arial" w:eastAsia="Arial" w:hAnsi="Arial"/>
                  <w:sz w:val="12"/>
                  <w:szCs w:val="12"/>
                  <w:b w:val="1"/>
                  <w:bCs w:val="1"/>
                  <w:color w:val="auto"/>
                </w:rPr>
                <w:t>Security</w:t>
              </w:r>
            </w:hyperlink>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8" w:lineRule="exact"/>
              <w:rPr>
                <w:sz w:val="20"/>
                <w:szCs w:val="20"/>
                <w:color w:val="auto"/>
              </w:rPr>
            </w:pPr>
            <w:r>
              <w:rPr>
                <w:rFonts w:ascii="Arial" w:cs="Arial" w:eastAsia="Arial" w:hAnsi="Arial"/>
                <w:sz w:val="13"/>
                <w:szCs w:val="13"/>
                <w:color w:val="auto"/>
              </w:rPr>
              <w:t>(Last)</w:t>
            </w:r>
          </w:p>
        </w:tc>
        <w:tc>
          <w:tcPr>
            <w:tcW w:w="760" w:type="dxa"/>
            <w:vAlign w:val="bottom"/>
          </w:tcPr>
          <w:p>
            <w:pPr>
              <w:spacing w:after="0"/>
              <w:rPr>
                <w:sz w:val="12"/>
                <w:szCs w:val="12"/>
                <w:color w:val="auto"/>
              </w:rPr>
            </w:pPr>
          </w:p>
        </w:tc>
        <w:tc>
          <w:tcPr>
            <w:tcW w:w="1180" w:type="dxa"/>
            <w:vAlign w:val="bottom"/>
          </w:tcPr>
          <w:p>
            <w:pPr>
              <w:ind w:left="20"/>
              <w:spacing w:after="0" w:line="148" w:lineRule="exact"/>
              <w:rPr>
                <w:sz w:val="20"/>
                <w:szCs w:val="20"/>
                <w:color w:val="auto"/>
              </w:rPr>
            </w:pPr>
            <w:r>
              <w:rPr>
                <w:rFonts w:ascii="Arial" w:cs="Arial" w:eastAsia="Arial" w:hAnsi="Arial"/>
                <w:sz w:val="13"/>
                <w:szCs w:val="13"/>
                <w:color w:val="auto"/>
              </w:rPr>
              <w:t>(First)</w:t>
            </w:r>
          </w:p>
        </w:tc>
        <w:tc>
          <w:tcPr>
            <w:tcW w:w="120" w:type="dxa"/>
            <w:vAlign w:val="bottom"/>
          </w:tcPr>
          <w:p>
            <w:pPr>
              <w:spacing w:after="0"/>
              <w:rPr>
                <w:sz w:val="12"/>
                <w:szCs w:val="12"/>
                <w:color w:val="auto"/>
              </w:rPr>
            </w:pPr>
          </w:p>
        </w:tc>
        <w:tc>
          <w:tcPr>
            <w:tcW w:w="980" w:type="dxa"/>
            <w:vAlign w:val="bottom"/>
            <w:gridSpan w:val="4"/>
          </w:tcPr>
          <w:p>
            <w:pPr>
              <w:ind w:left="120"/>
              <w:spacing w:after="0" w:line="148" w:lineRule="exact"/>
              <w:rPr>
                <w:sz w:val="20"/>
                <w:szCs w:val="20"/>
                <w:color w:val="auto"/>
              </w:rPr>
            </w:pPr>
            <w:r>
              <w:rPr>
                <w:rFonts w:ascii="Arial" w:cs="Arial" w:eastAsia="Arial" w:hAnsi="Arial"/>
                <w:sz w:val="13"/>
                <w:szCs w:val="13"/>
                <w:color w:val="auto"/>
              </w:rPr>
              <w:t>(Middle)</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150 EAST 58TH STREET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6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808080"/>
            </w:tcBorders>
          </w:tcPr>
          <w:p>
            <w:pPr>
              <w:spacing w:after="0" w:line="20" w:lineRule="exact"/>
              <w:rPr>
                <w:sz w:val="1"/>
                <w:szCs w:val="1"/>
                <w:color w:val="auto"/>
              </w:rPr>
            </w:pPr>
          </w:p>
        </w:tc>
        <w:tc>
          <w:tcPr>
            <w:tcW w:w="28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5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highlight w:val="white"/>
              </w:rPr>
              <w:t>33RD FLOOR</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spacing w:after="0"/>
              <w:rPr>
                <w:sz w:val="22"/>
                <w:szCs w:val="22"/>
                <w:color w:val="auto"/>
              </w:rPr>
            </w:pPr>
          </w:p>
        </w:tc>
        <w:tc>
          <w:tcPr>
            <w:tcW w:w="7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0000FF"/>
                <w:highlight w:val="white"/>
              </w:rPr>
              <w:t>NEW YORK</w:t>
            </w:r>
          </w:p>
        </w:tc>
        <w:tc>
          <w:tcPr>
            <w:tcW w:w="1180" w:type="dxa"/>
            <w:vAlign w:val="bottom"/>
          </w:tcPr>
          <w:p>
            <w:pPr>
              <w:ind w:left="20"/>
              <w:spacing w:after="0" w:line="187" w:lineRule="exact"/>
              <w:rPr>
                <w:sz w:val="20"/>
                <w:szCs w:val="20"/>
                <w:color w:val="auto"/>
              </w:rPr>
            </w:pPr>
            <w:r>
              <w:rPr>
                <w:rFonts w:ascii="Times New Roman" w:cs="Times New Roman" w:eastAsia="Times New Roman" w:hAnsi="Times New Roman"/>
                <w:sz w:val="17"/>
                <w:szCs w:val="17"/>
                <w:color w:val="0000FF"/>
                <w:highlight w:val="white"/>
              </w:rPr>
              <w:t>NY</w:t>
            </w:r>
          </w:p>
        </w:tc>
        <w:tc>
          <w:tcPr>
            <w:tcW w:w="1100" w:type="dxa"/>
            <w:vAlign w:val="bottom"/>
            <w:gridSpan w:val="5"/>
          </w:tcPr>
          <w:p>
            <w:pPr>
              <w:ind w:left="240"/>
              <w:spacing w:after="0" w:line="187" w:lineRule="exact"/>
              <w:rPr>
                <w:sz w:val="20"/>
                <w:szCs w:val="20"/>
                <w:color w:val="auto"/>
              </w:rPr>
            </w:pPr>
            <w:r>
              <w:rPr>
                <w:rFonts w:ascii="Times New Roman" w:cs="Times New Roman" w:eastAsia="Times New Roman" w:hAnsi="Times New Roman"/>
                <w:sz w:val="17"/>
                <w:szCs w:val="17"/>
                <w:color w:val="0000FF"/>
              </w:rPr>
              <w:t>10155</w:t>
            </w:r>
          </w:p>
        </w:tc>
        <w:tc>
          <w:tcPr>
            <w:tcW w:w="4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gridSpan w:val="2"/>
            <w:vMerge w:val="continue"/>
          </w:tcPr>
          <w:p>
            <w:pPr>
              <w:spacing w:after="0"/>
              <w:rPr>
                <w:sz w:val="12"/>
                <w:szCs w:val="12"/>
                <w:color w:val="auto"/>
              </w:rPr>
            </w:pPr>
          </w:p>
        </w:tc>
        <w:tc>
          <w:tcPr>
            <w:tcW w:w="380" w:type="dxa"/>
            <w:vAlign w:val="bottom"/>
            <w:tcBorders>
              <w:bottom w:val="single" w:sz="8" w:color="808080"/>
            </w:tcBorders>
            <w:gridSpan w:val="3"/>
            <w:vMerge w:val="continue"/>
          </w:tcPr>
          <w:p>
            <w:pPr>
              <w:spacing w:after="0"/>
              <w:rPr>
                <w:sz w:val="12"/>
                <w:szCs w:val="12"/>
                <w:color w:val="auto"/>
              </w:rPr>
            </w:pPr>
          </w:p>
        </w:tc>
        <w:tc>
          <w:tcPr>
            <w:tcW w:w="740" w:type="dxa"/>
            <w:vAlign w:val="bottom"/>
            <w:tcBorders>
              <w:bottom w:val="single" w:sz="8" w:color="808080"/>
            </w:tcBorders>
            <w:vMerge w:val="continue"/>
          </w:tcPr>
          <w:p>
            <w:pPr>
              <w:spacing w:after="0"/>
              <w:rPr>
                <w:sz w:val="12"/>
                <w:szCs w:val="12"/>
                <w:color w:val="auto"/>
              </w:rPr>
            </w:pPr>
          </w:p>
        </w:tc>
        <w:tc>
          <w:tcPr>
            <w:tcW w:w="80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Borders>
              <w:bottom w:val="single" w:sz="8" w:color="808080"/>
            </w:tcBorders>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20" w:type="dxa"/>
            <w:vAlign w:val="bottom"/>
          </w:tcPr>
          <w:p>
            <w:pPr>
              <w:spacing w:after="0"/>
              <w:rPr>
                <w:sz w:val="24"/>
                <w:szCs w:val="24"/>
                <w:color w:val="auto"/>
              </w:rPr>
            </w:pPr>
          </w:p>
        </w:tc>
        <w:tc>
          <w:tcPr>
            <w:tcW w:w="980" w:type="dxa"/>
            <w:vAlign w:val="bottom"/>
            <w:gridSpan w:val="4"/>
          </w:tcPr>
          <w:p>
            <w:pPr>
              <w:ind w:left="1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8"/>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Hill Path Capital Partners II LP</w:t>
              </w:r>
            </w:hyperlink>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20" w:type="dxa"/>
            <w:vAlign w:val="bottom"/>
          </w:tcPr>
          <w:p>
            <w:pPr>
              <w:spacing w:after="0"/>
              <w:rPr>
                <w:sz w:val="24"/>
                <w:szCs w:val="24"/>
                <w:color w:val="auto"/>
              </w:rPr>
            </w:pPr>
          </w:p>
        </w:tc>
        <w:tc>
          <w:tcPr>
            <w:tcW w:w="980" w:type="dxa"/>
            <w:vAlign w:val="bottom"/>
            <w:gridSpan w:val="4"/>
          </w:tcPr>
          <w:p>
            <w:pPr>
              <w:ind w:left="1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150 EAST 58TH STREET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33RD FLOOR</w:t>
            </w: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10155</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20" w:type="dxa"/>
            <w:vAlign w:val="bottom"/>
          </w:tcPr>
          <w:p>
            <w:pPr>
              <w:spacing w:after="0"/>
              <w:rPr>
                <w:sz w:val="24"/>
                <w:szCs w:val="24"/>
                <w:color w:val="auto"/>
              </w:rPr>
            </w:pPr>
          </w:p>
        </w:tc>
        <w:tc>
          <w:tcPr>
            <w:tcW w:w="980" w:type="dxa"/>
            <w:vAlign w:val="bottom"/>
            <w:gridSpan w:val="4"/>
          </w:tcPr>
          <w:p>
            <w:pPr>
              <w:ind w:left="1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gridSpan w:val="10"/>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Hill Path Capital Co-Investment Partners LP</w:t>
              </w:r>
            </w:hyperlink>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20" w:type="dxa"/>
            <w:vAlign w:val="bottom"/>
          </w:tcPr>
          <w:p>
            <w:pPr>
              <w:spacing w:after="0"/>
              <w:rPr>
                <w:sz w:val="24"/>
                <w:szCs w:val="24"/>
                <w:color w:val="auto"/>
              </w:rPr>
            </w:pPr>
          </w:p>
        </w:tc>
        <w:tc>
          <w:tcPr>
            <w:tcW w:w="980" w:type="dxa"/>
            <w:vAlign w:val="bottom"/>
            <w:gridSpan w:val="4"/>
          </w:tcPr>
          <w:p>
            <w:pPr>
              <w:ind w:left="1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150 EAST 58TH STREET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33RD FLOOR</w:t>
            </w: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10155</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20" w:type="dxa"/>
            <w:vAlign w:val="bottom"/>
          </w:tcPr>
          <w:p>
            <w:pPr>
              <w:spacing w:after="0"/>
              <w:rPr>
                <w:sz w:val="24"/>
                <w:szCs w:val="24"/>
                <w:color w:val="auto"/>
              </w:rPr>
            </w:pPr>
          </w:p>
        </w:tc>
        <w:tc>
          <w:tcPr>
            <w:tcW w:w="980" w:type="dxa"/>
            <w:vAlign w:val="bottom"/>
            <w:gridSpan w:val="4"/>
          </w:tcPr>
          <w:p>
            <w:pPr>
              <w:ind w:left="1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8"/>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Hill Path Capital Partners GP LLC</w:t>
              </w:r>
            </w:hyperlink>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20" w:type="dxa"/>
            <w:vAlign w:val="bottom"/>
          </w:tcPr>
          <w:p>
            <w:pPr>
              <w:spacing w:after="0"/>
              <w:rPr>
                <w:sz w:val="24"/>
                <w:szCs w:val="24"/>
                <w:color w:val="auto"/>
              </w:rPr>
            </w:pPr>
          </w:p>
        </w:tc>
        <w:tc>
          <w:tcPr>
            <w:tcW w:w="980" w:type="dxa"/>
            <w:vAlign w:val="bottom"/>
            <w:gridSpan w:val="4"/>
          </w:tcPr>
          <w:p>
            <w:pPr>
              <w:ind w:left="1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150 EAST 58TH STREET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33RD FLOOR</w:t>
            </w: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10155</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20" w:type="dxa"/>
            <w:vAlign w:val="bottom"/>
          </w:tcPr>
          <w:p>
            <w:pPr>
              <w:spacing w:after="0"/>
              <w:rPr>
                <w:sz w:val="24"/>
                <w:szCs w:val="24"/>
                <w:color w:val="auto"/>
              </w:rPr>
            </w:pPr>
          </w:p>
        </w:tc>
        <w:tc>
          <w:tcPr>
            <w:tcW w:w="980" w:type="dxa"/>
            <w:vAlign w:val="bottom"/>
            <w:gridSpan w:val="4"/>
          </w:tcPr>
          <w:p>
            <w:pPr>
              <w:ind w:left="1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8"/>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Hill Path Capital Partners II GP LLC</w:t>
              </w:r>
            </w:hyperlink>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20" w:type="dxa"/>
            <w:vAlign w:val="bottom"/>
          </w:tcPr>
          <w:p>
            <w:pPr>
              <w:spacing w:after="0"/>
              <w:rPr>
                <w:sz w:val="24"/>
                <w:szCs w:val="24"/>
                <w:color w:val="auto"/>
              </w:rPr>
            </w:pPr>
          </w:p>
        </w:tc>
        <w:tc>
          <w:tcPr>
            <w:tcW w:w="980" w:type="dxa"/>
            <w:vAlign w:val="bottom"/>
            <w:gridSpan w:val="4"/>
          </w:tcPr>
          <w:p>
            <w:pPr>
              <w:ind w:left="1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150 EAST 58TH STREET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33RD FLOOR</w:t>
            </w: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10155</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20" w:type="dxa"/>
            <w:vAlign w:val="bottom"/>
          </w:tcPr>
          <w:p>
            <w:pPr>
              <w:spacing w:after="0"/>
              <w:rPr>
                <w:sz w:val="24"/>
                <w:szCs w:val="24"/>
                <w:color w:val="auto"/>
              </w:rPr>
            </w:pPr>
          </w:p>
        </w:tc>
        <w:tc>
          <w:tcPr>
            <w:tcW w:w="980" w:type="dxa"/>
            <w:vAlign w:val="bottom"/>
            <w:gridSpan w:val="4"/>
          </w:tcPr>
          <w:p>
            <w:pPr>
              <w:ind w:left="1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8"/>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Hill Path Investment Holdings LLC</w:t>
              </w:r>
            </w:hyperlink>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20" w:type="dxa"/>
            <w:vAlign w:val="bottom"/>
          </w:tcPr>
          <w:p>
            <w:pPr>
              <w:spacing w:after="0"/>
              <w:rPr>
                <w:sz w:val="24"/>
                <w:szCs w:val="24"/>
                <w:color w:val="auto"/>
              </w:rPr>
            </w:pPr>
          </w:p>
        </w:tc>
        <w:tc>
          <w:tcPr>
            <w:tcW w:w="980" w:type="dxa"/>
            <w:vAlign w:val="bottom"/>
            <w:gridSpan w:val="4"/>
          </w:tcPr>
          <w:p>
            <w:pPr>
              <w:ind w:left="1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EAST 58TH STREET</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33RD FLOOR</w:t>
      </w:r>
    </w:p>
    <w:p>
      <w:pPr>
        <w:sectPr>
          <w:pgSz w:w="11900" w:h="16838" w:orient="portrait"/>
          <w:cols w:equalWidth="0" w:num="1">
            <w:col w:w="11080"/>
          </w:cols>
          <w:pgMar w:left="460" w:top="73" w:right="359" w:bottom="0" w:gutter="0" w:footer="0" w:header="0"/>
        </w:sectPr>
      </w:pPr>
    </w:p>
    <w:bookmarkStart w:id="2" w:name="page3"/>
    <w:bookmarkEnd w:id="2"/>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10155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8651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809240" cy="7865110"/>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Hill Path Investment Holdings II LLC</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150 EAST 58TH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33RD FLOOR</w:t>
            </w: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10155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Hill Path Capital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150 EAST 58TH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33RD FLOOR</w:t>
            </w: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10155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Hill Path Holdings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150 EAST 58TH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33RD FLOOR</w:t>
            </w: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10155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tcBorders>
              <w:bottom w:val="single" w:sz="8" w:color="0000EE"/>
            </w:tcBorders>
          </w:tcPr>
          <w:p>
            <w:pPr>
              <w:spacing w:after="0" w:line="227" w:lineRule="exact"/>
              <w:rPr>
                <w:rFonts w:ascii="Times New Roman" w:cs="Times New Roman" w:eastAsia="Times New Roman" w:hAnsi="Times New Roman"/>
                <w:sz w:val="21"/>
                <w:szCs w:val="21"/>
                <w:color w:val="0000EE"/>
              </w:rPr>
            </w:pPr>
            <w:hyperlink r:id="rId25">
              <w:r>
                <w:rPr>
                  <w:rFonts w:ascii="Times New Roman" w:cs="Times New Roman" w:eastAsia="Times New Roman" w:hAnsi="Times New Roman"/>
                  <w:sz w:val="21"/>
                  <w:szCs w:val="21"/>
                  <w:color w:val="0000EE"/>
                </w:rPr>
                <w:t>ROSS SCOTT I</w:t>
              </w:r>
            </w:hyperlink>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150 EAST 58TH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33RD FLOOR</w:t>
            </w: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10155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filed jointly by Hill Path Capital Partners LP ("Hill Path Capital"), Hill Path Capital Partners II LP ("Hill Path Capital II"), Hill Path Co-Investment Partners LP ("Hill Path Co-Investment"), Hill Path D Fund LP ("Hill Path D Fund"), Hill Path G Fund LP ("Hill Path G Fund"), Hill Path J Fund LP ("Hill Path J Fund"), Hill Path Capital Partners GP LLC ("Hill Path GP"), Hill Path Capital Partners II GP LLC ("Hill Path GP II"), HP D GP LLC ("HP D GP"), HP G GP LLC ("HP G GP"), HP J GP LLC ("HP J GP"), Hill Path Investment Holdings LLC ("Hill Path Investment Holdings"), Hill Path Investment Holdings II LLC ("Hill Path Investment Holdings II"), Hill Path Capital LP ("Hill Path"), Hill Path Holdings LLC ("Hill Path Holdings") and Scott Ross ("Mr. Ross," and collectively with the aforementioned entities, the "Reporting Persons").</w:t>
      </w:r>
    </w:p>
    <w:p>
      <w:pPr>
        <w:spacing w:after="0" w:line="26"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 enable the Reporting Persons to gain access to the Securities and Exchange Commission's electronic filing system (which only accepts a maximum of 10 joint filers per report), this report is the first of two identical reports relating to the same transactions being filed with the Securities and Exchange Commission. Each of the Reporting Persons may be deemed to be a member of a Section 13(d) group that collectively beneficially own more than 10% of the Issuer's outstanding shares of Common Stock (the "Common Stock"). Each Reporting Person disclaims beneficial ownership of the securities reported herein except to the extent of his or its pecuniary interest therein, and this report shall not be deemed to be an admission that any Reporting Person is the beneficial owner of such securities for purposes of Section 16 or for any other purpose.</w:t>
      </w:r>
    </w:p>
    <w:p>
      <w:pPr>
        <w:spacing w:after="0" w:line="26"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granted to Mr. Ross under the Dave &amp; Buster's Entertainment, Inc. 2025 Omnibus Incentive Plan. The restricted stock units will vest on April 24, 2027.</w:t>
      </w:r>
    </w:p>
    <w:p>
      <w:pPr>
        <w:spacing w:after="0" w:line="50" w:lineRule="exact"/>
        <w:rPr>
          <w:rFonts w:ascii="Times New Roman" w:cs="Times New Roman" w:eastAsia="Times New Roman" w:hAnsi="Times New Roman"/>
          <w:sz w:val="13"/>
          <w:szCs w:val="13"/>
          <w:color w:val="008000"/>
        </w:rPr>
      </w:pPr>
    </w:p>
    <w:p>
      <w:pPr>
        <w:ind w:left="20" w:righ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Common Stock owned directly by Hill Path D Fund. HP D GP, as the general partner of Hill Path D Fund, may be deemed to beneficially own the shares of Common Stock owned directly by Hill Path D Fund. Hill Path Investment Holdings II, as the managing member of HP D GP, may be deemed to beneficially own the shares of Common Stock owned directly by Hill Path D Fund. Hill Path, as the investment manager of Hill Path D Fund, may be deemed to beneficially own the shares of Common Stock owned directly by Hill Path D Fund. Hill Path Holdings, as the general partner of Hill Path, may be deemed to beneficially own the shares of Common Stock owned directly by Hill Path D Fund. Mr. Ross, as the managing partner of each of Hill Path Investment Holdings II, Hill Path and Hill Path Holdings, may be deemed to beneficially own the shares of Common Stock owned directly by Hill Path D Fund.</w:t>
      </w:r>
    </w:p>
    <w:p>
      <w:pPr>
        <w:spacing w:after="0" w:line="26" w:lineRule="exact"/>
        <w:rPr>
          <w:rFonts w:ascii="Times New Roman" w:cs="Times New Roman" w:eastAsia="Times New Roman" w:hAnsi="Times New Roman"/>
          <w:sz w:val="13"/>
          <w:szCs w:val="13"/>
          <w:color w:val="008000"/>
        </w:rPr>
      </w:pPr>
    </w:p>
    <w:p>
      <w:pPr>
        <w:ind w:left="20" w:righ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Common Stock owned directly by Hill Path G Fund. HP G GP, as the general partner of Hill Path G Fund, may be deemed to beneficially own the shares of Common Stock owned directly by Hill Path G Fund. Hill Path Investment Holdings II, as the managing member of HP G GP, may be deemed to beneficially own the shares of Common Stock owned directly by Hill Path G Fund. Hill Path, as the investment manager of Hill Path G Fund, may be deemed to beneficially own the shares of Common Stock owned directly by Hill Path G Fund. Hill Path Holdings, as the general partner of Hill Path, may be deemed to beneficially own the shares of Common Stock owned directly by Hill Path G Fund. Mr. Ross, as the managing partner of each of Hill Path Investment Holdings II, Hill Path and Hill Path Holdings, may be deemed to beneficially own the shares of Common Stock owned directly by Hill Path G Fund.</w:t>
      </w:r>
    </w:p>
    <w:p>
      <w:pPr>
        <w:spacing w:after="0" w:line="26"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Common Stock owned directly by Hill Path J Fund. HP J GP, as the general partner of Hill Path J Fund, may be deemed to beneficially own the shares of Common Stock owned directly by Hill Path J Fund. Hill Path Investment Holdings II, as the managing member of HP J GP, may be deemed to beneficially own the shares of Common Stock owned directly by Hill Path J Fund. Hill Path, as the investment manager of Hill Path J Fund, may be deemed to beneficially own the shares of Common Stock owned directly by Hill Path J Fund. Hill Path Holdings, as the general partner of Hill Path,</w:t>
      </w:r>
    </w:p>
    <w:p>
      <w:pPr>
        <w:sectPr>
          <w:pgSz w:w="11900" w:h="16838" w:orient="portrait"/>
          <w:cols w:equalWidth="0" w:num="1">
            <w:col w:w="10900"/>
          </w:cols>
          <w:pgMar w:left="480" w:top="260" w:right="519" w:bottom="0" w:gutter="0" w:footer="0" w:header="0"/>
        </w:sectPr>
      </w:pPr>
    </w:p>
    <w:bookmarkStart w:id="3" w:name="page4"/>
    <w:bookmarkEnd w:id="3"/>
    <w:p>
      <w:pPr>
        <w:ind w:right="260"/>
        <w:spacing w:after="0" w:line="272" w:lineRule="auto"/>
        <w:rPr>
          <w:sz w:val="20"/>
          <w:szCs w:val="20"/>
          <w:color w:val="auto"/>
        </w:rPr>
      </w:pPr>
      <w:r>
        <w:rPr>
          <w:rFonts w:ascii="Times New Roman" w:cs="Times New Roman" w:eastAsia="Times New Roman" w:hAnsi="Times New Roman"/>
          <w:sz w:val="13"/>
          <w:szCs w:val="13"/>
          <w:color w:val="008000"/>
        </w:rPr>
        <w:t>may be deemed to beneficially own the shares of Common Stock owned directly by Hill Path J Fund. Mr. Ross, as the managing partner of each of Hill Path Investment Holdings II, Hill Path and Hill Path Holdings, may be deemed to beneficially own the shares of Common Stock owned directly by Hill Path J Fund.</w:t>
      </w:r>
    </w:p>
    <w:p>
      <w:pPr>
        <w:spacing w:after="0" w:line="8" w:lineRule="exact"/>
        <w:rPr>
          <w:sz w:val="20"/>
          <w:szCs w:val="20"/>
          <w:color w:val="auto"/>
        </w:rPr>
      </w:pPr>
    </w:p>
    <w:p>
      <w:pPr>
        <w:ind w:right="4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Common Stock owned directly by Hill Path Capital. Hill Path GP, as the general partner of Hill Path Capital, may be deemed to beneficially own the shares of Common Stock owned directly by Hill Path Capital. Hill Path Investment Holdings, as the managing member of Hill Path GP, may be deemed to beneficially own the shares of Common Stock owned directly by Hill Path Capital. Hill Path, as the investment manager of Hill Path Capital, may be deemed to beneficially own the shares of Common Stock owned directly by Hill Path Capital. Hill Path Holdings, as the general partner of Hill Path, may be deemed to beneficially own the shares of Common Stock owned directly by Hill Path Capital. Mr. Ross, as the managing partner of each of Hill Path Investment Holdings, Hill Path and Hill Path Holdings, may be deemed to beneficially own the shares of Common Stock owned directly by Hill Path Capital.</w:t>
      </w:r>
    </w:p>
    <w:p>
      <w:pPr>
        <w:spacing w:after="0" w:line="26" w:lineRule="exact"/>
        <w:rPr>
          <w:rFonts w:ascii="Times New Roman" w:cs="Times New Roman" w:eastAsia="Times New Roman" w:hAnsi="Times New Roman"/>
          <w:sz w:val="13"/>
          <w:szCs w:val="13"/>
          <w:color w:val="008000"/>
        </w:rPr>
      </w:pPr>
    </w:p>
    <w:p>
      <w:pPr>
        <w:ind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Common Stock owned directly by Hill Path Capital II. Hill Path GP II, as the general partner of Hill Path Capital II, may be deemed to beneficially own the shares of Common Stock owned directly by Hill Path Capital II. Hill Path Investment Holdings II, as the managing member of Hill Path GP II, may be deemed to beneficially own the shares of Common Stock owned directly by Hill Path Capital II. Hill Path, as the investment manager of Hill Path Capital II, may be deemed to beneficially own the shares of Common Stock owned directly by Hill Path Capital II. Hill Path Holdings, as the general partner of Hill Path, may be deemed to beneficially own the shares of Common Stock owned directly by Hill Path Capital II. Mr. Ross, as the managing partner of each of Hill Path Investment Holdings II, Hill Path and Hill Path Holdings, may be deemed to beneficially own the shares of Common Stock owned directly by Hill Path Capital II.</w:t>
      </w:r>
    </w:p>
    <w:p>
      <w:pPr>
        <w:spacing w:after="0" w:line="26" w:lineRule="exact"/>
        <w:rPr>
          <w:rFonts w:ascii="Times New Roman" w:cs="Times New Roman" w:eastAsia="Times New Roman" w:hAnsi="Times New Roman"/>
          <w:sz w:val="13"/>
          <w:szCs w:val="13"/>
          <w:color w:val="008000"/>
        </w:rPr>
      </w:pPr>
    </w:p>
    <w:p>
      <w:pPr>
        <w:jc w:val="both"/>
        <w:ind w:right="80" w:firstLine="7"/>
        <w:spacing w:after="0" w:line="24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Common Stock owned directly by Hill Path Co-Investment. Hill Path GP, as the general partner of Hill Path Co-Investment, may be deemed to beneficially own the shares of Common Stock owned directly by Hill Path Co-Investment. Hill Path Investment Holdings, as the managing member of Hill Path GP, may be deemed to beneficially own the shares of Common Stock owned directly by Hill Path Co-Investment. Hill Path, as the investment manager of Hill Path Co-Investment, may be deemed to beneficially own the shares of Common Stock owned directly by Hill Path Co-Investment.</w:t>
      </w:r>
    </w:p>
    <w:p>
      <w:pPr>
        <w:spacing w:after="0" w:line="1" w:lineRule="exact"/>
        <w:rPr>
          <w:rFonts w:ascii="Times New Roman" w:cs="Times New Roman" w:eastAsia="Times New Roman" w:hAnsi="Times New Roman"/>
          <w:sz w:val="13"/>
          <w:szCs w:val="13"/>
          <w:color w:val="008000"/>
        </w:rPr>
      </w:pPr>
    </w:p>
    <w:p>
      <w:pPr>
        <w:ind w:right="10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Hill Path Holdings, as the general partner of Hill Path, may be deemed to beneficially own the shares of Common Stock owned directly by Hill Path Co-Investment. Mr. Ross, as the managing partner of each of Hill Path Investment Holdings, Hill Path and Hill Path Holdings, may be deemed to beneficially own the shares of Common Stock owned directly by Hill Path Co-Investment.</w:t>
      </w:r>
    </w:p>
    <w:p>
      <w:pPr>
        <w:sectPr>
          <w:pgSz w:w="11900" w:h="16838" w:orient="portrait"/>
          <w:cols w:equalWidth="0" w:num="1">
            <w:col w:w="10880"/>
          </w:cols>
          <w:pgMar w:left="500" w:top="127" w:right="519" w:bottom="1440" w:gutter="0" w:footer="0" w:header="0"/>
        </w:sectPr>
      </w:pPr>
    </w:p>
    <w:p>
      <w:pPr>
        <w:spacing w:after="0" w:line="4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Hill Path Capital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98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Hill Path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38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GP LLC, By: /s/ Scott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9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2439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912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Hill Path Capital Partners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280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Hill Path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72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II GP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96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2096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Scott Ross,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38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Hill Path Capital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315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Investment Partners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44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Hill Path Capital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54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By: /s/ Scott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56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0756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912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Hill Path Capital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954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Hill Path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95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Holdings LLC, By: /s/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76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Ross,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98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Hill Path Capital Partners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280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GP LLC, By: Hill Path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15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Investment Holdings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33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Scott Ross,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65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7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Hill Path Investment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11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Scott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56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0756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912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Hill Path Investment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11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spacing w:after="0" w:line="11" w:lineRule="exact"/>
        <w:rPr>
          <w:sz w:val="20"/>
          <w:szCs w:val="20"/>
          <w:color w:val="auto"/>
        </w:rPr>
      </w:pPr>
    </w:p>
    <w:p>
      <w:pPr>
        <w:ind w:left="6540" w:right="300" w:firstLine="9"/>
        <w:spacing w:after="0" w:line="283" w:lineRule="auto"/>
        <w:tabs>
          <w:tab w:leader="none" w:pos="6699" w:val="left"/>
        </w:tabs>
        <w:numPr>
          <w:ilvl w:val="0"/>
          <w:numId w:val="3"/>
        </w:numPr>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0000FF"/>
        </w:rPr>
        <w:t>LLC, By: /s/ Scott Ross,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-180975</wp:posOffset>
            </wp:positionV>
            <wp:extent cx="11766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176655"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-45720</wp:posOffset>
            </wp:positionV>
            <wp:extent cx="7912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Hill Path Capital LP, By: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954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Path Holdings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71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Scott Ross,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38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Hill Path Holdings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744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27444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Scott Ross,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98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75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8700" w:space="40"/>
            <w:col w:w="2140"/>
          </w:cols>
          <w:pgMar w:left="500" w:top="127" w:right="519" w:bottom="1440" w:gutter="0" w:footer="0" w:header="0"/>
          <w:type w:val="continuous"/>
        </w:sectPr>
      </w:pPr>
    </w:p>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By: /s/ Scott Ross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04/28/2026</w:t>
            </w: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7"/>
    </w:lvl>
  </w:abstractNum>
  <w:abstractNum w:abstractNumId="2">
    <w:nsid w:val="2AE8944A"/>
    <w:multiLevelType w:val="hybridMultilevel"/>
    <w:lvl w:ilvl="0">
      <w:lvlJc w:val="left"/>
      <w:lvlText w:val="%1"/>
      <w:numFmt w:val="upperLetter"/>
      <w:start w:val="3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21"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13" Type="http://schemas.openxmlformats.org/officeDocument/2006/relationships/hyperlink" Target="http://www.sec.gov/cgi-bin/browse-edgar?action=getcompany&amp;CIK=0001661914" TargetMode="External"/><Relationship Id="rId14" Type="http://schemas.openxmlformats.org/officeDocument/2006/relationships/hyperlink" Target="http://www.sec.gov/cgi-bin/browse-edgar?action=getcompany&amp;CIK=0001525769" TargetMode="External"/><Relationship Id="rId16" Type="http://schemas.openxmlformats.org/officeDocument/2006/relationships/hyperlink" Target="http://www.sec.gov/cgi-bin/browse-edgar?action=getcompany&amp;CIK=0001756658" TargetMode="External"/><Relationship Id="rId17" Type="http://schemas.openxmlformats.org/officeDocument/2006/relationships/hyperlink" Target="http://www.sec.gov/cgi-bin/browse-edgar?action=getcompany&amp;CIK=0001661913" TargetMode="External"/><Relationship Id="rId18" Type="http://schemas.openxmlformats.org/officeDocument/2006/relationships/hyperlink" Target="http://www.sec.gov/cgi-bin/browse-edgar?action=getcompany&amp;CIK=0001676386" TargetMode="External"/><Relationship Id="rId19" Type="http://schemas.openxmlformats.org/officeDocument/2006/relationships/hyperlink" Target="http://www.sec.gov/cgi-bin/browse-edgar?action=getcompany&amp;CIK=0001826029" TargetMode="External"/><Relationship Id="rId20" Type="http://schemas.openxmlformats.org/officeDocument/2006/relationships/hyperlink" Target="http://www.sec.gov/cgi-bin/browse-edgar?action=getcompany&amp;CIK=0001676389" TargetMode="External"/><Relationship Id="rId22" Type="http://schemas.openxmlformats.org/officeDocument/2006/relationships/hyperlink" Target="http://www.sec.gov/cgi-bin/browse-edgar?action=getcompany&amp;CIK=0001826028" TargetMode="External"/><Relationship Id="rId23" Type="http://schemas.openxmlformats.org/officeDocument/2006/relationships/hyperlink" Target="http://www.sec.gov/cgi-bin/browse-edgar?action=getcompany&amp;CIK=0001676292" TargetMode="External"/><Relationship Id="rId24" Type="http://schemas.openxmlformats.org/officeDocument/2006/relationships/hyperlink" Target="http://www.sec.gov/cgi-bin/browse-edgar?action=getcompany&amp;CIK=0001676388" TargetMode="External"/><Relationship Id="rId25" Type="http://schemas.openxmlformats.org/officeDocument/2006/relationships/hyperlink" Target="http://www.sec.gov/cgi-bin/browse-edgar?action=getcompany&amp;CIK=0001549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2026-04-28T20:32:49Z</dcterms:created>
  <dcterms:modified xsi:type="dcterms:W3CDTF">2026-04-28T20:32:49Z</dcterms:modified>
</cp:coreProperties>
</file>