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3938270</wp:posOffset>
            </wp:positionH>
            <wp:positionV relativeFrom="paragraph">
              <wp:posOffset>-612140</wp:posOffset>
            </wp:positionV>
            <wp:extent cx="57150" cy="62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724535</wp:posOffset>
            </wp:positionV>
            <wp:extent cx="6996430" cy="4731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47313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2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Tucker Jeremy</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26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1221 S. BELT LINE RD., SUITE 500</w:t>
            </w:r>
          </w:p>
        </w:tc>
      </w:tr>
      <w:tr>
        <w:trPr>
          <w:trHeight w:val="469"/>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4"/>
        </w:trPr>
        <w:tc>
          <w:tcPr>
            <w:tcW w:w="10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COPPELL</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75019</w:t>
            </w:r>
          </w:p>
        </w:tc>
      </w:tr>
      <w:tr>
        <w:trPr>
          <w:trHeight w:val="456"/>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Dave &amp; Buster's Entertainment,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PLAY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6" w:lineRule="exact"/>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line="116" w:lineRule="exact"/>
              <w:rPr>
                <w:sz w:val="20"/>
                <w:szCs w:val="20"/>
                <w:color w:val="auto"/>
              </w:rPr>
            </w:pPr>
            <w:r>
              <w:rPr>
                <w:rFonts w:ascii="Arial" w:cs="Arial" w:eastAsia="Arial" w:hAnsi="Arial"/>
                <w:sz w:val="13"/>
                <w:szCs w:val="13"/>
                <w:color w:val="auto"/>
              </w:rPr>
              <w:t>Other (specify</w:t>
            </w:r>
          </w:p>
        </w:tc>
      </w:tr>
      <w:tr>
        <w:trPr>
          <w:trHeight w:val="17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r>
      <w:tr>
        <w:trPr>
          <w:trHeight w:val="23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06/22/2026</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0000FF"/>
              </w:rPr>
              <w:t>Chief Marketing Officer</w:t>
            </w:r>
          </w:p>
        </w:tc>
      </w:tr>
      <w:tr>
        <w:trPr>
          <w:trHeight w:val="233"/>
        </w:trPr>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28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2"/>
          </w:tcPr>
          <w:p>
            <w:pPr>
              <w:spacing w:after="0"/>
              <w:rPr>
                <w:sz w:val="20"/>
                <w:szCs w:val="20"/>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91"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2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6"/>
                <w:szCs w:val="16"/>
                <w:color w:val="0000FF"/>
              </w:rPr>
              <w:t>06/22/2026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231,092</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6"/>
                <w:szCs w:val="16"/>
                <w:color w:val="0000FF"/>
              </w:rPr>
              <w:t>231,092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0"/>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17"/>
                <w:szCs w:val="17"/>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213,936</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0000FF"/>
                <w:w w:val="94"/>
              </w:rPr>
              <w:t>06/22/2036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213,936</w:t>
            </w:r>
          </w:p>
        </w:tc>
        <w:tc>
          <w:tcPr>
            <w:tcW w:w="720" w:type="dxa"/>
            <w:vAlign w:val="bottom"/>
            <w:gridSpan w:val="2"/>
          </w:tcPr>
          <w:p>
            <w:pPr>
              <w:jc w:val="center"/>
              <w:ind w:right="1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10.9</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213,936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ind w:right="22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20" w:type="dxa"/>
            <w:vAlign w:val="bottom"/>
          </w:tcPr>
          <w:p>
            <w:pPr>
              <w:jc w:val="right"/>
              <w:ind w:right="141"/>
              <w:spacing w:after="0"/>
              <w:rPr>
                <w:sz w:val="20"/>
                <w:szCs w:val="20"/>
                <w:color w:val="auto"/>
              </w:rPr>
            </w:pPr>
            <w:r>
              <w:rPr>
                <w:rFonts w:ascii="Times New Roman" w:cs="Times New Roman" w:eastAsia="Times New Roman" w:hAnsi="Times New Roman"/>
                <w:sz w:val="13"/>
                <w:szCs w:val="13"/>
                <w:color w:val="0000FF"/>
              </w:rPr>
              <w:t>06/22/2026</w:t>
            </w:r>
          </w:p>
        </w:tc>
        <w:tc>
          <w:tcPr>
            <w:tcW w:w="1100" w:type="dxa"/>
            <w:vAlign w:val="bottom"/>
          </w:tcPr>
          <w:p>
            <w:pPr>
              <w:spacing w:after="0"/>
              <w:rPr>
                <w:sz w:val="20"/>
                <w:szCs w:val="20"/>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147,059</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tcPr>
          <w:p>
            <w:pPr>
              <w:jc w:val="right"/>
              <w:ind w:right="2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20"/>
                <w:szCs w:val="20"/>
                <w:color w:val="auto"/>
              </w:rPr>
            </w:pPr>
            <w:r>
              <w:rPr>
                <w:rFonts w:ascii="Times New Roman" w:cs="Times New Roman" w:eastAsia="Times New Roman" w:hAnsi="Times New Roman"/>
                <w:sz w:val="16"/>
                <w:szCs w:val="16"/>
                <w:color w:val="0000FF"/>
              </w:rPr>
              <w:t>147,059</w:t>
            </w:r>
          </w:p>
        </w:tc>
        <w:tc>
          <w:tcPr>
            <w:tcW w:w="720" w:type="dxa"/>
            <w:vAlign w:val="bottom"/>
            <w:gridSpan w:val="2"/>
          </w:tcPr>
          <w:p>
            <w:pPr>
              <w:jc w:val="center"/>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147,059</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Shares SSS</w:t>
            </w: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-2068830</wp:posOffset>
            </wp:positionV>
            <wp:extent cx="28575" cy="2074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745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RSU's that will vest in three installments of 77,031 shares on June 22, 2027, 77,031 shares on June 22, 2028 and 77,030 shares on June 22, 2029.</w:t>
      </w:r>
    </w:p>
    <w:p>
      <w:pPr>
        <w:spacing w:after="0" w:line="39" w:lineRule="exact"/>
        <w:rPr>
          <w:rFonts w:ascii="Times New Roman" w:cs="Times New Roman" w:eastAsia="Times New Roman" w:hAnsi="Times New Roman"/>
          <w:sz w:val="13"/>
          <w:szCs w:val="13"/>
          <w:color w:val="008000"/>
        </w:rPr>
      </w:pPr>
    </w:p>
    <w:p>
      <w:pPr>
        <w:ind w:left="40" w:right="4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to the reporting person under the Inducement Plan. The shares underlying these stock options will vest and become exercisable in substantially three equal installments on the Initial Price Achievement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performance-based stock units ("PSUs") under the Issuer's Inducement Plan.</w:t>
      </w:r>
    </w:p>
    <w:p>
      <w:pPr>
        <w:spacing w:after="0" w:line="58"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Sherri M. Smith,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06/24/2026</w:t>
            </w:r>
          </w:p>
        </w:tc>
        <w:tc>
          <w:tcPr>
            <w:tcW w:w="0" w:type="dxa"/>
            <w:vAlign w:val="bottom"/>
          </w:tcPr>
          <w:p>
            <w:pPr>
              <w:spacing w:after="0"/>
              <w:rPr>
                <w:sz w:val="1"/>
                <w:szCs w:val="1"/>
                <w:color w:val="auto"/>
              </w:rPr>
            </w:pPr>
          </w:p>
        </w:tc>
      </w:tr>
      <w:tr>
        <w:trPr>
          <w:trHeight w:val="81"/>
        </w:trPr>
        <w:tc>
          <w:tcPr>
            <w:tcW w:w="2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8285" TargetMode="External"/><Relationship Id="rId14" Type="http://schemas.openxmlformats.org/officeDocument/2006/relationships/hyperlink" Target="http://www.sec.gov/cgi-bin/browse-edgar?action=getcompany&amp;CIK=0001525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2026-06-24T16:58:35Z</dcterms:created>
  <dcterms:modified xsi:type="dcterms:W3CDTF">2026-06-24T16:58:35Z</dcterms:modified>
</cp:coreProperties>
</file>