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1,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DAVE &amp; BUSTER’S ENTERTAINMENT,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196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001-35664</w:t>
            </w:r>
          </w:p>
        </w:tc>
        <w:tc>
          <w:tcPr>
            <w:tcW w:w="244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35-2382255</w:t>
            </w:r>
          </w:p>
        </w:tc>
      </w:tr>
      <w:tr>
        <w:trPr>
          <w:trHeight w:val="216"/>
        </w:trPr>
        <w:tc>
          <w:tcPr>
            <w:tcW w:w="1960" w:type="dxa"/>
            <w:vAlign w:val="bottom"/>
          </w:tcPr>
          <w:p>
            <w:pPr>
              <w:jc w:val="center"/>
              <w:ind w:right="850"/>
              <w:spacing w:after="0"/>
              <w:rPr>
                <w:sz w:val="20"/>
                <w:szCs w:val="20"/>
                <w:color w:val="auto"/>
              </w:rPr>
            </w:pPr>
            <w:r>
              <w:rPr>
                <w:rFonts w:ascii="Arial" w:cs="Arial" w:eastAsia="Arial" w:hAnsi="Arial"/>
                <w:sz w:val="18"/>
                <w:szCs w:val="18"/>
                <w:color w:val="auto"/>
                <w:w w:val="91"/>
              </w:rPr>
              <w:t>(State of</w:t>
            </w:r>
          </w:p>
        </w:tc>
        <w:tc>
          <w:tcPr>
            <w:tcW w:w="458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w:t>
            </w:r>
          </w:p>
        </w:tc>
        <w:tc>
          <w:tcPr>
            <w:tcW w:w="2440" w:type="dxa"/>
            <w:vAlign w:val="bottom"/>
          </w:tcPr>
          <w:p>
            <w:pPr>
              <w:jc w:val="center"/>
              <w:ind w:left="6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ind w:right="850"/>
              <w:spacing w:after="0"/>
              <w:rPr>
                <w:sz w:val="20"/>
                <w:szCs w:val="20"/>
                <w:color w:val="auto"/>
              </w:rPr>
            </w:pPr>
            <w:r>
              <w:rPr>
                <w:rFonts w:ascii="Arial" w:cs="Arial" w:eastAsia="Arial" w:hAnsi="Arial"/>
                <w:sz w:val="18"/>
                <w:szCs w:val="18"/>
                <w:color w:val="auto"/>
                <w:w w:val="92"/>
              </w:rPr>
              <w:t>incorporation)</w:t>
            </w:r>
          </w:p>
        </w:tc>
        <w:tc>
          <w:tcPr>
            <w:tcW w:w="4580" w:type="dxa"/>
            <w:vAlign w:val="bottom"/>
          </w:tcPr>
          <w:p>
            <w:pPr>
              <w:jc w:val="center"/>
              <w:ind w:left="9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6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1960" w:type="dxa"/>
            <w:vAlign w:val="bottom"/>
          </w:tcPr>
          <w:p>
            <w:pPr>
              <w:spacing w:after="0"/>
              <w:rPr>
                <w:sz w:val="24"/>
                <w:szCs w:val="24"/>
                <w:color w:val="auto"/>
              </w:rPr>
            </w:pPr>
          </w:p>
        </w:tc>
        <w:tc>
          <w:tcPr>
            <w:tcW w:w="45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2481 Manana Drive</w:t>
            </w:r>
          </w:p>
        </w:tc>
        <w:tc>
          <w:tcPr>
            <w:tcW w:w="2440" w:type="dxa"/>
            <w:vAlign w:val="bottom"/>
          </w:tcPr>
          <w:p>
            <w:pPr>
              <w:spacing w:after="0"/>
              <w:rPr>
                <w:sz w:val="24"/>
                <w:szCs w:val="24"/>
                <w:color w:val="auto"/>
              </w:rPr>
            </w:pPr>
          </w:p>
        </w:tc>
      </w:tr>
      <w:tr>
        <w:trPr>
          <w:trHeight w:val="220"/>
        </w:trPr>
        <w:tc>
          <w:tcPr>
            <w:tcW w:w="1960" w:type="dxa"/>
            <w:vAlign w:val="bottom"/>
          </w:tcPr>
          <w:p>
            <w:pPr>
              <w:spacing w:after="0"/>
              <w:rPr>
                <w:sz w:val="19"/>
                <w:szCs w:val="19"/>
                <w:color w:val="auto"/>
              </w:rPr>
            </w:pPr>
          </w:p>
        </w:tc>
        <w:tc>
          <w:tcPr>
            <w:tcW w:w="458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Dallas TX 75220</w:t>
            </w:r>
          </w:p>
        </w:tc>
        <w:tc>
          <w:tcPr>
            <w:tcW w:w="244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4580" w:type="dxa"/>
            <w:vAlign w:val="bottom"/>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24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(214) 357-9588</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reporting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of the Exchange Act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Exchange Act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Exchange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2"/>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60" w:type="dxa"/>
            <w:vAlign w:val="bottom"/>
          </w:tcPr>
          <w:p>
            <w:pPr>
              <w:spacing w:after="0"/>
              <w:rPr>
                <w:sz w:val="24"/>
                <w:szCs w:val="24"/>
                <w:color w:val="auto"/>
              </w:rPr>
            </w:pPr>
          </w:p>
        </w:tc>
        <w:tc>
          <w:tcPr>
            <w:tcW w:w="29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5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Pr>
          <w:p>
            <w:pPr>
              <w:spacing w:after="0"/>
              <w:rPr>
                <w:sz w:val="20"/>
                <w:szCs w:val="20"/>
                <w:color w:val="auto"/>
              </w:rPr>
            </w:pPr>
          </w:p>
        </w:tc>
        <w:tc>
          <w:tcPr>
            <w:tcW w:w="2560" w:type="dxa"/>
            <w:vAlign w:val="bottom"/>
            <w:gridSpan w:val="2"/>
          </w:tcPr>
          <w:p>
            <w:pPr>
              <w:jc w:val="center"/>
              <w:ind w:right="1200"/>
              <w:spacing w:after="0"/>
              <w:rPr>
                <w:sz w:val="20"/>
                <w:szCs w:val="20"/>
                <w:color w:val="auto"/>
              </w:rPr>
            </w:pPr>
            <w:r>
              <w:rPr>
                <w:rFonts w:ascii="Arial" w:cs="Arial" w:eastAsia="Arial" w:hAnsi="Arial"/>
                <w:sz w:val="18"/>
                <w:szCs w:val="18"/>
                <w:color w:val="auto"/>
                <w:w w:val="95"/>
              </w:rPr>
              <w:t>PLAY</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 2021, Scott J. Bowman, the Company’s Senior Vice President and Chief Financial Officer, tendered his resignation effective December 8, 2021, to accept another opportunity out of state that is closer to his family. Mr. Bowman’s departure is not as a result of any dispute with the Company. The Company thanks Mr. Bowman for his contributions and has commenced a search for Mr. Bowman’s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DAVE &amp; BUSTER’S ENTERTAINMENT, INC.</w:t>
            </w:r>
          </w:p>
        </w:tc>
      </w:tr>
      <w:tr>
        <w:trPr>
          <w:trHeight w:val="675"/>
        </w:trPr>
        <w:tc>
          <w:tcPr>
            <w:tcW w:w="3720" w:type="dxa"/>
            <w:vAlign w:val="bottom"/>
          </w:tcPr>
          <w:p>
            <w:pPr>
              <w:spacing w:after="0"/>
              <w:rPr>
                <w:sz w:val="20"/>
                <w:szCs w:val="20"/>
                <w:color w:val="auto"/>
              </w:rPr>
            </w:pPr>
            <w:r>
              <w:rPr>
                <w:rFonts w:ascii="Arial" w:cs="Arial" w:eastAsia="Arial" w:hAnsi="Arial"/>
                <w:sz w:val="18"/>
                <w:szCs w:val="18"/>
                <w:color w:val="auto"/>
              </w:rPr>
              <w:t>Date: November 5, 2021</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By:  /s/ Robert W. Edmund</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W. Edmund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Counsel, Secretary and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Human Resources</w:t>
            </w:r>
          </w:p>
        </w:tc>
      </w:tr>
      <w:tr>
        <w:trPr>
          <w:trHeight w:val="675"/>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2021-11-05T15:19:50Z</dcterms:created>
  <dcterms:modified xsi:type="dcterms:W3CDTF">2021-11-05T15:19:50Z</dcterms:modified>
</cp:coreProperties>
</file>