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4"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Washington, D.C. 20549</w:t>
      </w:r>
    </w:p>
    <w:p>
      <w:pPr>
        <w:spacing w:after="0" w:line="15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Form 10-K</w:t>
      </w:r>
    </w:p>
    <w:p>
      <w:pPr>
        <w:spacing w:after="0" w:line="182"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ANNUAL REPORT PURSUANT TO SECTION 13 OR 15 (d) OF</w:t>
      </w:r>
    </w:p>
    <w:p>
      <w:pPr>
        <w:spacing w:after="0" w:line="3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SECURITIES EXCHANGE ACT OF 1934</w:t>
      </w:r>
    </w:p>
    <w:p>
      <w:pPr>
        <w:sectPr>
          <w:pgSz w:w="11900" w:h="16838" w:orient="portrait"/>
          <w:cols w:equalWidth="0" w:num="1">
            <w:col w:w="10219"/>
          </w:cols>
          <w:pgMar w:left="240" w:top="207" w:right="1440" w:bottom="1440" w:gutter="0" w:footer="0" w:header="0"/>
        </w:sectPr>
      </w:pP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fiscal year ended January 31, 1999</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0-25858</w:t>
      </w:r>
    </w:p>
    <w:p>
      <w:pPr>
        <w:spacing w:after="0" w:line="182" w:lineRule="exact"/>
        <w:rPr>
          <w:sz w:val="24"/>
          <w:szCs w:val="24"/>
          <w:color w:val="auto"/>
        </w:rPr>
      </w:pPr>
    </w:p>
    <w:p>
      <w:pPr>
        <w:sectPr>
          <w:pgSz w:w="11900" w:h="16838" w:orient="portrait"/>
          <w:cols w:equalWidth="0" w:num="3">
            <w:col w:w="3940" w:space="720"/>
            <w:col w:w="1740" w:space="200"/>
            <w:col w:w="3619"/>
          </w:cols>
          <w:pgMar w:left="240" w:top="207" w:right="1440" w:bottom="1440" w:gutter="0" w:footer="0" w:header="0"/>
          <w:type w:val="continuous"/>
        </w:sectPr>
      </w:pPr>
    </w:p>
    <w:p>
      <w:pPr>
        <w:jc w:val="center"/>
        <w:ind w:right="2799"/>
        <w:spacing w:after="0"/>
        <w:rPr>
          <w:sz w:val="20"/>
          <w:szCs w:val="20"/>
          <w:color w:val="auto"/>
        </w:rPr>
      </w:pPr>
      <w:r>
        <w:rPr>
          <w:rFonts w:ascii="Courier New" w:cs="Courier New" w:eastAsia="Courier New" w:hAnsi="Courier New"/>
          <w:sz w:val="15"/>
          <w:szCs w:val="15"/>
          <w:color w:val="auto"/>
        </w:rPr>
        <w:t>DAVE &amp; BUSTER'S, INC.</w:t>
      </w:r>
    </w:p>
    <w:p>
      <w:pPr>
        <w:spacing w:after="0" w:line="182"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07" w:right="1440" w:bottom="1440" w:gutter="0" w:footer="0" w:header="0"/>
          <w:type w:val="continuous"/>
        </w:sectPr>
      </w:pPr>
    </w:p>
    <w:p>
      <w:pPr>
        <w:spacing w:after="0" w:line="182"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Missouri</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43-1532756</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54" w:lineRule="exact"/>
        <w:rPr>
          <w:sz w:val="24"/>
          <w:szCs w:val="24"/>
          <w:color w:val="auto"/>
        </w:rPr>
      </w:pPr>
    </w:p>
    <w:p>
      <w:pPr>
        <w:sectPr>
          <w:pgSz w:w="11900" w:h="16838" w:orient="portrait"/>
          <w:cols w:equalWidth="0" w:num="2">
            <w:col w:w="4120" w:space="720"/>
            <w:col w:w="5379"/>
          </w:cols>
          <w:pgMar w:left="240" w:top="207" w:right="1440" w:bottom="1440" w:gutter="0" w:footer="0" w:header="0"/>
          <w:type w:val="continuous"/>
        </w:sectPr>
      </w:pPr>
    </w:p>
    <w:p>
      <w:pPr>
        <w:ind w:right="920"/>
        <w:spacing w:after="0" w:line="372" w:lineRule="auto"/>
        <w:rPr>
          <w:sz w:val="20"/>
          <w:szCs w:val="20"/>
          <w:color w:val="auto"/>
        </w:rPr>
      </w:pPr>
      <w:r>
        <w:rPr>
          <w:rFonts w:ascii="Courier New" w:cs="Courier New" w:eastAsia="Courier New" w:hAnsi="Courier New"/>
          <w:sz w:val="15"/>
          <w:szCs w:val="15"/>
          <w:color w:val="auto"/>
        </w:rPr>
        <w:t>2481 Manana Drive, Dallas, Texas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5"/>
          <w:szCs w:val="15"/>
          <w:color w:val="auto"/>
        </w:rPr>
        <w:t>75220</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54" w:lineRule="exact"/>
        <w:rPr>
          <w:sz w:val="24"/>
          <w:szCs w:val="24"/>
          <w:color w:val="auto"/>
        </w:rPr>
      </w:pPr>
    </w:p>
    <w:p>
      <w:pPr>
        <w:sectPr>
          <w:pgSz w:w="11900" w:h="16838" w:orient="portrait"/>
          <w:cols w:equalWidth="0" w:num="2">
            <w:col w:w="4580" w:space="720"/>
            <w:col w:w="4919"/>
          </w:cols>
          <w:pgMar w:left="240" w:top="207" w:right="1440" w:bottom="1440" w:gutter="0" w:footer="0" w:header="0"/>
          <w:type w:val="continuous"/>
        </w:sectPr>
      </w:pPr>
    </w:p>
    <w:p>
      <w:pPr>
        <w:jc w:val="center"/>
        <w:ind w:right="2899"/>
        <w:spacing w:after="0"/>
        <w:rPr>
          <w:sz w:val="20"/>
          <w:szCs w:val="20"/>
          <w:color w:val="auto"/>
        </w:rPr>
      </w:pPr>
      <w:r>
        <w:rPr>
          <w:rFonts w:ascii="Courier New" w:cs="Courier New" w:eastAsia="Courier New" w:hAnsi="Courier New"/>
          <w:sz w:val="15"/>
          <w:szCs w:val="15"/>
          <w:color w:val="auto"/>
        </w:rPr>
        <w:t>Registrant's telephone number,</w:t>
      </w:r>
    </w:p>
    <w:p>
      <w:pPr>
        <w:spacing w:after="0" w:line="3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including area code (214) 357-9588</w:t>
      </w:r>
    </w:p>
    <w:p>
      <w:pPr>
        <w:spacing w:after="0" w:line="154" w:lineRule="exact"/>
        <w:rPr>
          <w:sz w:val="24"/>
          <w:szCs w:val="24"/>
          <w:color w:val="auto"/>
        </w:rPr>
      </w:pPr>
    </w:p>
    <w:p>
      <w:pPr>
        <w:ind w:right="3359"/>
        <w:spacing w:after="0" w:line="372" w:lineRule="auto"/>
        <w:rPr>
          <w:sz w:val="20"/>
          <w:szCs w:val="20"/>
          <w:color w:val="auto"/>
        </w:rPr>
      </w:pPr>
      <w:r>
        <w:rPr>
          <w:rFonts w:ascii="Courier New" w:cs="Courier New" w:eastAsia="Courier New" w:hAnsi="Courier New"/>
          <w:sz w:val="15"/>
          <w:szCs w:val="15"/>
          <w:color w:val="auto"/>
        </w:rPr>
        <w:t>Securities registered pursuant to Section 12(b) of the Act: None Securities registered pursuant to Section 12(g) of the Act:</w:t>
      </w:r>
    </w:p>
    <w:p>
      <w:pPr>
        <w:spacing w:after="0" w:line="2"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Title of Each Class</w:t>
      </w:r>
    </w:p>
    <w:p>
      <w:pPr>
        <w:spacing w:after="0" w:line="3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Common Stock, $0.01 par value</w:t>
      </w:r>
    </w:p>
    <w:p>
      <w:pPr>
        <w:spacing w:after="0" w:line="154" w:lineRule="exact"/>
        <w:rPr>
          <w:sz w:val="24"/>
          <w:szCs w:val="24"/>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w:t>
      </w:r>
    </w:p>
    <w:p>
      <w:pPr>
        <w:spacing w:after="0" w:line="69" w:lineRule="exact"/>
        <w:rPr>
          <w:sz w:val="24"/>
          <w:szCs w:val="24"/>
          <w:color w:val="auto"/>
        </w:rPr>
      </w:pPr>
    </w:p>
    <w:p>
      <w:pPr>
        <w:ind w:right="3079"/>
        <w:spacing w:after="0" w:line="279"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___</w:t>
      </w:r>
    </w:p>
    <w:p>
      <w:pPr>
        <w:spacing w:after="0" w:line="69" w:lineRule="exact"/>
        <w:rPr>
          <w:sz w:val="24"/>
          <w:szCs w:val="24"/>
          <w:color w:val="auto"/>
        </w:rPr>
      </w:pPr>
    </w:p>
    <w:p>
      <w:pPr>
        <w:ind w:right="3179"/>
        <w:spacing w:after="0" w:line="310" w:lineRule="auto"/>
        <w:rPr>
          <w:sz w:val="20"/>
          <w:szCs w:val="20"/>
          <w:color w:val="auto"/>
        </w:rPr>
      </w:pPr>
      <w:r>
        <w:rPr>
          <w:rFonts w:ascii="Courier New" w:cs="Courier New" w:eastAsia="Courier New" w:hAnsi="Courier New"/>
          <w:sz w:val="15"/>
          <w:szCs w:val="15"/>
          <w:color w:val="auto"/>
        </w:rPr>
        <w:t>The aggregate market value of the voting stock held by persons other than directors and officers of registrant (who might be deemed to be affiliates of registrant) at April 23, 1999 was $267,911,907.</w:t>
      </w:r>
    </w:p>
    <w:p>
      <w:pPr>
        <w:spacing w:after="0" w:line="46" w:lineRule="exact"/>
        <w:rPr>
          <w:sz w:val="24"/>
          <w:szCs w:val="24"/>
          <w:color w:val="auto"/>
        </w:rPr>
      </w:pPr>
    </w:p>
    <w:p>
      <w:pPr>
        <w:ind w:right="3819"/>
        <w:spacing w:after="0" w:line="372" w:lineRule="auto"/>
        <w:rPr>
          <w:sz w:val="20"/>
          <w:szCs w:val="20"/>
          <w:color w:val="auto"/>
        </w:rPr>
      </w:pPr>
      <w:r>
        <w:rPr>
          <w:rFonts w:ascii="Courier New" w:cs="Courier New" w:eastAsia="Courier New" w:hAnsi="Courier New"/>
          <w:sz w:val="15"/>
          <w:szCs w:val="15"/>
          <w:color w:val="auto"/>
        </w:rPr>
        <w:t>The number of shares of common stock outstanding at April 23, 1999 was 13,076,600 shares.</w:t>
      </w:r>
    </w:p>
    <w:p>
      <w:pPr>
        <w:spacing w:after="0" w:line="17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82" w:lineRule="exact"/>
        <w:rPr>
          <w:sz w:val="24"/>
          <w:szCs w:val="24"/>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Portions of the registrant's Proxy Statement dated May 10, 1999, for its annual meeting of Stockholders on June 15, 1999, are incorporated by reference into Part III hereof, to the extent indicated herein.</w:t>
      </w:r>
    </w:p>
    <w:p>
      <w:pPr>
        <w:spacing w:after="0" w:line="222" w:lineRule="exact"/>
        <w:rPr>
          <w:sz w:val="24"/>
          <w:szCs w:val="24"/>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07"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PART I</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left="820" w:right="2899"/>
        <w:spacing w:after="0" w:line="260" w:lineRule="auto"/>
        <w:rPr>
          <w:sz w:val="20"/>
          <w:szCs w:val="20"/>
          <w:color w:val="auto"/>
        </w:rPr>
      </w:pPr>
      <w:r>
        <w:rPr>
          <w:rFonts w:ascii="Courier New" w:cs="Courier New" w:eastAsia="Courier New" w:hAnsi="Courier New"/>
          <w:sz w:val="15"/>
          <w:szCs w:val="15"/>
          <w:color w:val="auto"/>
        </w:rPr>
        <w:t>Dave &amp; Buster's, Inc. (the "Company") operates 19 large format, high-volume Restaurant/Entertainment Complexes ("Complexes" or "Stores") under the Dave &amp; Buster's name. Each Dave &amp; Buster's Complex offers a full menu of high quality food and beverage items combined with an extensive array of entertainment attractions such as pocket billiards, shuffleboard, state-of-the-art interactive simulators and virtual reality systems, and traditional carnival-style games of skill. The Company's large format is designed to promote easy access to, and maximize customer cross-over between, the multiple dining and entertainment areas within each Complex. The Company emphasizes high levels of customer service to create casual, yet sophisticated, "ideal playing conditions" for adults.</w:t>
      </w:r>
    </w:p>
    <w:p>
      <w:pPr>
        <w:spacing w:after="0" w:line="25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Dave &amp; Buster's Concept</w:t>
      </w:r>
    </w:p>
    <w:p>
      <w:pPr>
        <w:spacing w:after="0" w:line="182" w:lineRule="exact"/>
        <w:rPr>
          <w:sz w:val="20"/>
          <w:szCs w:val="20"/>
          <w:color w:val="auto"/>
        </w:rPr>
      </w:pPr>
    </w:p>
    <w:p>
      <w:pPr>
        <w:jc w:val="both"/>
        <w:ind w:left="820" w:right="3079"/>
        <w:spacing w:after="0" w:line="289" w:lineRule="auto"/>
        <w:rPr>
          <w:sz w:val="20"/>
          <w:szCs w:val="20"/>
          <w:color w:val="auto"/>
        </w:rPr>
      </w:pPr>
      <w:r>
        <w:rPr>
          <w:rFonts w:ascii="Courier New" w:cs="Courier New" w:eastAsia="Courier New" w:hAnsi="Courier New"/>
          <w:sz w:val="15"/>
          <w:szCs w:val="15"/>
          <w:color w:val="auto"/>
        </w:rPr>
        <w:t>The Company seeks to differentiate itself by providing high quality dining, bar service, and entertainment attractions in a comfortable, adult atmosphere. The key factors of the Company's market positioning and operating strategy are:</w:t>
      </w:r>
    </w:p>
    <w:p>
      <w:pPr>
        <w:spacing w:after="0" w:line="62" w:lineRule="exact"/>
        <w:rPr>
          <w:sz w:val="20"/>
          <w:szCs w:val="20"/>
          <w:color w:val="auto"/>
        </w:rPr>
      </w:pPr>
    </w:p>
    <w:p>
      <w:pPr>
        <w:ind w:left="820" w:right="2899"/>
        <w:spacing w:after="0" w:line="261" w:lineRule="auto"/>
        <w:rPr>
          <w:sz w:val="20"/>
          <w:szCs w:val="20"/>
          <w:color w:val="auto"/>
        </w:rPr>
      </w:pPr>
      <w:r>
        <w:rPr>
          <w:rFonts w:ascii="Courier New" w:cs="Courier New" w:eastAsia="Courier New" w:hAnsi="Courier New"/>
          <w:sz w:val="15"/>
          <w:szCs w:val="15"/>
          <w:color w:val="auto"/>
        </w:rPr>
        <w:t>Distinctive Concept. Each Dave &amp; Buster's offers a distinctive combination of dining, bar service and entertainment. A full menu and complete bar service are available from early lunch until late at night in each restaurant and throughout almost all of the entertainment areas. The broad array of attractions, ranging from table and carnival games to state-of-the-art virtual reality games, is continuously reviewed and updated to maintain a fresh entertainment environment. The Company also actively seeks to enhance the popularity of its traditional games, such as pocket billiards and shuffleboard, by providing high quality tables, a clean and comfortable environment and a high standard of service.</w:t>
      </w:r>
    </w:p>
    <w:p>
      <w:pPr>
        <w:spacing w:after="0" w:line="266" w:lineRule="exact"/>
        <w:rPr>
          <w:sz w:val="20"/>
          <w:szCs w:val="20"/>
          <w:color w:val="auto"/>
        </w:rPr>
      </w:pPr>
    </w:p>
    <w:p>
      <w:pPr>
        <w:ind w:left="820" w:right="2979"/>
        <w:spacing w:after="0" w:line="266" w:lineRule="auto"/>
        <w:rPr>
          <w:sz w:val="20"/>
          <w:szCs w:val="20"/>
          <w:color w:val="auto"/>
        </w:rPr>
      </w:pPr>
      <w:r>
        <w:rPr>
          <w:rFonts w:ascii="Courier New" w:cs="Courier New" w:eastAsia="Courier New" w:hAnsi="Courier New"/>
          <w:sz w:val="15"/>
          <w:szCs w:val="15"/>
          <w:color w:val="auto"/>
        </w:rPr>
        <w:t>A Large, Multiple Attraction Destination. The Complexes range in approximate total area from 30,000 square feet to 70,000 square feet. The large scale of each operation, together with the numerous food, beverage and entertainment options offered, is designed to attract a diverse customer base and consolidate multiple-destination customer spending into one location. Each Dave &amp; Buster's attracts local customers from a wide geographical area (estimated to be a twenty-mile radius) along with tourists, conventioneers, and business travelers.</w:t>
      </w:r>
    </w:p>
    <w:p>
      <w:pPr>
        <w:spacing w:after="0" w:line="79" w:lineRule="exact"/>
        <w:rPr>
          <w:sz w:val="20"/>
          <w:szCs w:val="20"/>
          <w:color w:val="auto"/>
        </w:rPr>
      </w:pPr>
    </w:p>
    <w:p>
      <w:pPr>
        <w:ind w:left="820" w:right="3079"/>
        <w:spacing w:after="0" w:line="264" w:lineRule="auto"/>
        <w:rPr>
          <w:sz w:val="20"/>
          <w:szCs w:val="20"/>
          <w:color w:val="auto"/>
        </w:rPr>
      </w:pPr>
      <w:r>
        <w:rPr>
          <w:rFonts w:ascii="Courier New" w:cs="Courier New" w:eastAsia="Courier New" w:hAnsi="Courier New"/>
          <w:sz w:val="15"/>
          <w:szCs w:val="15"/>
          <w:color w:val="auto"/>
        </w:rPr>
        <w:t>Commitment to Quality. The Company strives to provide its customers with good food and an inviting atmosphere. Accordingly, each Dave &amp; Buster's offers an extensive menu which features popular, moderately priced food and beverage items that are individually prepared with a commitment to value and quality. The Company makes a significant investment in each Complex, and the Company's facilities are designed with an attention to detail. In addition, the customer-participation entertainment attractions are tastefully presented in an atmosphere that the Company defines as "ideal playing conditions."</w:t>
      </w:r>
    </w:p>
    <w:p>
      <w:pPr>
        <w:spacing w:after="0" w:line="200" w:lineRule="exact"/>
        <w:rPr>
          <w:sz w:val="20"/>
          <w:szCs w:val="20"/>
          <w:color w:val="auto"/>
        </w:rPr>
      </w:pPr>
    </w:p>
    <w:p>
      <w:pPr>
        <w:spacing w:after="0" w:line="23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359" w:lineRule="exact"/>
        <w:rPr>
          <w:sz w:val="20"/>
          <w:szCs w:val="20"/>
          <w:color w:val="auto"/>
        </w:rPr>
      </w:pPr>
    </w:p>
    <w:p>
      <w:pPr>
        <w:ind w:left="560" w:right="2979"/>
        <w:spacing w:after="0" w:line="269" w:lineRule="auto"/>
        <w:rPr>
          <w:sz w:val="20"/>
          <w:szCs w:val="20"/>
          <w:color w:val="auto"/>
        </w:rPr>
      </w:pPr>
      <w:r>
        <w:rPr>
          <w:rFonts w:ascii="Courier New" w:cs="Courier New" w:eastAsia="Courier New" w:hAnsi="Courier New"/>
          <w:sz w:val="15"/>
          <w:szCs w:val="15"/>
          <w:color w:val="auto"/>
        </w:rPr>
        <w:t>High Standard of Customer Service. Through intensive personnel training, constant monitoring of operations and stringent operational controls, the Company strives to maintain a consistently high standard of food, beverage, and amusement service throughout each Complex. The Company's commitment to customer service is evidenced by the availability of full food and beverage service in entertainment areas as well as the restaurant and bar areas.</w:t>
      </w:r>
    </w:p>
    <w:p>
      <w:pPr>
        <w:spacing w:after="0" w:line="76" w:lineRule="exact"/>
        <w:rPr>
          <w:sz w:val="20"/>
          <w:szCs w:val="20"/>
          <w:color w:val="auto"/>
        </w:rPr>
      </w:pPr>
    </w:p>
    <w:p>
      <w:pPr>
        <w:ind w:left="560" w:right="2899"/>
        <w:spacing w:after="0" w:line="266" w:lineRule="auto"/>
        <w:rPr>
          <w:sz w:val="20"/>
          <w:szCs w:val="20"/>
          <w:color w:val="auto"/>
        </w:rPr>
      </w:pPr>
      <w:r>
        <w:rPr>
          <w:rFonts w:ascii="Courier New" w:cs="Courier New" w:eastAsia="Courier New" w:hAnsi="Courier New"/>
          <w:sz w:val="15"/>
          <w:szCs w:val="15"/>
          <w:color w:val="auto"/>
        </w:rPr>
        <w:t>With respect to entertainment, the Company's commitment to customer service is demonstrated by service staff in each of the entertainment areas who offer assistance in playing and enjoying the games. The Company believes its customer service is enhanced by a strong commitment to employee motivation and appreciation programs. The Company also believes that high service standards are critical to promoting customer loyalty and to generating frequent-visiting patterns and referrals by customers.</w:t>
      </w:r>
    </w:p>
    <w:p>
      <w:pPr>
        <w:spacing w:after="0" w:line="79" w:lineRule="exact"/>
        <w:rPr>
          <w:sz w:val="20"/>
          <w:szCs w:val="20"/>
          <w:color w:val="auto"/>
        </w:rPr>
      </w:pPr>
    </w:p>
    <w:p>
      <w:pPr>
        <w:ind w:left="560" w:right="2979"/>
        <w:spacing w:after="0" w:line="261" w:lineRule="auto"/>
        <w:rPr>
          <w:sz w:val="20"/>
          <w:szCs w:val="20"/>
          <w:color w:val="auto"/>
        </w:rPr>
      </w:pPr>
      <w:r>
        <w:rPr>
          <w:rFonts w:ascii="Courier New" w:cs="Courier New" w:eastAsia="Courier New" w:hAnsi="Courier New"/>
          <w:sz w:val="15"/>
          <w:szCs w:val="15"/>
          <w:color w:val="auto"/>
        </w:rPr>
        <w:t>Comfortable Adult Atmosphere. Each Dave &amp; Buster's is primarily adult oriented and, while children are welcome, strict guidelines are enforced. Customers under twenty-one years of age must be accompanied by a parent or guardian (a person 25 years of age or older who agrees to be responsible for the conduct and safety of the underage guest) at all times during their visit and are not allowed in a Dave &amp; Buster's after 10:00 p.m. (11:00 p.m. in the summer months). The Company believes that these policies help maintain the type of pleasant, relaxed atmosphere that appeals to adult customers. The Company also believes that this atmosphere attracts groups of customers such as private parties and business organizations.</w:t>
      </w:r>
    </w:p>
    <w:p>
      <w:pPr>
        <w:spacing w:after="0" w:line="82" w:lineRule="exact"/>
        <w:rPr>
          <w:sz w:val="20"/>
          <w:szCs w:val="20"/>
          <w:color w:val="auto"/>
        </w:rPr>
      </w:pPr>
    </w:p>
    <w:p>
      <w:pPr>
        <w:ind w:left="560" w:right="2979"/>
        <w:spacing w:after="0" w:line="269" w:lineRule="auto"/>
        <w:rPr>
          <w:sz w:val="20"/>
          <w:szCs w:val="20"/>
          <w:color w:val="auto"/>
        </w:rPr>
      </w:pPr>
      <w:r>
        <w:rPr>
          <w:rFonts w:ascii="Courier New" w:cs="Courier New" w:eastAsia="Courier New" w:hAnsi="Courier New"/>
          <w:sz w:val="15"/>
          <w:szCs w:val="15"/>
          <w:color w:val="auto"/>
        </w:rPr>
        <w:t>Integrated Systems. The Company utilizes centralized information and accounting systems that are designed to allow its management to efficiently monitor labor, food, and other direct operating expenses, and to provide timely access to financial and operating data. Management believes that its integrated computer systems permit it, on both an overall and per Complex basis, to efficiently operate the Restaurant/Entertainment Complexes.</w:t>
      </w:r>
    </w:p>
    <w:p>
      <w:pPr>
        <w:spacing w:after="0" w:line="7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Restaurant/Entertainment Concept and Menu</w:t>
      </w:r>
    </w:p>
    <w:p>
      <w:pPr>
        <w:spacing w:after="0" w:line="182" w:lineRule="exact"/>
        <w:rPr>
          <w:sz w:val="20"/>
          <w:szCs w:val="20"/>
          <w:color w:val="auto"/>
        </w:rPr>
      </w:pPr>
    </w:p>
    <w:p>
      <w:pPr>
        <w:ind w:left="560" w:right="2979"/>
        <w:spacing w:after="0" w:line="264" w:lineRule="auto"/>
        <w:rPr>
          <w:sz w:val="20"/>
          <w:szCs w:val="20"/>
          <w:color w:val="auto"/>
        </w:rPr>
      </w:pPr>
      <w:r>
        <w:rPr>
          <w:rFonts w:ascii="Courier New" w:cs="Courier New" w:eastAsia="Courier New" w:hAnsi="Courier New"/>
          <w:sz w:val="15"/>
          <w:szCs w:val="15"/>
          <w:color w:val="auto"/>
        </w:rPr>
        <w:t>Dave &amp; Buster's offers a full menu of high quality food and beverage items combined with an extensive array of entertainment attractions such as pocket billiards, shuffleboard, state-of-the-art interactive simulators and virtual reality systems, and traditional carnival-style games of skill. The Company's facilities are designed to promote easy access to, and maximize customer cross-over between, the multiple dining and entertainment areas within each Complex. The Company emphasizes high levels of customer service to create casual, yet sophisticated, "ideal playing conditions" for adults.</w:t>
      </w:r>
    </w:p>
    <w:p>
      <w:pPr>
        <w:spacing w:after="0" w:line="80"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The Dave &amp; Buster's menu is offered from early lunch until late night</w:t>
      </w:r>
    </w:p>
    <w:p>
      <w:pPr>
        <w:spacing w:after="0" w:line="3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and features moderately priced food designed to appeal to a wide</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variety of customers. This well-rounded fare includes gourmet pastas,</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individual sized pizzas, burgers, steaks, seafood and chicken. The menu</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is regularly updated to reflect current dining trends and incorporates</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"house specials" such as barbeque ribs, blackened chicken pasta,</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mesquite-peppered rib eye steak, and a Philadelphia cheesesteak</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sandwich. A wide variety of other appetizers, soups, salads, sandwiches</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and desserts is also available. Entree prices range from $6.50 to</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$16.95, with many entrees in the $7.95 to $9.95 price range. In order</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to promote customer flow and complement the entertainment areas, full,</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sit-down food service is offered not only in the restaurant areas, but</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throughout the entire Complex. In addition, throughout the restaurant</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and entertainment areas each Dave &amp; Buster's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6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ind w:left="560" w:right="2899"/>
        <w:spacing w:after="0" w:line="310" w:lineRule="auto"/>
        <w:rPr>
          <w:sz w:val="20"/>
          <w:szCs w:val="20"/>
          <w:color w:val="auto"/>
        </w:rPr>
      </w:pPr>
      <w:r>
        <w:rPr>
          <w:rFonts w:ascii="Courier New" w:cs="Courier New" w:eastAsia="Courier New" w:hAnsi="Courier New"/>
          <w:sz w:val="15"/>
          <w:szCs w:val="15"/>
          <w:color w:val="auto"/>
        </w:rPr>
        <w:t>offers full bar service including over 50 different beers, an extensive wine selection, and a variety of non-alcoholic beverages such as its own private label, "D&amp;B Old Fashioned Philly Root Beer."</w:t>
      </w:r>
    </w:p>
    <w:p>
      <w:pPr>
        <w:spacing w:after="0" w:line="46" w:lineRule="exact"/>
        <w:rPr>
          <w:sz w:val="20"/>
          <w:szCs w:val="20"/>
          <w:color w:val="auto"/>
        </w:rPr>
      </w:pPr>
    </w:p>
    <w:p>
      <w:pPr>
        <w:ind w:left="560" w:right="2899"/>
        <w:spacing w:after="0" w:line="310" w:lineRule="auto"/>
        <w:rPr>
          <w:sz w:val="20"/>
          <w:szCs w:val="20"/>
          <w:color w:val="auto"/>
        </w:rPr>
      </w:pPr>
      <w:r>
        <w:rPr>
          <w:rFonts w:ascii="Courier New" w:cs="Courier New" w:eastAsia="Courier New" w:hAnsi="Courier New"/>
          <w:sz w:val="15"/>
          <w:szCs w:val="15"/>
          <w:color w:val="auto"/>
        </w:rPr>
        <w:t>The entertainment attractions in each Dave &amp; Buster's are geared toward customer participation and offer both traditional entertainment and "Million Dollar Midway" entertainment.</w:t>
      </w:r>
    </w:p>
    <w:p>
      <w:pPr>
        <w:spacing w:after="0" w:line="46" w:lineRule="exact"/>
        <w:rPr>
          <w:sz w:val="20"/>
          <w:szCs w:val="20"/>
          <w:color w:val="auto"/>
        </w:rPr>
      </w:pPr>
    </w:p>
    <w:p>
      <w:pPr>
        <w:ind w:left="560" w:right="2979"/>
        <w:spacing w:after="0" w:line="273" w:lineRule="auto"/>
        <w:rPr>
          <w:sz w:val="20"/>
          <w:szCs w:val="20"/>
          <w:color w:val="auto"/>
        </w:rPr>
      </w:pPr>
      <w:r>
        <w:rPr>
          <w:rFonts w:ascii="Courier New" w:cs="Courier New" w:eastAsia="Courier New" w:hAnsi="Courier New"/>
          <w:sz w:val="15"/>
          <w:szCs w:val="15"/>
          <w:color w:val="auto"/>
        </w:rPr>
        <w:t>Traditional Entertainment. Each Dave &amp; Buster's offers a number of traditional entertainment options. These traditional offerings include "world class" pocket billiards, "championship-style" shuffleboard tables, and the Show Room which is designed for hosting private social parties and business gatherings as well as Company sponsored events. Traditional entertainment games are rented by the hour.</w:t>
      </w:r>
    </w:p>
    <w:p>
      <w:pPr>
        <w:spacing w:after="0" w:line="74" w:lineRule="exact"/>
        <w:rPr>
          <w:sz w:val="20"/>
          <w:szCs w:val="20"/>
          <w:color w:val="auto"/>
        </w:rPr>
      </w:pPr>
    </w:p>
    <w:p>
      <w:pPr>
        <w:ind w:left="560" w:right="2899"/>
        <w:spacing w:after="0" w:line="261" w:lineRule="auto"/>
        <w:rPr>
          <w:sz w:val="20"/>
          <w:szCs w:val="20"/>
          <w:color w:val="auto"/>
        </w:rPr>
      </w:pPr>
      <w:r>
        <w:rPr>
          <w:rFonts w:ascii="Courier New" w:cs="Courier New" w:eastAsia="Courier New" w:hAnsi="Courier New"/>
          <w:sz w:val="15"/>
          <w:szCs w:val="15"/>
          <w:color w:val="auto"/>
        </w:rPr>
        <w:t>Million Dollar Midway Games. The largest area in each Dave &amp; Buster's is the Million Dollar Midway which is designed to provide high-energy, escapism entertainment through a broad selection of electronic, skill and sports-oriented games. The Dave &amp; Buster's Power Card activates all the midway games (with the exception of coin action games) and can be recharged for additional play. The Power Card enables customers to activate games more easily and encourages extended play of games. By replacing coin activation, the Power Card has eliminated the technical difficulties and maintenance issues associated with coin activated equipment. Furthermore, the Power Card feature has increased the Company's flexibility in pricing and promoting of games.</w:t>
      </w:r>
    </w:p>
    <w:p>
      <w:pPr>
        <w:spacing w:after="0" w:line="82" w:lineRule="exact"/>
        <w:rPr>
          <w:sz w:val="20"/>
          <w:szCs w:val="20"/>
          <w:color w:val="auto"/>
        </w:rPr>
      </w:pPr>
    </w:p>
    <w:p>
      <w:pPr>
        <w:ind w:left="560" w:right="2899"/>
        <w:spacing w:after="0" w:line="261" w:lineRule="auto"/>
        <w:rPr>
          <w:sz w:val="20"/>
          <w:szCs w:val="20"/>
          <w:color w:val="auto"/>
        </w:rPr>
      </w:pPr>
      <w:r>
        <w:rPr>
          <w:rFonts w:ascii="Courier New" w:cs="Courier New" w:eastAsia="Courier New" w:hAnsi="Courier New"/>
          <w:sz w:val="15"/>
          <w:szCs w:val="15"/>
          <w:color w:val="auto"/>
        </w:rPr>
        <w:t>Attractions within the Million Dollar Midway include fantasy/high technology and classic midway entertainment. Fantasy/high-technology offerings include simulator games such as formula race cars, off-road vehicles, fighter jets and motorcycles; Galaxian Theater, a multi-participant, enclosed simulation theater where up to six players take part in mock battles with alien invaders; Virtuality, an interactive, electronic game designed to simulate an actual battlefield environment; Virtual World, a fantasy environment attraction; Iwerks Turbo Ride Theatre, a 16 to 18 seat motion simulation theater; large-screen interactive electronic games; and "The 19th Hole,"a state-of-the-art golf simulator.</w:t>
      </w:r>
    </w:p>
    <w:p>
      <w:pPr>
        <w:spacing w:after="0" w:line="82" w:lineRule="exact"/>
        <w:rPr>
          <w:sz w:val="20"/>
          <w:szCs w:val="20"/>
          <w:color w:val="auto"/>
        </w:rPr>
      </w:pPr>
    </w:p>
    <w:p>
      <w:pPr>
        <w:ind w:left="560" w:right="2899"/>
        <w:spacing w:after="0" w:line="266" w:lineRule="auto"/>
        <w:rPr>
          <w:sz w:val="20"/>
          <w:szCs w:val="20"/>
          <w:color w:val="auto"/>
        </w:rPr>
      </w:pPr>
      <w:r>
        <w:rPr>
          <w:rFonts w:ascii="Courier New" w:cs="Courier New" w:eastAsia="Courier New" w:hAnsi="Courier New"/>
          <w:sz w:val="15"/>
          <w:szCs w:val="15"/>
          <w:color w:val="auto"/>
        </w:rPr>
        <w:t>Classic midway entertainment includes sports-oriented games of skill; carnival-style games, which are intended to replicate the atmosphere found in many local county fairs; and D&amp;B Downs which is one of several multiple-player race games offered in each Dave &amp; Buster's. At the Winner's Circle, players can redeem coupons won from selected games of skill for a wide variety of prizes, many of which display the Dave &amp; Buster's logo. The prizes include stuffed animals, ballcaps, T-shirts, boxer shorts, and small electronic items.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6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Locations</w:t>
      </w:r>
    </w:p>
    <w:p>
      <w:pPr>
        <w:spacing w:after="0" w:line="182" w:lineRule="exact"/>
        <w:rPr>
          <w:sz w:val="20"/>
          <w:szCs w:val="20"/>
          <w:color w:val="auto"/>
        </w:rPr>
      </w:pPr>
    </w:p>
    <w:p>
      <w:pPr>
        <w:ind w:right="2899" w:firstLine="824"/>
        <w:spacing w:after="0" w:line="372" w:lineRule="auto"/>
        <w:rPr>
          <w:sz w:val="20"/>
          <w:szCs w:val="20"/>
          <w:color w:val="auto"/>
        </w:rPr>
      </w:pPr>
      <w:r>
        <w:rPr>
          <w:rFonts w:ascii="Courier New" w:cs="Courier New" w:eastAsia="Courier New" w:hAnsi="Courier New"/>
          <w:sz w:val="15"/>
          <w:szCs w:val="15"/>
          <w:color w:val="auto"/>
        </w:rPr>
        <w:t>At January 31, 1999, the Company operated a total of 17 locations in 11 states, which included:</w:t>
      </w:r>
    </w:p>
    <w:p>
      <w:pPr>
        <w:spacing w:after="0" w:line="354"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56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State</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Approximate</w:t>
            </w:r>
          </w:p>
        </w:tc>
        <w:tc>
          <w:tcPr>
            <w:tcW w:w="0" w:type="dxa"/>
            <w:vAlign w:val="bottom"/>
          </w:tcPr>
          <w:p>
            <w:pPr>
              <w:spacing w:after="0"/>
              <w:rPr>
                <w:sz w:val="1"/>
                <w:szCs w:val="1"/>
                <w:color w:val="auto"/>
              </w:rPr>
            </w:pPr>
          </w:p>
        </w:tc>
      </w:tr>
      <w:tr>
        <w:trPr>
          <w:trHeight w:val="176"/>
        </w:trPr>
        <w:tc>
          <w:tcPr>
            <w:tcW w:w="28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w w:val="99"/>
              </w:rPr>
              <w:t>Square Footage</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2840" w:type="dxa"/>
            <w:vAlign w:val="bottom"/>
          </w:tcPr>
          <w:p>
            <w:pPr>
              <w:spacing w:after="0"/>
              <w:rPr>
                <w:sz w:val="20"/>
                <w:szCs w:val="20"/>
                <w:color w:val="auto"/>
              </w:rPr>
            </w:pPr>
            <w:r>
              <w:rPr>
                <w:rFonts w:ascii="Courier New" w:cs="Courier New" w:eastAsia="Courier New" w:hAnsi="Courier New"/>
                <w:sz w:val="15"/>
                <w:szCs w:val="15"/>
                <w:color w:val="auto"/>
              </w:rPr>
              <w:t>Dallas (I)</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TX</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40,000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Dallas (II)</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TX</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33,000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Houston</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TX</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53,000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GA</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53,000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PA</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70,000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Chicago (I)</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IL</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Chicago (II)</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IL</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58,000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Hollywood</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FL</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North Bethesda</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MD</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60,000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Ontario</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CA</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58,000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Cincinnati</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OH</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63,000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Denver</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CO</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48,000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Utica (suburban Detroit)</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MI</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53,000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Irvine</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CA</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53,000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Rockland County</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NY</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53,000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Orange</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CA</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53,000</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Columbus</w:t>
            </w:r>
          </w:p>
        </w:tc>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OH</w:t>
            </w:r>
          </w:p>
        </w:tc>
        <w:tc>
          <w:tcPr>
            <w:tcW w:w="17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37,500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Business Development</w:t>
      </w:r>
    </w:p>
    <w:p>
      <w:pPr>
        <w:spacing w:after="0" w:line="182" w:lineRule="exact"/>
        <w:rPr>
          <w:sz w:val="20"/>
          <w:szCs w:val="20"/>
          <w:color w:val="auto"/>
        </w:rPr>
      </w:pPr>
    </w:p>
    <w:p>
      <w:pPr>
        <w:ind w:left="820" w:right="2899"/>
        <w:spacing w:after="0" w:line="279" w:lineRule="auto"/>
        <w:rPr>
          <w:sz w:val="20"/>
          <w:szCs w:val="20"/>
          <w:color w:val="auto"/>
        </w:rPr>
      </w:pPr>
      <w:r>
        <w:rPr>
          <w:rFonts w:ascii="Courier New" w:cs="Courier New" w:eastAsia="Courier New" w:hAnsi="Courier New"/>
          <w:sz w:val="15"/>
          <w:szCs w:val="15"/>
          <w:color w:val="auto"/>
        </w:rPr>
        <w:t>The Company continually seeks to identify and evaluate new locations for expansion. The Company's goal is to open six and seven Complexes in fiscal years 1999 and 2000, respectively, and eight Complexes each fiscal year thereafter. The Company will open Complexes in 1999 as follows:</w:t>
      </w:r>
    </w:p>
    <w:p>
      <w:pPr>
        <w:spacing w:after="0" w:line="200" w:lineRule="exact"/>
        <w:rPr>
          <w:sz w:val="20"/>
          <w:szCs w:val="20"/>
          <w:color w:val="auto"/>
        </w:rPr>
      </w:pPr>
    </w:p>
    <w:p>
      <w:pPr>
        <w:spacing w:after="0" w:line="222" w:lineRule="exact"/>
        <w:rPr>
          <w:sz w:val="20"/>
          <w:szCs w:val="20"/>
          <w:color w:val="auto"/>
        </w:rPr>
      </w:pPr>
    </w:p>
    <w:tbl>
      <w:tblPr>
        <w:tblLayout w:type="fixed"/>
        <w:tblInd w:w="1180" w:type="dxa"/>
        <w:tblCellMar>
          <w:top w:w="0" w:type="dxa"/>
          <w:left w:w="0" w:type="dxa"/>
          <w:bottom w:w="0" w:type="dxa"/>
          <w:right w:w="0" w:type="dxa"/>
        </w:tblCellMar>
      </w:tblPr>
      <w:tr>
        <w:trPr>
          <w:trHeight w:val="176"/>
        </w:trPr>
        <w:tc>
          <w:tcPr>
            <w:tcW w:w="180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540" w:type="dxa"/>
            <w:vAlign w:val="bottom"/>
            <w:vMerge w:val="restart"/>
          </w:tcPr>
          <w:p>
            <w:pPr>
              <w:ind w:left="680"/>
              <w:spacing w:after="0"/>
              <w:rPr>
                <w:sz w:val="20"/>
                <w:szCs w:val="20"/>
                <w:color w:val="auto"/>
              </w:rPr>
            </w:pPr>
            <w:r>
              <w:rPr>
                <w:rFonts w:ascii="Courier New" w:cs="Courier New" w:eastAsia="Courier New" w:hAnsi="Courier New"/>
                <w:sz w:val="15"/>
                <w:szCs w:val="15"/>
                <w:color w:val="auto"/>
              </w:rPr>
              <w:t>State</w:t>
            </w:r>
          </w:p>
        </w:tc>
        <w:tc>
          <w:tcPr>
            <w:tcW w:w="2020" w:type="dxa"/>
            <w:vAlign w:val="bottom"/>
          </w:tcPr>
          <w:p>
            <w:pPr>
              <w:ind w:left="600"/>
              <w:spacing w:after="0"/>
              <w:rPr>
                <w:sz w:val="20"/>
                <w:szCs w:val="20"/>
                <w:color w:val="auto"/>
              </w:rPr>
            </w:pPr>
            <w:r>
              <w:rPr>
                <w:rFonts w:ascii="Courier New" w:cs="Courier New" w:eastAsia="Courier New" w:hAnsi="Courier New"/>
                <w:sz w:val="15"/>
                <w:szCs w:val="15"/>
                <w:color w:val="auto"/>
              </w:rPr>
              <w:t>Approximate</w:t>
            </w:r>
          </w:p>
        </w:tc>
        <w:tc>
          <w:tcPr>
            <w:tcW w:w="2160" w:type="dxa"/>
            <w:vAlign w:val="bottom"/>
          </w:tcPr>
          <w:p>
            <w:pPr>
              <w:ind w:left="600"/>
              <w:spacing w:after="0"/>
              <w:rPr>
                <w:sz w:val="20"/>
                <w:szCs w:val="20"/>
                <w:color w:val="auto"/>
              </w:rPr>
            </w:pPr>
            <w:r>
              <w:rPr>
                <w:rFonts w:ascii="Courier New" w:cs="Courier New" w:eastAsia="Courier New" w:hAnsi="Courier New"/>
                <w:sz w:val="15"/>
                <w:szCs w:val="15"/>
                <w:color w:val="auto"/>
              </w:rPr>
              <w:t>Development</w:t>
            </w:r>
          </w:p>
        </w:tc>
        <w:tc>
          <w:tcPr>
            <w:tcW w:w="0" w:type="dxa"/>
            <w:vAlign w:val="bottom"/>
          </w:tcPr>
          <w:p>
            <w:pPr>
              <w:spacing w:after="0"/>
              <w:rPr>
                <w:sz w:val="1"/>
                <w:szCs w:val="1"/>
                <w:color w:val="auto"/>
              </w:rPr>
            </w:pPr>
          </w:p>
        </w:tc>
      </w:tr>
      <w:tr>
        <w:trPr>
          <w:trHeight w:val="176"/>
        </w:trPr>
        <w:tc>
          <w:tcPr>
            <w:tcW w:w="18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020" w:type="dxa"/>
            <w:vAlign w:val="bottom"/>
          </w:tcPr>
          <w:p>
            <w:pPr>
              <w:ind w:left="420"/>
              <w:spacing w:after="0"/>
              <w:rPr>
                <w:sz w:val="20"/>
                <w:szCs w:val="20"/>
                <w:color w:val="auto"/>
              </w:rPr>
            </w:pPr>
            <w:r>
              <w:rPr>
                <w:rFonts w:ascii="Courier New" w:cs="Courier New" w:eastAsia="Courier New" w:hAnsi="Courier New"/>
                <w:sz w:val="15"/>
                <w:szCs w:val="15"/>
                <w:color w:val="auto"/>
              </w:rPr>
              <w:t>Square Footage</w:t>
            </w:r>
          </w:p>
        </w:tc>
        <w:tc>
          <w:tcPr>
            <w:tcW w:w="2160" w:type="dxa"/>
            <w:vAlign w:val="bottom"/>
          </w:tcPr>
          <w:p>
            <w:pPr>
              <w:ind w:left="880"/>
              <w:spacing w:after="0"/>
              <w:rPr>
                <w:sz w:val="20"/>
                <w:szCs w:val="20"/>
                <w:color w:val="auto"/>
              </w:rPr>
            </w:pPr>
            <w:r>
              <w:rPr>
                <w:rFonts w:ascii="Courier New" w:cs="Courier New" w:eastAsia="Courier New" w:hAnsi="Courier New"/>
                <w:sz w:val="15"/>
                <w:szCs w:val="15"/>
                <w:color w:val="auto"/>
              </w:rPr>
              <w:t>Status</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1800" w:type="dxa"/>
            <w:vAlign w:val="bottom"/>
          </w:tcPr>
          <w:p>
            <w:pPr>
              <w:spacing w:after="0"/>
              <w:rPr>
                <w:sz w:val="20"/>
                <w:szCs w:val="20"/>
                <w:color w:val="auto"/>
              </w:rPr>
            </w:pPr>
            <w:r>
              <w:rPr>
                <w:rFonts w:ascii="Courier New" w:cs="Courier New" w:eastAsia="Courier New" w:hAnsi="Courier New"/>
                <w:sz w:val="15"/>
                <w:szCs w:val="15"/>
                <w:color w:val="auto"/>
              </w:rPr>
              <w:t>San Antonio</w:t>
            </w:r>
          </w:p>
        </w:tc>
        <w:tc>
          <w:tcPr>
            <w:tcW w:w="1540" w:type="dxa"/>
            <w:vAlign w:val="bottom"/>
          </w:tcPr>
          <w:p>
            <w:pPr>
              <w:ind w:left="860"/>
              <w:spacing w:after="0"/>
              <w:rPr>
                <w:sz w:val="20"/>
                <w:szCs w:val="20"/>
                <w:color w:val="auto"/>
              </w:rPr>
            </w:pPr>
            <w:r>
              <w:rPr>
                <w:rFonts w:ascii="Courier New" w:cs="Courier New" w:eastAsia="Courier New" w:hAnsi="Courier New"/>
                <w:sz w:val="15"/>
                <w:szCs w:val="15"/>
                <w:color w:val="auto"/>
              </w:rPr>
              <w:t>TX</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52,000</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Opened February 1999</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20"/>
                <w:szCs w:val="20"/>
                <w:color w:val="auto"/>
              </w:rPr>
            </w:pPr>
            <w:r>
              <w:rPr>
                <w:rFonts w:ascii="Courier New" w:cs="Courier New" w:eastAsia="Courier New" w:hAnsi="Courier New"/>
                <w:sz w:val="15"/>
                <w:szCs w:val="15"/>
                <w:color w:val="auto"/>
              </w:rPr>
              <w:t>Atlanta (II)</w:t>
            </w:r>
          </w:p>
        </w:tc>
        <w:tc>
          <w:tcPr>
            <w:tcW w:w="1540" w:type="dxa"/>
            <w:vAlign w:val="bottom"/>
          </w:tcPr>
          <w:p>
            <w:pPr>
              <w:ind w:left="860"/>
              <w:spacing w:after="0"/>
              <w:rPr>
                <w:sz w:val="20"/>
                <w:szCs w:val="20"/>
                <w:color w:val="auto"/>
              </w:rPr>
            </w:pPr>
            <w:r>
              <w:rPr>
                <w:rFonts w:ascii="Courier New" w:cs="Courier New" w:eastAsia="Courier New" w:hAnsi="Courier New"/>
                <w:sz w:val="15"/>
                <w:szCs w:val="15"/>
                <w:color w:val="auto"/>
              </w:rPr>
              <w:t>GA</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57,000</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Opened April 1999</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20"/>
                <w:szCs w:val="20"/>
                <w:color w:val="auto"/>
              </w:rPr>
            </w:pPr>
            <w:r>
              <w:rPr>
                <w:rFonts w:ascii="Courier New" w:cs="Courier New" w:eastAsia="Courier New" w:hAnsi="Courier New"/>
                <w:sz w:val="15"/>
                <w:szCs w:val="15"/>
                <w:color w:val="auto"/>
              </w:rPr>
              <w:t>St. Louis</w:t>
            </w:r>
          </w:p>
        </w:tc>
        <w:tc>
          <w:tcPr>
            <w:tcW w:w="1540" w:type="dxa"/>
            <w:vAlign w:val="bottom"/>
          </w:tcPr>
          <w:p>
            <w:pPr>
              <w:ind w:left="860"/>
              <w:spacing w:after="0"/>
              <w:rPr>
                <w:sz w:val="20"/>
                <w:szCs w:val="20"/>
                <w:color w:val="auto"/>
              </w:rPr>
            </w:pPr>
            <w:r>
              <w:rPr>
                <w:rFonts w:ascii="Courier New" w:cs="Courier New" w:eastAsia="Courier New" w:hAnsi="Courier New"/>
                <w:sz w:val="15"/>
                <w:szCs w:val="15"/>
                <w:color w:val="auto"/>
              </w:rPr>
              <w:t>MO</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56,000</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Under construction</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20"/>
                <w:szCs w:val="20"/>
                <w:color w:val="auto"/>
              </w:rPr>
            </w:pPr>
            <w:r>
              <w:rPr>
                <w:rFonts w:ascii="Courier New" w:cs="Courier New" w:eastAsia="Courier New" w:hAnsi="Courier New"/>
                <w:sz w:val="15"/>
                <w:szCs w:val="15"/>
                <w:color w:val="auto"/>
              </w:rPr>
              <w:t>Austin</w:t>
            </w:r>
          </w:p>
        </w:tc>
        <w:tc>
          <w:tcPr>
            <w:tcW w:w="1540" w:type="dxa"/>
            <w:vAlign w:val="bottom"/>
          </w:tcPr>
          <w:p>
            <w:pPr>
              <w:ind w:left="860"/>
              <w:spacing w:after="0"/>
              <w:rPr>
                <w:sz w:val="20"/>
                <w:szCs w:val="20"/>
                <w:color w:val="auto"/>
              </w:rPr>
            </w:pPr>
            <w:r>
              <w:rPr>
                <w:rFonts w:ascii="Courier New" w:cs="Courier New" w:eastAsia="Courier New" w:hAnsi="Courier New"/>
                <w:sz w:val="15"/>
                <w:szCs w:val="15"/>
                <w:color w:val="auto"/>
              </w:rPr>
              <w:t>TX</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40,000</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Under construction</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20"/>
                <w:szCs w:val="20"/>
                <w:color w:val="auto"/>
              </w:rPr>
            </w:pPr>
            <w:r>
              <w:rPr>
                <w:rFonts w:ascii="Courier New" w:cs="Courier New" w:eastAsia="Courier New" w:hAnsi="Courier New"/>
                <w:sz w:val="15"/>
                <w:szCs w:val="15"/>
                <w:color w:val="auto"/>
              </w:rPr>
              <w:t>Jacksonville</w:t>
            </w:r>
          </w:p>
        </w:tc>
        <w:tc>
          <w:tcPr>
            <w:tcW w:w="1540" w:type="dxa"/>
            <w:vAlign w:val="bottom"/>
          </w:tcPr>
          <w:p>
            <w:pPr>
              <w:ind w:left="860"/>
              <w:spacing w:after="0"/>
              <w:rPr>
                <w:sz w:val="20"/>
                <w:szCs w:val="20"/>
                <w:color w:val="auto"/>
              </w:rPr>
            </w:pPr>
            <w:r>
              <w:rPr>
                <w:rFonts w:ascii="Courier New" w:cs="Courier New" w:eastAsia="Courier New" w:hAnsi="Courier New"/>
                <w:sz w:val="15"/>
                <w:szCs w:val="15"/>
                <w:color w:val="auto"/>
              </w:rPr>
              <w:t>FL</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40,000</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Under construction</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Courier New" w:cs="Courier New" w:eastAsia="Courier New" w:hAnsi="Courier New"/>
                <w:sz w:val="15"/>
                <w:szCs w:val="15"/>
                <w:color w:val="auto"/>
              </w:rPr>
              <w:t>Providence</w:t>
            </w:r>
          </w:p>
        </w:tc>
        <w:tc>
          <w:tcPr>
            <w:tcW w:w="1540" w:type="dxa"/>
            <w:vAlign w:val="bottom"/>
          </w:tcPr>
          <w:p>
            <w:pPr>
              <w:ind w:left="860"/>
              <w:spacing w:after="0"/>
              <w:rPr>
                <w:sz w:val="20"/>
                <w:szCs w:val="20"/>
                <w:color w:val="auto"/>
              </w:rPr>
            </w:pPr>
            <w:r>
              <w:rPr>
                <w:rFonts w:ascii="Courier New" w:cs="Courier New" w:eastAsia="Courier New" w:hAnsi="Courier New"/>
                <w:sz w:val="15"/>
                <w:szCs w:val="15"/>
                <w:color w:val="auto"/>
              </w:rPr>
              <w:t>RI</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40,000</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Under construction</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20" w:right="3079"/>
        <w:spacing w:after="0" w:line="372" w:lineRule="auto"/>
        <w:rPr>
          <w:sz w:val="20"/>
          <w:szCs w:val="20"/>
          <w:color w:val="auto"/>
        </w:rPr>
      </w:pPr>
      <w:r>
        <w:rPr>
          <w:rFonts w:ascii="Courier New" w:cs="Courier New" w:eastAsia="Courier New" w:hAnsi="Courier New"/>
          <w:sz w:val="15"/>
          <w:szCs w:val="15"/>
          <w:color w:val="auto"/>
        </w:rPr>
        <w:t>Potential locations for openings in fiscal 2000 have been tentatively identified and site negotiations are currently in progress.</w:t>
      </w:r>
    </w:p>
    <w:p>
      <w:pPr>
        <w:spacing w:after="0" w:line="35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35" w:lineRule="exact"/>
        <w:rPr>
          <w:sz w:val="20"/>
          <w:szCs w:val="20"/>
          <w:color w:val="auto"/>
        </w:rPr>
      </w:pPr>
    </w:p>
    <w:p>
      <w:pPr>
        <w:ind w:left="560" w:right="2899"/>
        <w:spacing w:after="0" w:line="258" w:lineRule="auto"/>
        <w:rPr>
          <w:sz w:val="20"/>
          <w:szCs w:val="20"/>
          <w:color w:val="auto"/>
        </w:rPr>
      </w:pPr>
      <w:r>
        <w:rPr>
          <w:rFonts w:ascii="Courier New" w:cs="Courier New" w:eastAsia="Courier New" w:hAnsi="Courier New"/>
          <w:sz w:val="15"/>
          <w:szCs w:val="15"/>
          <w:color w:val="auto"/>
        </w:rPr>
        <w:t>The Company believes that the location of its Complexes is critical to the Company's long-term success and devotes significant time and resources to analyzing each prospective site. In general, the Company targets high-profile sites within metropolitan areas of less than one million people for intermediate-size models and at least one million people for mega-size models. The Company carefully analyzes demographic information (such as average income levels) for each prospective site, the Company considers factors such as visibility; accessibility to regional highway systems; zoning; regulatory restrictions; and proximity to shopping areas, office complexes, tourist attractions and residential areas. The Company also carefully studies the restaurant and entertainment competition in prospective areas. In addition, the Company must select a site of sufficient size to accommodate its prototype facility with ample, convenient customer parking.</w:t>
      </w:r>
    </w:p>
    <w:p>
      <w:pPr>
        <w:spacing w:after="0" w:line="85" w:lineRule="exact"/>
        <w:rPr>
          <w:sz w:val="20"/>
          <w:szCs w:val="20"/>
          <w:color w:val="auto"/>
        </w:rPr>
      </w:pPr>
    </w:p>
    <w:p>
      <w:pPr>
        <w:ind w:left="560" w:right="2899"/>
        <w:spacing w:after="0" w:line="256" w:lineRule="auto"/>
        <w:rPr>
          <w:sz w:val="20"/>
          <w:szCs w:val="20"/>
          <w:color w:val="auto"/>
        </w:rPr>
      </w:pPr>
      <w:r>
        <w:rPr>
          <w:rFonts w:ascii="Courier New" w:cs="Courier New" w:eastAsia="Courier New" w:hAnsi="Courier New"/>
          <w:sz w:val="15"/>
          <w:szCs w:val="15"/>
          <w:color w:val="auto"/>
        </w:rPr>
        <w:t>The typical cost of opening a mega-size Dave &amp; Buster's ranges from approximately $7.0 million to $12.0 million (excluding preopening expenses and developer allowances), depending upon the location and condition of the premises. For intermediate-size models, the typical cost ranges from approximately $6.0 million and $8.0 million (excluding pre-opening expenses and developer allowances), depending upon the location and condition of the premises. The Company will base the decision of owning or leasing a site on the projected unit economics and availability of the site for purchase. The Complexes opened in 1998 included both owned and leased facilities. Opening a leased facility reduces the Company's capital investment in a Complex because the Company does not incur land and site improvement costs and may also receive a construction allowance from the landlord for improvements. The exterior and interior layout of a Dave &amp; Buster's is flexible and can be readily adapted to different types of buildings. The Company has opened Complexes in both new and existing structures, in both urban and suburban areas.</w:t>
      </w:r>
    </w:p>
    <w:p>
      <w:pPr>
        <w:spacing w:after="0" w:line="26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International</w:t>
      </w:r>
    </w:p>
    <w:p>
      <w:pPr>
        <w:spacing w:after="0" w:line="182" w:lineRule="exact"/>
        <w:rPr>
          <w:sz w:val="20"/>
          <w:szCs w:val="20"/>
          <w:color w:val="auto"/>
        </w:rPr>
      </w:pPr>
    </w:p>
    <w:p>
      <w:pPr>
        <w:ind w:left="560" w:right="2899"/>
        <w:spacing w:after="0" w:line="261" w:lineRule="auto"/>
        <w:rPr>
          <w:sz w:val="20"/>
          <w:szCs w:val="20"/>
          <w:color w:val="auto"/>
        </w:rPr>
      </w:pPr>
      <w:r>
        <w:rPr>
          <w:rFonts w:ascii="Courier New" w:cs="Courier New" w:eastAsia="Courier New" w:hAnsi="Courier New"/>
          <w:sz w:val="15"/>
          <w:szCs w:val="15"/>
          <w:color w:val="auto"/>
        </w:rPr>
        <w:t>In August 1995, the Company entered into a license agreement with a subsidiary of Bass Plc ("Bass") to license the "Dave &amp; Buster's" name and concept in the United Kingdom. Under this agreement, Bass opened a Complex in Birmingham, England in May 1997, a Complex in Bristol, England in July 1998, and has agreed to open a total of seven Complexes in the United Kingdom by 2005. Under the license agreement, Bass is required to pay the Company a royalty based upon gross revenues, net of value added taxes. The royalty rate paid by Bass is a sliding scale which averages 5% of gross revenues. The license agreement contains strict operating covenants to ensure consistency of the menu and entertainment offerings with those in the Company-operated Complexes.</w:t>
      </w:r>
    </w:p>
    <w:p>
      <w:pPr>
        <w:spacing w:after="0" w:line="82" w:lineRule="exact"/>
        <w:rPr>
          <w:sz w:val="20"/>
          <w:szCs w:val="20"/>
          <w:color w:val="auto"/>
        </w:rPr>
      </w:pPr>
    </w:p>
    <w:p>
      <w:pPr>
        <w:ind w:left="560" w:right="2899"/>
        <w:spacing w:after="0" w:line="264" w:lineRule="auto"/>
        <w:rPr>
          <w:sz w:val="20"/>
          <w:szCs w:val="20"/>
          <w:color w:val="auto"/>
        </w:rPr>
      </w:pPr>
      <w:r>
        <w:rPr>
          <w:rFonts w:ascii="Courier New" w:cs="Courier New" w:eastAsia="Courier New" w:hAnsi="Courier New"/>
          <w:sz w:val="15"/>
          <w:szCs w:val="15"/>
          <w:color w:val="auto"/>
        </w:rPr>
        <w:t>In February 1998, the Company entered into a license agreement with the TaiMall Development Company ("TaiMall") to license the "Dave &amp; Buster's" name and concept in the Pacific Rim. Under this agreement, TaiMall expects to open seven Complexes in the Pacific Rim by the year 2006, the first of which it anticipates opening in 1999. Under the license agreement, TaiMall is required to pay the Company a 5% royalty based upon gross revenues. The license agreement contains strict operating covenants to ensure consistency of the menu and entertainment offerings with those in the Company operated Complexes.</w:t>
      </w:r>
    </w:p>
    <w:p>
      <w:pPr>
        <w:spacing w:after="0" w:line="80" w:lineRule="exact"/>
        <w:rPr>
          <w:sz w:val="20"/>
          <w:szCs w:val="20"/>
          <w:color w:val="auto"/>
        </w:rPr>
      </w:pPr>
    </w:p>
    <w:p>
      <w:pPr>
        <w:ind w:left="560" w:right="3179"/>
        <w:spacing w:after="0" w:line="310" w:lineRule="auto"/>
        <w:rPr>
          <w:sz w:val="20"/>
          <w:szCs w:val="20"/>
          <w:color w:val="auto"/>
        </w:rPr>
      </w:pPr>
      <w:r>
        <w:rPr>
          <w:rFonts w:ascii="Courier New" w:cs="Courier New" w:eastAsia="Courier New" w:hAnsi="Courier New"/>
          <w:sz w:val="15"/>
          <w:szCs w:val="15"/>
          <w:color w:val="auto"/>
        </w:rPr>
        <w:t>In September 1998, the Company entered into a license agreement with the SVAG Development Corporation ("SVAG")to license the "Dave &amp; Buster's" name and concept in Germany,</w:t>
      </w:r>
    </w:p>
    <w:p>
      <w:pPr>
        <w:spacing w:after="0" w:line="39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6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560" w:right="2979"/>
        <w:spacing w:after="0" w:line="279" w:lineRule="auto"/>
        <w:rPr>
          <w:sz w:val="20"/>
          <w:szCs w:val="20"/>
          <w:color w:val="auto"/>
        </w:rPr>
      </w:pPr>
      <w:r>
        <w:rPr>
          <w:rFonts w:ascii="Courier New" w:cs="Courier New" w:eastAsia="Courier New" w:hAnsi="Courier New"/>
          <w:sz w:val="15"/>
          <w:szCs w:val="15"/>
          <w:color w:val="auto"/>
        </w:rPr>
        <w:t>Switzerland and Austria. Under this agreement, SVAG expects to open seven Complexes by the year 2007, and is required to pay the Company a 5% royalty based upon gross revenues. The license agreement contains strict operating covenants to ensure consistency of the menu and entertainment offerings with those in the Company operated Complexes.</w:t>
      </w:r>
    </w:p>
    <w:p>
      <w:pPr>
        <w:spacing w:after="0" w:line="69" w:lineRule="exact"/>
        <w:rPr>
          <w:sz w:val="20"/>
          <w:szCs w:val="20"/>
          <w:color w:val="auto"/>
        </w:rPr>
      </w:pPr>
    </w:p>
    <w:p>
      <w:pPr>
        <w:ind w:left="560" w:right="2979"/>
        <w:spacing w:after="0" w:line="266" w:lineRule="auto"/>
        <w:rPr>
          <w:sz w:val="20"/>
          <w:szCs w:val="20"/>
          <w:color w:val="auto"/>
        </w:rPr>
      </w:pPr>
      <w:r>
        <w:rPr>
          <w:rFonts w:ascii="Courier New" w:cs="Courier New" w:eastAsia="Courier New" w:hAnsi="Courier New"/>
          <w:sz w:val="15"/>
          <w:szCs w:val="15"/>
          <w:color w:val="auto"/>
        </w:rPr>
        <w:t>In December 1998, the Company entered into a letter of intent to license the "Dave &amp; Buster's" name and concept in Canada with W.I.N. Gaming Corp. It proposes to develop five locations in Canada, with the first location targeted to open in a Toronto retail center in the year 2000. In October 1997, the Company entered into a letter of intent to license the "Dave &amp; Buster's" name and concept in Mexico with ECE S.A. de C.V to develop five locations. There is no assurance that these letters of intent will result in definitive agreements.</w:t>
      </w:r>
    </w:p>
    <w:p>
      <w:pPr>
        <w:spacing w:after="0" w:line="79" w:lineRule="exact"/>
        <w:rPr>
          <w:sz w:val="20"/>
          <w:szCs w:val="20"/>
          <w:color w:val="auto"/>
        </w:rPr>
      </w:pPr>
    </w:p>
    <w:p>
      <w:pPr>
        <w:ind w:left="560" w:right="2899"/>
        <w:spacing w:after="0" w:line="289" w:lineRule="auto"/>
        <w:rPr>
          <w:sz w:val="20"/>
          <w:szCs w:val="20"/>
          <w:color w:val="auto"/>
        </w:rPr>
      </w:pPr>
      <w:r>
        <w:rPr>
          <w:rFonts w:ascii="Courier New" w:cs="Courier New" w:eastAsia="Courier New" w:hAnsi="Courier New"/>
          <w:sz w:val="15"/>
          <w:szCs w:val="15"/>
          <w:color w:val="auto"/>
        </w:rPr>
        <w:t>The Company is considering entering into agreements to license the "Dave &amp; Buster's" name and concept in additional foreign countries. The Company does not have any current plans to invest its own capital in any foreign operations.</w:t>
      </w:r>
    </w:p>
    <w:p>
      <w:pPr>
        <w:spacing w:after="0" w:line="6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Operations and Management</w:t>
      </w:r>
    </w:p>
    <w:p>
      <w:pPr>
        <w:spacing w:after="0" w:line="182" w:lineRule="exact"/>
        <w:rPr>
          <w:sz w:val="20"/>
          <w:szCs w:val="20"/>
          <w:color w:val="auto"/>
        </w:rPr>
      </w:pPr>
    </w:p>
    <w:p>
      <w:pPr>
        <w:ind w:left="560" w:right="2899"/>
        <w:spacing w:after="0" w:line="257" w:lineRule="auto"/>
        <w:rPr>
          <w:sz w:val="20"/>
          <w:szCs w:val="20"/>
          <w:color w:val="auto"/>
        </w:rPr>
      </w:pPr>
      <w:r>
        <w:rPr>
          <w:rFonts w:ascii="Courier New" w:cs="Courier New" w:eastAsia="Courier New" w:hAnsi="Courier New"/>
          <w:sz w:val="15"/>
          <w:szCs w:val="15"/>
          <w:color w:val="auto"/>
        </w:rPr>
        <w:t>The Company's ability to manage a complex operation, including both high volume restaurants, bars and diverse entertainment attractions, has been critical to its overall success. The Company strives to maintain quality and consistency in each of its Complexes through careful training and supervision of personnel and the establishing and adhering to, and adherence to, high standards relating to personnel performance, food and beverage preparation, entertainment productions and equipment, and facilities maintenance. The Company believes that it has been able to attract and retain high quality, experienced restaurant and entertainment management and personnel through its competitive compensation and bonus programs and its policy of promoting from within the Company. Staffing levels vary according to the size of the location, but a mega-size Dave &amp; Buster's is managed by one general manager, two assistant general managers, seven line managers, and one business manager.</w:t>
      </w:r>
    </w:p>
    <w:p>
      <w:pPr>
        <w:spacing w:after="0" w:line="90" w:lineRule="exact"/>
        <w:rPr>
          <w:sz w:val="20"/>
          <w:szCs w:val="20"/>
          <w:color w:val="auto"/>
        </w:rPr>
      </w:pPr>
    </w:p>
    <w:p>
      <w:pPr>
        <w:ind w:left="560" w:right="2899"/>
        <w:spacing w:after="0" w:line="264" w:lineRule="auto"/>
        <w:rPr>
          <w:sz w:val="20"/>
          <w:szCs w:val="20"/>
          <w:color w:val="auto"/>
        </w:rPr>
      </w:pPr>
      <w:r>
        <w:rPr>
          <w:rFonts w:ascii="Courier New" w:cs="Courier New" w:eastAsia="Courier New" w:hAnsi="Courier New"/>
          <w:sz w:val="15"/>
          <w:szCs w:val="15"/>
          <w:color w:val="auto"/>
        </w:rPr>
        <w:t>In general, each mega-size Dave &amp; Buster's also employs one purchasing agent, one amusement manager, two assistant amusement managers, one kitchen manager, two assistant kitchen managers, and one special events sales manager. The Company has experienced relatively little turnover of managerial employees. On average, the Company's current general managers possess approximately three-and-a-quarter years of experience with the Company. The general manager of each Dave &amp; Buster's reports to a Regional Manager who reports to the Vice President, Director of Operations.</w:t>
      </w:r>
    </w:p>
    <w:p>
      <w:pPr>
        <w:spacing w:after="0" w:line="80" w:lineRule="exact"/>
        <w:rPr>
          <w:sz w:val="20"/>
          <w:szCs w:val="20"/>
          <w:color w:val="auto"/>
        </w:rPr>
      </w:pPr>
    </w:p>
    <w:p>
      <w:pPr>
        <w:ind w:left="560" w:right="2899"/>
        <w:spacing w:after="0" w:line="259" w:lineRule="auto"/>
        <w:rPr>
          <w:sz w:val="20"/>
          <w:szCs w:val="20"/>
          <w:color w:val="auto"/>
        </w:rPr>
      </w:pPr>
      <w:r>
        <w:rPr>
          <w:rFonts w:ascii="Courier New" w:cs="Courier New" w:eastAsia="Courier New" w:hAnsi="Courier New"/>
          <w:sz w:val="15"/>
          <w:szCs w:val="15"/>
          <w:color w:val="auto"/>
        </w:rPr>
        <w:t>All managers, many of whom are promoted from within, must complete an eleven-week training program during which they are instructed in areas such as food quality and preparation, customer service, alcoholic beverage service, entertainment management, and employee relations. The Company has also prepared operations manuals relating to food and beverage quality and service standards as well as proper operation and playing conditions of the Company's entertainment attractions. New sales staff and entertainment personnel participate in approximately two weeks of training under the close supervision of Company management. Management strives to instill enthusiasm and dedication in its employees, regularly solicits employee suggestions concerning Company operations and endeavors to be responsive to employees' concerns. In addition, the</w:t>
      </w:r>
    </w:p>
    <w:p>
      <w:pPr>
        <w:spacing w:after="0" w:line="2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6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560" w:right="3259"/>
        <w:spacing w:after="0" w:line="372" w:lineRule="auto"/>
        <w:rPr>
          <w:sz w:val="20"/>
          <w:szCs w:val="20"/>
          <w:color w:val="auto"/>
        </w:rPr>
      </w:pPr>
      <w:r>
        <w:rPr>
          <w:rFonts w:ascii="Courier New" w:cs="Courier New" w:eastAsia="Courier New" w:hAnsi="Courier New"/>
          <w:sz w:val="15"/>
          <w:szCs w:val="15"/>
          <w:color w:val="auto"/>
        </w:rPr>
        <w:t>Company has extensive and varied programs designed to recognize and reward employees for superior performance.</w:t>
      </w:r>
    </w:p>
    <w:p>
      <w:pPr>
        <w:spacing w:after="0" w:line="2" w:lineRule="exact"/>
        <w:rPr>
          <w:sz w:val="20"/>
          <w:szCs w:val="20"/>
          <w:color w:val="auto"/>
        </w:rPr>
      </w:pPr>
    </w:p>
    <w:p>
      <w:pPr>
        <w:ind w:left="560" w:right="2979"/>
        <w:spacing w:after="0" w:line="269" w:lineRule="auto"/>
        <w:rPr>
          <w:sz w:val="20"/>
          <w:szCs w:val="20"/>
          <w:color w:val="auto"/>
        </w:rPr>
      </w:pPr>
      <w:r>
        <w:rPr>
          <w:rFonts w:ascii="Courier New" w:cs="Courier New" w:eastAsia="Courier New" w:hAnsi="Courier New"/>
          <w:sz w:val="15"/>
          <w:szCs w:val="15"/>
          <w:color w:val="auto"/>
        </w:rPr>
        <w:t>Efficient, attentive and friendly service is integral to the Company's overall concept. In addition to customer evaluations, the Company uses a "secret shopper" quality control program to independently monitor customer satisfaction. "Secret shoppers" are independent persons who, on a periodic basis, test the Company's food, beverage, and service as customers without the knowledge of restaurant management or personnel, and report their findings to corporate management.</w:t>
      </w:r>
    </w:p>
    <w:p>
      <w:pPr>
        <w:spacing w:after="0" w:line="76" w:lineRule="exact"/>
        <w:rPr>
          <w:sz w:val="20"/>
          <w:szCs w:val="20"/>
          <w:color w:val="auto"/>
        </w:rPr>
      </w:pPr>
    </w:p>
    <w:p>
      <w:pPr>
        <w:ind w:left="560" w:right="3079"/>
        <w:spacing w:after="0" w:line="269" w:lineRule="auto"/>
        <w:rPr>
          <w:sz w:val="20"/>
          <w:szCs w:val="20"/>
          <w:color w:val="auto"/>
        </w:rPr>
      </w:pPr>
      <w:r>
        <w:rPr>
          <w:rFonts w:ascii="Courier New" w:cs="Courier New" w:eastAsia="Courier New" w:hAnsi="Courier New"/>
          <w:sz w:val="15"/>
          <w:szCs w:val="15"/>
          <w:color w:val="auto"/>
        </w:rPr>
        <w:t>Each Complex uses a variety of integrated management information systems. These systems include a computerized point-of-sale system which facilitates the movement of customer food and beverage orders between the customer areas and kitchen operations, controls cash, handles credit card authorizations, keeps track of revenues on a per-employee basis for incentive awards, and provides management with revenue and inventory data.</w:t>
      </w:r>
    </w:p>
    <w:p>
      <w:pPr>
        <w:spacing w:after="0" w:line="7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Marketing, Advertising and Promotion</w:t>
      </w:r>
    </w:p>
    <w:p>
      <w:pPr>
        <w:spacing w:after="0" w:line="182" w:lineRule="exact"/>
        <w:rPr>
          <w:sz w:val="20"/>
          <w:szCs w:val="20"/>
          <w:color w:val="auto"/>
        </w:rPr>
      </w:pPr>
    </w:p>
    <w:p>
      <w:pPr>
        <w:ind w:left="560" w:right="2979"/>
        <w:spacing w:after="0" w:line="273" w:lineRule="auto"/>
        <w:rPr>
          <w:sz w:val="20"/>
          <w:szCs w:val="20"/>
          <w:color w:val="auto"/>
        </w:rPr>
      </w:pPr>
      <w:r>
        <w:rPr>
          <w:rFonts w:ascii="Courier New" w:cs="Courier New" w:eastAsia="Courier New" w:hAnsi="Courier New"/>
          <w:sz w:val="15"/>
          <w:szCs w:val="15"/>
          <w:color w:val="auto"/>
        </w:rPr>
        <w:t>The Company operates its marketing, advertising, and promotional programs through an in-house Communications Department and employs a full-time corporate Communications and Special Events Director. The Company focuses on three primary marketing target audiences in its advertising and promotional programs: (1) local market-area customers; (2) out-of-town visitors; and (3) corporate and group customers.</w:t>
      </w:r>
    </w:p>
    <w:p>
      <w:pPr>
        <w:spacing w:after="0" w:line="74" w:lineRule="exact"/>
        <w:rPr>
          <w:sz w:val="20"/>
          <w:szCs w:val="20"/>
          <w:color w:val="auto"/>
        </w:rPr>
      </w:pPr>
    </w:p>
    <w:p>
      <w:pPr>
        <w:ind w:left="560" w:right="3079"/>
        <w:spacing w:after="0" w:line="264" w:lineRule="auto"/>
        <w:rPr>
          <w:sz w:val="20"/>
          <w:szCs w:val="20"/>
          <w:color w:val="auto"/>
        </w:rPr>
      </w:pPr>
      <w:r>
        <w:rPr>
          <w:rFonts w:ascii="Courier New" w:cs="Courier New" w:eastAsia="Courier New" w:hAnsi="Courier New"/>
          <w:sz w:val="15"/>
          <w:szCs w:val="15"/>
          <w:color w:val="auto"/>
        </w:rPr>
        <w:t>Local Market-Area Customers. Management believes that its strongest marketing tool is customer referrals. In addition, the Company continually updates its local customer database which is utilized for specifically targeted marketing and advertising programs to customers in a 10 to 20 mile radius. Through a mix of marketing techniques such as direct mailings, point-of-sale materials, outdoor advertising, and local-market print and broadcast media, the Company promotes seasonal events, in-house promotions, special offers, and new entertainment attractions.</w:t>
      </w:r>
    </w:p>
    <w:p>
      <w:pPr>
        <w:spacing w:after="0" w:line="80" w:lineRule="exact"/>
        <w:rPr>
          <w:sz w:val="20"/>
          <w:szCs w:val="20"/>
          <w:color w:val="auto"/>
        </w:rPr>
      </w:pPr>
    </w:p>
    <w:p>
      <w:pPr>
        <w:ind w:left="560" w:right="2899"/>
        <w:spacing w:after="0" w:line="264" w:lineRule="auto"/>
        <w:rPr>
          <w:sz w:val="20"/>
          <w:szCs w:val="20"/>
          <w:color w:val="auto"/>
        </w:rPr>
      </w:pPr>
      <w:r>
        <w:rPr>
          <w:rFonts w:ascii="Courier New" w:cs="Courier New" w:eastAsia="Courier New" w:hAnsi="Courier New"/>
          <w:sz w:val="15"/>
          <w:szCs w:val="15"/>
          <w:color w:val="auto"/>
        </w:rPr>
        <w:t>Out-of-Town Visitors. The Company markets aggressively to attract tourists and business travelers by placing advertisements in local tourist and special event guides and by otherwise promoting each Dave &amp; Buster's as a local "must see" attraction. The Company monitors local tourist and visitors bureaus for convention schedulings, festivals and special sporting events. Additionally, through the use of local trade arrangements such as "concierge referral programs," the Company extends its marketing presence into local high-traffic tourist and business traveler areas.</w:t>
      </w:r>
    </w:p>
    <w:p>
      <w:pPr>
        <w:spacing w:after="0" w:line="80" w:lineRule="exact"/>
        <w:rPr>
          <w:sz w:val="20"/>
          <w:szCs w:val="20"/>
          <w:color w:val="auto"/>
        </w:rPr>
      </w:pPr>
    </w:p>
    <w:p>
      <w:pPr>
        <w:ind w:left="560" w:right="2899"/>
        <w:spacing w:after="0" w:line="261" w:lineRule="auto"/>
        <w:rPr>
          <w:sz w:val="20"/>
          <w:szCs w:val="20"/>
          <w:color w:val="auto"/>
        </w:rPr>
      </w:pPr>
      <w:r>
        <w:rPr>
          <w:rFonts w:ascii="Courier New" w:cs="Courier New" w:eastAsia="Courier New" w:hAnsi="Courier New"/>
          <w:sz w:val="15"/>
          <w:szCs w:val="15"/>
          <w:color w:val="auto"/>
        </w:rPr>
        <w:t>Corporate and Group Marketing. The Complex-based Special Events Sales Managers book group events such as business seminars, receptions and private parties. The Company develops and maintains a database for corporate and group bookings. Each Dave &amp; Buster's has hosted events for many large multinational, national, and regional businesses. Many of the Company's corporate and group customers have hosted repeat events. In addition to the rapport developed with these clients, the Company stages and promotes its own local group marketing opportunities such as "Karaoke Sing-a-Longs", "Murder Mystery Dinner Theater," televised sporting events and charity benefits. The corporate marketing department is also responsible for budgeting and</w:t>
      </w:r>
    </w:p>
    <w:p>
      <w:pPr>
        <w:spacing w:after="0" w:line="25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6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560" w:right="3619"/>
        <w:spacing w:after="0" w:line="310" w:lineRule="auto"/>
        <w:rPr>
          <w:sz w:val="20"/>
          <w:szCs w:val="20"/>
          <w:color w:val="auto"/>
        </w:rPr>
      </w:pPr>
      <w:r>
        <w:rPr>
          <w:rFonts w:ascii="Courier New" w:cs="Courier New" w:eastAsia="Courier New" w:hAnsi="Courier New"/>
          <w:sz w:val="15"/>
          <w:szCs w:val="15"/>
          <w:color w:val="auto"/>
        </w:rPr>
        <w:t>controlling media and production costs. During fiscal 1998, the Company's expenditures for advertising and promotions were approximately 2.3% of its revenues.</w:t>
      </w:r>
    </w:p>
    <w:p>
      <w:pPr>
        <w:spacing w:after="0" w:line="4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left="560" w:right="2899"/>
        <w:spacing w:after="0" w:line="259" w:lineRule="auto"/>
        <w:rPr>
          <w:sz w:val="20"/>
          <w:szCs w:val="20"/>
          <w:color w:val="auto"/>
        </w:rPr>
      </w:pPr>
      <w:r>
        <w:rPr>
          <w:rFonts w:ascii="Courier New" w:cs="Courier New" w:eastAsia="Courier New" w:hAnsi="Courier New"/>
          <w:sz w:val="15"/>
          <w:szCs w:val="15"/>
          <w:color w:val="auto"/>
        </w:rPr>
        <w:t>The restaurant and entertainment industries are highly competitive. There are a great number of food and beverage service operations and entertainment businesses that compete directly and indirectly with the Company. Many of these entities are larger and have significantly greater financial resources and a greater number of units than does the Company. Although there are few other companies presently utilizing the concept of combining entertainment and restaurant operations to the same extent as the Company, the Company may encounter increased competition in the future, which may have an adverse effect on the profitability of the Company. In addition, the legalization of casino gambling in geographic areas near any restaurant/entertainment company would create the possibility for entertainment alternatives, which could have a material adverse effect on the Company's business.</w:t>
      </w:r>
    </w:p>
    <w:p>
      <w:pPr>
        <w:spacing w:after="0" w:line="8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Employees</w:t>
      </w:r>
    </w:p>
    <w:p>
      <w:pPr>
        <w:spacing w:after="0" w:line="182" w:lineRule="exact"/>
        <w:rPr>
          <w:sz w:val="20"/>
          <w:szCs w:val="20"/>
          <w:color w:val="auto"/>
        </w:rPr>
      </w:pPr>
    </w:p>
    <w:p>
      <w:pPr>
        <w:ind w:left="560" w:right="2979"/>
        <w:spacing w:after="0" w:line="279" w:lineRule="auto"/>
        <w:rPr>
          <w:sz w:val="20"/>
          <w:szCs w:val="20"/>
          <w:color w:val="auto"/>
        </w:rPr>
      </w:pPr>
      <w:r>
        <w:rPr>
          <w:rFonts w:ascii="Courier New" w:cs="Courier New" w:eastAsia="Courier New" w:hAnsi="Courier New"/>
          <w:sz w:val="15"/>
          <w:szCs w:val="15"/>
          <w:color w:val="auto"/>
        </w:rPr>
        <w:t>At January 31, 1999, the Company employed approximately 5,000 persons, 120 of whom served in administrative or executive capacities, 435 of whom served as restaurant and entertainment management personnel, and the remainder of whom were hourly restaurant and entertainment personnel.</w:t>
      </w:r>
    </w:p>
    <w:p>
      <w:pPr>
        <w:spacing w:after="0" w:line="69" w:lineRule="exact"/>
        <w:rPr>
          <w:sz w:val="20"/>
          <w:szCs w:val="20"/>
          <w:color w:val="auto"/>
        </w:rPr>
      </w:pPr>
    </w:p>
    <w:p>
      <w:pPr>
        <w:ind w:left="560" w:right="2899"/>
        <w:spacing w:after="0" w:line="273" w:lineRule="auto"/>
        <w:rPr>
          <w:sz w:val="20"/>
          <w:szCs w:val="20"/>
          <w:color w:val="auto"/>
        </w:rPr>
      </w:pPr>
      <w:r>
        <w:rPr>
          <w:rFonts w:ascii="Courier New" w:cs="Courier New" w:eastAsia="Courier New" w:hAnsi="Courier New"/>
          <w:sz w:val="15"/>
          <w:szCs w:val="15"/>
          <w:color w:val="auto"/>
        </w:rPr>
        <w:t>None of the Company's employees are covered by collective bargaining agreements, and the Company has never experienced an organized work stoppage, strike or labor dispute. The Company believes its working conditions and compensation packages are competitive with those offered by its competitors and considers relations with its employees to be very good.</w:t>
      </w:r>
    </w:p>
    <w:p>
      <w:pPr>
        <w:spacing w:after="0" w:line="7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Intellectual Property</w:t>
      </w:r>
    </w:p>
    <w:p>
      <w:pPr>
        <w:spacing w:after="0" w:line="182" w:lineRule="exact"/>
        <w:rPr>
          <w:sz w:val="20"/>
          <w:szCs w:val="20"/>
          <w:color w:val="auto"/>
        </w:rPr>
      </w:pPr>
    </w:p>
    <w:p>
      <w:pPr>
        <w:ind w:left="560" w:right="3259"/>
        <w:spacing w:after="0" w:line="279" w:lineRule="auto"/>
        <w:rPr>
          <w:sz w:val="20"/>
          <w:szCs w:val="20"/>
          <w:color w:val="auto"/>
        </w:rPr>
      </w:pPr>
      <w:r>
        <w:rPr>
          <w:rFonts w:ascii="Courier New" w:cs="Courier New" w:eastAsia="Courier New" w:hAnsi="Courier New"/>
          <w:sz w:val="15"/>
          <w:szCs w:val="15"/>
          <w:color w:val="auto"/>
        </w:rPr>
        <w:t>The Company has registered the trademark "Dave &amp; Buster's" with the United States Patent and Trademark Office and in various foreign countries. The Company has registered and/or applied for certain additional trademarks with the United States Patent and Trademark Office and in various foreign countries.</w:t>
      </w:r>
    </w:p>
    <w:p>
      <w:pPr>
        <w:spacing w:after="0" w:line="69"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Government Regulations</w:t>
      </w:r>
    </w:p>
    <w:p>
      <w:pPr>
        <w:spacing w:after="0" w:line="182" w:lineRule="exact"/>
        <w:rPr>
          <w:sz w:val="20"/>
          <w:szCs w:val="20"/>
          <w:color w:val="auto"/>
        </w:rPr>
      </w:pPr>
    </w:p>
    <w:p>
      <w:pPr>
        <w:ind w:left="560" w:right="2979"/>
        <w:spacing w:after="0" w:line="257" w:lineRule="auto"/>
        <w:rPr>
          <w:sz w:val="20"/>
          <w:szCs w:val="20"/>
          <w:color w:val="auto"/>
        </w:rPr>
      </w:pPr>
      <w:r>
        <w:rPr>
          <w:rFonts w:ascii="Courier New" w:cs="Courier New" w:eastAsia="Courier New" w:hAnsi="Courier New"/>
          <w:sz w:val="15"/>
          <w:szCs w:val="15"/>
          <w:color w:val="auto"/>
        </w:rPr>
        <w:t>The Company is subject to various federal, state and local laws affecting its business. Each Dave &amp; Buster's is subject to licensing and regulation by a number of governmental authorities, which may include alcoholic beverage control, amusement, health and safety and fire agencies in the state or municipality in which the Complex is located. Each Dave &amp; Buster's is required to obtain a license to sell alcoholic beverages on the premises from a state authority and, in certain locations, county and municipal authorities. Typically, licenses must be renewed annually and may be revoked or suspended for cause at any time. Alcoholic beverage control regulations relate to numerous aspects of the daily operations of each Dave &amp; Buster's, including minimum age of patrons and employees, hours of operation, advertising, wholesale purchasing, inventory control and handling, and storage and dispensing of alcoholic beverages. The Company has not encountered any material problems relating to alcoholic beverage licenses to date. The failure to</w:t>
      </w:r>
    </w:p>
    <w:p>
      <w:pPr>
        <w:spacing w:after="0" w:line="200" w:lineRule="exact"/>
        <w:rPr>
          <w:sz w:val="20"/>
          <w:szCs w:val="20"/>
          <w:color w:val="auto"/>
        </w:rPr>
      </w:pPr>
    </w:p>
    <w:p>
      <w:pPr>
        <w:spacing w:after="0" w:line="23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6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left="560" w:right="3439"/>
        <w:spacing w:after="0" w:line="310" w:lineRule="auto"/>
        <w:rPr>
          <w:sz w:val="20"/>
          <w:szCs w:val="20"/>
          <w:color w:val="auto"/>
        </w:rPr>
      </w:pPr>
      <w:r>
        <w:rPr>
          <w:rFonts w:ascii="Courier New" w:cs="Courier New" w:eastAsia="Courier New" w:hAnsi="Courier New"/>
          <w:sz w:val="15"/>
          <w:szCs w:val="15"/>
          <w:color w:val="auto"/>
        </w:rPr>
        <w:t>receive or retain a liquor license in a particular location could adversely affect the Company's ability to obtain such a license elsewhere.</w:t>
      </w:r>
    </w:p>
    <w:p>
      <w:pPr>
        <w:spacing w:after="0" w:line="46" w:lineRule="exact"/>
        <w:rPr>
          <w:sz w:val="20"/>
          <w:szCs w:val="20"/>
          <w:color w:val="auto"/>
        </w:rPr>
      </w:pPr>
    </w:p>
    <w:p>
      <w:pPr>
        <w:ind w:left="560" w:right="2899"/>
        <w:spacing w:after="0" w:line="261" w:lineRule="auto"/>
        <w:rPr>
          <w:sz w:val="20"/>
          <w:szCs w:val="20"/>
          <w:color w:val="auto"/>
        </w:rPr>
      </w:pPr>
      <w:r>
        <w:rPr>
          <w:rFonts w:ascii="Courier New" w:cs="Courier New" w:eastAsia="Courier New" w:hAnsi="Courier New"/>
          <w:sz w:val="15"/>
          <w:szCs w:val="15"/>
          <w:color w:val="auto"/>
        </w:rPr>
        <w:t>The Company is subject to "dram-shop" statutes in the states in which Complexes are located. These statutes generally provide a person injured by an intoxicated person the right to recover damages from an establishment which wrongfully served alcoholic beverages to the intoxicated individual. The Company carries liquor liability coverage as part of its existing comprehensive general liability insurance which it believes is consistent with coverage carried by other entities in the restaurant and entertainment industries. Although the Company is covered by insurance, a judgment against the Company under a dram-shop statute in excess of the Company's liability coverage could have a material adverse effect on the Company.</w:t>
      </w:r>
    </w:p>
    <w:p>
      <w:pPr>
        <w:spacing w:after="0" w:line="82" w:lineRule="exact"/>
        <w:rPr>
          <w:sz w:val="20"/>
          <w:szCs w:val="20"/>
          <w:color w:val="auto"/>
        </w:rPr>
      </w:pPr>
    </w:p>
    <w:p>
      <w:pPr>
        <w:ind w:left="560" w:right="2979"/>
        <w:spacing w:after="0" w:line="260" w:lineRule="auto"/>
        <w:rPr>
          <w:sz w:val="20"/>
          <w:szCs w:val="20"/>
          <w:color w:val="auto"/>
        </w:rPr>
      </w:pPr>
      <w:r>
        <w:rPr>
          <w:rFonts w:ascii="Courier New" w:cs="Courier New" w:eastAsia="Courier New" w:hAnsi="Courier New"/>
          <w:sz w:val="15"/>
          <w:szCs w:val="15"/>
          <w:color w:val="auto"/>
        </w:rPr>
        <w:t>As a result of operating certain entertainment games and attractions including operations which offer redemption prizes, the Company is subject to amusement licensing and regulation by the states and municipalities in which it has opened Complexes. Certain entertainment attractions are heavily regulated and such regulations vary significantly between communities. From time to time, existing Complexes may be required to modify certain games, alter the mix of games or terminate the use of specific games as a result of the interpretation of regulations by state or local officials. The Company has, in the past, had to seek changes in state or local regulations to enable it to open in a given location. To date, the Company has been successful in seeking all such regulatory changes.</w:t>
      </w:r>
    </w:p>
    <w:p>
      <w:pPr>
        <w:spacing w:after="0" w:line="81" w:lineRule="exact"/>
        <w:rPr>
          <w:sz w:val="20"/>
          <w:szCs w:val="20"/>
          <w:color w:val="auto"/>
        </w:rPr>
      </w:pPr>
    </w:p>
    <w:p>
      <w:pPr>
        <w:ind w:left="560" w:right="2899"/>
        <w:spacing w:after="0" w:line="256" w:lineRule="auto"/>
        <w:rPr>
          <w:sz w:val="20"/>
          <w:szCs w:val="20"/>
          <w:color w:val="auto"/>
        </w:rPr>
      </w:pPr>
      <w:r>
        <w:rPr>
          <w:rFonts w:ascii="Courier New" w:cs="Courier New" w:eastAsia="Courier New" w:hAnsi="Courier New"/>
          <w:sz w:val="15"/>
          <w:szCs w:val="15"/>
          <w:color w:val="auto"/>
        </w:rPr>
        <w:t>The Company's operations are also subject to federal and state laws governing such matters as wages, working conditions, citizenship requirements and overtime. Some states have set minimum wage requirements higher than the federal level, and the federal government recently increased the federal minimum wage. In September 1997, the second phase of an increase in the minimum wage was implemented in accordance with the Federal Fair Labor Standards Act of 1996. Significant numbers of hourly personnel at the Company's Complexes are paid at rates related to the federal minimum wage and, accordingly, increases in the minimum wage have increased labor costs at the Company's Complexes. Other governmental initiatives such as mandated health insurance, if implemented, could adversely affect the Company as well as the restaurant industry in general. The Company is also subject to the Americans With Disabilities Act of 1990, which among other things, may require certain minor renovations to its Complexes to meet federally mandated requirements. The cost of these renovations is not expected to be material to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6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359"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left="560" w:right="2979"/>
        <w:spacing w:after="0" w:line="273" w:lineRule="auto"/>
        <w:rPr>
          <w:sz w:val="20"/>
          <w:szCs w:val="20"/>
          <w:color w:val="auto"/>
        </w:rPr>
      </w:pPr>
      <w:r>
        <w:rPr>
          <w:rFonts w:ascii="Courier New" w:cs="Courier New" w:eastAsia="Courier New" w:hAnsi="Courier New"/>
          <w:sz w:val="15"/>
          <w:szCs w:val="15"/>
          <w:color w:val="auto"/>
        </w:rPr>
        <w:t>The Company hereby cautions stockholders, prospective investors in the Company and other readers of this report that the following important factors, among others, could affect the Company's stock price or cause the Company's actual results of operations to differ materially from those expressed in any forward-looking statements, oral or written, made by or behalf of the Company:</w:t>
      </w:r>
    </w:p>
    <w:p>
      <w:pPr>
        <w:spacing w:after="0" w:line="7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Expansion Plans; Capital Resource Requirements</w:t>
      </w:r>
    </w:p>
    <w:p>
      <w:pPr>
        <w:spacing w:after="0" w:line="182" w:lineRule="exact"/>
        <w:rPr>
          <w:sz w:val="20"/>
          <w:szCs w:val="20"/>
          <w:color w:val="auto"/>
        </w:rPr>
      </w:pPr>
    </w:p>
    <w:p>
      <w:pPr>
        <w:ind w:left="1380" w:right="2899"/>
        <w:spacing w:after="0" w:line="261" w:lineRule="auto"/>
        <w:rPr>
          <w:sz w:val="20"/>
          <w:szCs w:val="20"/>
          <w:color w:val="auto"/>
        </w:rPr>
      </w:pPr>
      <w:r>
        <w:rPr>
          <w:rFonts w:ascii="Courier New" w:cs="Courier New" w:eastAsia="Courier New" w:hAnsi="Courier New"/>
          <w:sz w:val="15"/>
          <w:szCs w:val="15"/>
          <w:color w:val="auto"/>
        </w:rPr>
        <w:t>The Company presently plans to open six and seven Complexes during each of fiscal years 1999 and 2000, respectively, and eight Complexes each fiscal year thereafter. Accomplishing these expansion goals will depend upon a number of factors, including the Company's ability to raise sufficient capital; locate and obtain appropriate sites; hire and train additional management personnel; and construct or acquire, at reasonable cost, the necessary improvements and equipment for such Restaurant/Entertainment Complexes. In particular, the capital resources required to develop each new Restaurant/Entertainment Complex are significant.</w:t>
      </w:r>
    </w:p>
    <w:p>
      <w:pPr>
        <w:spacing w:after="0" w:line="82" w:lineRule="exact"/>
        <w:rPr>
          <w:sz w:val="20"/>
          <w:szCs w:val="20"/>
          <w:color w:val="auto"/>
        </w:rPr>
      </w:pPr>
    </w:p>
    <w:p>
      <w:pPr>
        <w:ind w:left="1380" w:right="2899"/>
        <w:spacing w:after="0" w:line="266" w:lineRule="auto"/>
        <w:rPr>
          <w:sz w:val="20"/>
          <w:szCs w:val="20"/>
          <w:color w:val="auto"/>
        </w:rPr>
      </w:pPr>
      <w:r>
        <w:rPr>
          <w:rFonts w:ascii="Courier New" w:cs="Courier New" w:eastAsia="Courier New" w:hAnsi="Courier New"/>
          <w:sz w:val="15"/>
          <w:szCs w:val="15"/>
          <w:color w:val="auto"/>
        </w:rPr>
        <w:t>There can be no assurance that the Company will be able to complete its planned expansion, that the Company will continue to be successful in its development of new Restaurant/Entertainment Complexes or that new Restaurant/Entertainment Complexes, if completed, will perform in a manner consistent with the Company's most recently opened Restaurant/Entertainment Complexes or make a positive contribution to the Company's operating performance.</w:t>
      </w:r>
    </w:p>
    <w:p>
      <w:pPr>
        <w:spacing w:after="0" w:line="25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Small Number of Restaurant/Entertainment Complexes</w:t>
      </w:r>
    </w:p>
    <w:p>
      <w:pPr>
        <w:spacing w:after="0" w:line="182" w:lineRule="exact"/>
        <w:rPr>
          <w:sz w:val="20"/>
          <w:szCs w:val="20"/>
          <w:color w:val="auto"/>
        </w:rPr>
      </w:pPr>
    </w:p>
    <w:p>
      <w:pPr>
        <w:ind w:left="1380" w:right="2899"/>
        <w:spacing w:after="0" w:line="258" w:lineRule="auto"/>
        <w:rPr>
          <w:sz w:val="20"/>
          <w:szCs w:val="20"/>
          <w:color w:val="auto"/>
        </w:rPr>
      </w:pPr>
      <w:r>
        <w:rPr>
          <w:rFonts w:ascii="Courier New" w:cs="Courier New" w:eastAsia="Courier New" w:hAnsi="Courier New"/>
          <w:sz w:val="15"/>
          <w:szCs w:val="15"/>
          <w:color w:val="auto"/>
        </w:rPr>
        <w:t>As of January 31, 1999 the Company operated seventeen Restaurant/Entertainment Complexes. The combination of the relatively small number of locations and the significant investment associated with each new Restaurant/Entertainment Complex may cause the operating results of the Company to fluctuate significantly and adversely affect the profitability of the Company. Due to this relatively small number of locations, poor results of operations at any one Restaurant/Entertainment Complex could materially affect the profitability of the entire Company. New Restaurant/Entertainment Complexes have experienced a drop in revenues after their first year of operation, and the Company does not expect that in subsequent years, any increases in comparable Complex revenues will be meaningful.</w:t>
      </w:r>
    </w:p>
    <w:p>
      <w:pPr>
        <w:spacing w:after="0" w:line="85" w:lineRule="exact"/>
        <w:rPr>
          <w:sz w:val="20"/>
          <w:szCs w:val="20"/>
          <w:color w:val="auto"/>
        </w:rPr>
      </w:pPr>
    </w:p>
    <w:p>
      <w:pPr>
        <w:ind w:left="1380" w:right="3079"/>
        <w:spacing w:after="0" w:line="266" w:lineRule="auto"/>
        <w:rPr>
          <w:sz w:val="20"/>
          <w:szCs w:val="20"/>
          <w:color w:val="auto"/>
        </w:rPr>
      </w:pPr>
      <w:r>
        <w:rPr>
          <w:rFonts w:ascii="Courier New" w:cs="Courier New" w:eastAsia="Courier New" w:hAnsi="Courier New"/>
          <w:sz w:val="15"/>
          <w:szCs w:val="15"/>
          <w:color w:val="auto"/>
        </w:rPr>
        <w:t>Future growth in revenues and profits will depend to a substantial extent on the Company's ability to increase the number of its Restaurant/Entertainment Complexes. Because of the substantial up-front financial requirements which are described above, the investment risk related to any one Restaurant/Entertainment Complex is much larger than that associated with most other companies' restaurant or entertainment venues.</w:t>
      </w:r>
    </w:p>
    <w:p>
      <w:pPr>
        <w:spacing w:after="0" w:line="200" w:lineRule="exact"/>
        <w:rPr>
          <w:sz w:val="20"/>
          <w:szCs w:val="20"/>
          <w:color w:val="auto"/>
        </w:rPr>
      </w:pPr>
    </w:p>
    <w:p>
      <w:pPr>
        <w:spacing w:after="0" w:line="23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6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3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Dependence Upon Senior Management</w:t>
      </w:r>
    </w:p>
    <w:p>
      <w:pPr>
        <w:spacing w:after="0" w:line="182" w:lineRule="exact"/>
        <w:rPr>
          <w:sz w:val="20"/>
          <w:szCs w:val="20"/>
          <w:color w:val="auto"/>
        </w:rPr>
      </w:pPr>
    </w:p>
    <w:p>
      <w:pPr>
        <w:ind w:left="1380" w:right="3079"/>
        <w:spacing w:after="0" w:line="264" w:lineRule="auto"/>
        <w:rPr>
          <w:sz w:val="20"/>
          <w:szCs w:val="20"/>
          <w:color w:val="auto"/>
        </w:rPr>
      </w:pPr>
      <w:r>
        <w:rPr>
          <w:rFonts w:ascii="Courier New" w:cs="Courier New" w:eastAsia="Courier New" w:hAnsi="Courier New"/>
          <w:sz w:val="15"/>
          <w:szCs w:val="15"/>
          <w:color w:val="auto"/>
        </w:rPr>
        <w:t>The Company's future success will depend largely on the efforts and abilities of its existing senior management, particularly David O. "Dave" Corriveau and James W. "Buster" Corley, the Company's Co-Chief Executive Officers and the founders of the Company's business. The loss of the services of certain of the Company's management team could have a material adverse effect on the Company's business. Messrs. Corriveau and Corley are employed pursuant to employment agreements which will expire in June 2000.</w:t>
      </w:r>
    </w:p>
    <w:p>
      <w:pPr>
        <w:spacing w:after="0" w:line="80"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Dependence on Discretionary Spending</w:t>
      </w:r>
    </w:p>
    <w:p>
      <w:pPr>
        <w:spacing w:after="0" w:line="182" w:lineRule="exact"/>
        <w:rPr>
          <w:sz w:val="20"/>
          <w:szCs w:val="20"/>
          <w:color w:val="auto"/>
        </w:rPr>
      </w:pPr>
    </w:p>
    <w:p>
      <w:pPr>
        <w:ind w:left="1380" w:right="2979"/>
        <w:spacing w:after="0" w:line="266" w:lineRule="auto"/>
        <w:rPr>
          <w:sz w:val="20"/>
          <w:szCs w:val="20"/>
          <w:color w:val="auto"/>
        </w:rPr>
      </w:pPr>
      <w:r>
        <w:rPr>
          <w:rFonts w:ascii="Courier New" w:cs="Courier New" w:eastAsia="Courier New" w:hAnsi="Courier New"/>
          <w:sz w:val="15"/>
          <w:szCs w:val="15"/>
          <w:color w:val="auto"/>
        </w:rPr>
        <w:t>The Company's profits are dependent on discretionary spending by consumers, particularly by consumers living in the communities in which the Restaurant/Entertainment Complexes are located. A significant weakening in any of the local economies in which the Company operates may cause the Company's patrons to curtail discretionary spending which, in turn, could materially affect the profitability of the entire Company.</w:t>
      </w:r>
    </w:p>
    <w:p>
      <w:pPr>
        <w:spacing w:after="0" w:line="79"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International Expansion; License Agreements</w:t>
      </w:r>
    </w:p>
    <w:p>
      <w:pPr>
        <w:spacing w:after="0" w:line="182" w:lineRule="exact"/>
        <w:rPr>
          <w:sz w:val="20"/>
          <w:szCs w:val="20"/>
          <w:color w:val="auto"/>
        </w:rPr>
      </w:pPr>
    </w:p>
    <w:p>
      <w:pPr>
        <w:ind w:left="1380" w:right="2899"/>
        <w:spacing w:after="0" w:line="254" w:lineRule="auto"/>
        <w:rPr>
          <w:sz w:val="20"/>
          <w:szCs w:val="20"/>
          <w:color w:val="auto"/>
        </w:rPr>
      </w:pPr>
      <w:r>
        <w:rPr>
          <w:rFonts w:ascii="Courier New" w:cs="Courier New" w:eastAsia="Courier New" w:hAnsi="Courier New"/>
          <w:sz w:val="15"/>
          <w:szCs w:val="15"/>
          <w:color w:val="auto"/>
        </w:rPr>
        <w:t>In August 1995, February 1998, and September 1998, the Company entered into agreements with Bass, TaiMall and SVAG to license the "Dave &amp; Buster's" name and concept in the United Kingdom, Pacific Rim, and Europe, respectively. In addition, the Company is considering entering into agreements to license the "Dave &amp; Buster's" name and concept in other foreign countries. The Company does not have any current plans to invest its own capital in any foreign operations. The Company's concept is untested outside the United States, and no assurance can be given that any international location will be successful. In addition, the Company's continued success is dependent to a substantial extent on its reputation, and its reputation may be affected by the performance of licensee-owned Complexes over which the Company will have limited control. Any international operations of the Company will also be subject to certain external business risks such as exchange rate fluctuations, political instability and a significant weakening of a local economy in which a foreign Complex is located. Certain provisions in a license agreement for the benefit of the Company may be subject to restrictions in foreign laws that limit the Company's ability to enforce such contractual provisions. In addition, it may be more difficult to register and protect the Company's intellectual property rights in certain foreign countries.</w:t>
      </w:r>
    </w:p>
    <w:p>
      <w:pPr>
        <w:spacing w:after="0" w:line="89"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left="1380" w:right="2899"/>
        <w:spacing w:after="0" w:line="264" w:lineRule="auto"/>
        <w:rPr>
          <w:sz w:val="20"/>
          <w:szCs w:val="20"/>
          <w:color w:val="auto"/>
        </w:rPr>
      </w:pPr>
      <w:r>
        <w:rPr>
          <w:rFonts w:ascii="Courier New" w:cs="Courier New" w:eastAsia="Courier New" w:hAnsi="Courier New"/>
          <w:sz w:val="15"/>
          <w:szCs w:val="15"/>
          <w:color w:val="auto"/>
        </w:rPr>
        <w:t>The restaurant and entertainment industries are highly competitive. There are a great number of food and beverage service operations and entertainment businesses that compete directly and indirectly with the Company. Many of these entities are larger and have significantly greater financial resources and a greater number of units than does the Company. Although there are few other companies presently utilizing the concept of combining entertainment and restaurant operations to the same extent as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6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left="1380" w:right="2899"/>
        <w:spacing w:after="0" w:line="269" w:lineRule="auto"/>
        <w:rPr>
          <w:sz w:val="20"/>
          <w:szCs w:val="20"/>
          <w:color w:val="auto"/>
        </w:rPr>
      </w:pPr>
      <w:r>
        <w:rPr>
          <w:rFonts w:ascii="Courier New" w:cs="Courier New" w:eastAsia="Courier New" w:hAnsi="Courier New"/>
          <w:sz w:val="15"/>
          <w:szCs w:val="15"/>
          <w:color w:val="auto"/>
        </w:rPr>
        <w:t>the Company may encounter increased competition in the future, which may have an adverse effect on the profitability of the Company. In addition, the legislation of casino gambling in geographic areas near any restaurant/entertainment company would create the possibility for entertainment alternatives, which could have a material adverse effect on the Company's business.</w:t>
      </w:r>
    </w:p>
    <w:p>
      <w:pPr>
        <w:spacing w:after="0" w:line="7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Government Regulations</w:t>
      </w:r>
    </w:p>
    <w:p>
      <w:pPr>
        <w:spacing w:after="0" w:line="182" w:lineRule="exact"/>
        <w:rPr>
          <w:sz w:val="20"/>
          <w:szCs w:val="20"/>
          <w:color w:val="auto"/>
        </w:rPr>
      </w:pPr>
    </w:p>
    <w:p>
      <w:pPr>
        <w:ind w:left="1380" w:right="2899"/>
        <w:spacing w:after="0" w:line="264" w:lineRule="auto"/>
        <w:rPr>
          <w:sz w:val="20"/>
          <w:szCs w:val="20"/>
          <w:color w:val="auto"/>
        </w:rPr>
      </w:pPr>
      <w:r>
        <w:rPr>
          <w:rFonts w:ascii="Courier New" w:cs="Courier New" w:eastAsia="Courier New" w:hAnsi="Courier New"/>
          <w:sz w:val="15"/>
          <w:szCs w:val="15"/>
          <w:color w:val="auto"/>
        </w:rPr>
        <w:t>Various federal, state and local laws and permit and license requirements affect the Company's business. Significant numbers of hourly personnel at the Company's Complexes are paid at rates related to the federal minimum wage and, accordingly, legislated increases in the minimum wage will increase labor costs at the Company's Complexes. Other governmental initiatives such as mandated health insurance, if implemented, could adversely affect the Company as well as the restaurant industry in general.</w:t>
      </w:r>
    </w:p>
    <w:p>
      <w:pPr>
        <w:spacing w:after="0" w:line="80"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Stock Price Volatility</w:t>
      </w:r>
    </w:p>
    <w:p>
      <w:pPr>
        <w:spacing w:after="0" w:line="182" w:lineRule="exact"/>
        <w:rPr>
          <w:sz w:val="20"/>
          <w:szCs w:val="20"/>
          <w:color w:val="auto"/>
        </w:rPr>
      </w:pPr>
    </w:p>
    <w:p>
      <w:pPr>
        <w:ind w:left="1380" w:right="2899"/>
        <w:spacing w:after="0" w:line="260" w:lineRule="auto"/>
        <w:rPr>
          <w:sz w:val="20"/>
          <w:szCs w:val="20"/>
          <w:color w:val="auto"/>
        </w:rPr>
      </w:pPr>
      <w:r>
        <w:rPr>
          <w:rFonts w:ascii="Courier New" w:cs="Courier New" w:eastAsia="Courier New" w:hAnsi="Courier New"/>
          <w:sz w:val="15"/>
          <w:szCs w:val="15"/>
          <w:color w:val="auto"/>
        </w:rPr>
        <w:t>The market price of the Common Stock could fluctuate substantially due to a variety of factors, including quarterly operating results of the Company or other restaurant or entertainment companies; changes in general conditions in the economy; the financial markets or the restaurant or entertainment industries; natural disasters; or other developments affecting the Company or its competitors. In addition, in recent years the stock market has experienced extreme price and volume fluctuations. This volatility has had a significant effect on the market prices of securities issued by many companies for reasons unrelated to the operating performance of these companies.</w:t>
      </w:r>
    </w:p>
    <w:p>
      <w:pPr>
        <w:spacing w:after="0" w:line="81"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Quarterly Fluctuations and Seasonality</w:t>
      </w:r>
    </w:p>
    <w:p>
      <w:pPr>
        <w:spacing w:after="0" w:line="182" w:lineRule="exact"/>
        <w:rPr>
          <w:sz w:val="20"/>
          <w:szCs w:val="20"/>
          <w:color w:val="auto"/>
        </w:rPr>
      </w:pPr>
    </w:p>
    <w:p>
      <w:pPr>
        <w:ind w:left="1380" w:right="2899"/>
        <w:spacing w:after="0" w:line="266" w:lineRule="auto"/>
        <w:rPr>
          <w:sz w:val="20"/>
          <w:szCs w:val="20"/>
          <w:color w:val="auto"/>
        </w:rPr>
      </w:pPr>
      <w:r>
        <w:rPr>
          <w:rFonts w:ascii="Courier New" w:cs="Courier New" w:eastAsia="Courier New" w:hAnsi="Courier New"/>
          <w:sz w:val="15"/>
          <w:szCs w:val="15"/>
          <w:color w:val="auto"/>
        </w:rPr>
        <w:t>As a result of the substantial revenues associated with each new Restaurant/Entertainment Complex, the timing of new Complex openings will result in significant fluctuations in quarterly results. The Company expects seasonality to be a factor in the operation or results of its business in the future due to expected lower third quarter revenues due to the fall season, and expects higher fourth quarter revenues associated with the year-end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6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5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2" w:lineRule="exact"/>
        <w:rPr>
          <w:sz w:val="20"/>
          <w:szCs w:val="20"/>
          <w:color w:val="auto"/>
        </w:rPr>
      </w:pPr>
    </w:p>
    <w:p>
      <w:pPr>
        <w:ind w:left="820" w:right="2979"/>
        <w:spacing w:after="0" w:line="289" w:lineRule="auto"/>
        <w:rPr>
          <w:sz w:val="20"/>
          <w:szCs w:val="20"/>
          <w:color w:val="auto"/>
        </w:rPr>
      </w:pPr>
      <w:r>
        <w:rPr>
          <w:rFonts w:ascii="Courier New" w:cs="Courier New" w:eastAsia="Courier New" w:hAnsi="Courier New"/>
          <w:sz w:val="15"/>
          <w:szCs w:val="15"/>
          <w:color w:val="auto"/>
        </w:rPr>
        <w:t>As of January 31, 1999 the Company operated a total of 17 Complexes located in 11 states. The Company is currently utilizing all available land at its owned locations. The Company's real estate leases are with unrelated third parties except where noted.</w:t>
      </w:r>
    </w:p>
    <w:p>
      <w:pPr>
        <w:spacing w:after="0" w:line="200" w:lineRule="exact"/>
        <w:rPr>
          <w:sz w:val="20"/>
          <w:szCs w:val="20"/>
          <w:color w:val="auto"/>
        </w:rPr>
      </w:pPr>
    </w:p>
    <w:p>
      <w:pPr>
        <w:spacing w:after="0" w:line="215"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178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20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State</w:t>
            </w:r>
          </w:p>
        </w:tc>
        <w:tc>
          <w:tcPr>
            <w:tcW w:w="20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Owned or</w:t>
            </w:r>
          </w:p>
        </w:tc>
        <w:tc>
          <w:tcPr>
            <w:tcW w:w="2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Lease Expiration</w:t>
            </w:r>
          </w:p>
        </w:tc>
        <w:tc>
          <w:tcPr>
            <w:tcW w:w="1980" w:type="dxa"/>
            <w:vAlign w:val="bottom"/>
          </w:tcPr>
          <w:p>
            <w:pPr>
              <w:ind w:left="420"/>
              <w:spacing w:after="0"/>
              <w:rPr>
                <w:sz w:val="20"/>
                <w:szCs w:val="20"/>
                <w:color w:val="auto"/>
              </w:rPr>
            </w:pPr>
            <w:r>
              <w:rPr>
                <w:rFonts w:ascii="Courier New" w:cs="Courier New" w:eastAsia="Courier New" w:hAnsi="Courier New"/>
                <w:sz w:val="15"/>
                <w:szCs w:val="15"/>
                <w:color w:val="auto"/>
              </w:rPr>
              <w:t>Lease Expiration</w:t>
            </w:r>
          </w:p>
        </w:tc>
        <w:tc>
          <w:tcPr>
            <w:tcW w:w="0" w:type="dxa"/>
            <w:vAlign w:val="bottom"/>
          </w:tcPr>
          <w:p>
            <w:pPr>
              <w:spacing w:after="0"/>
              <w:rPr>
                <w:sz w:val="1"/>
                <w:szCs w:val="1"/>
                <w:color w:val="auto"/>
              </w:rPr>
            </w:pPr>
          </w:p>
        </w:tc>
      </w:tr>
      <w:tr>
        <w:trPr>
          <w:trHeight w:val="176"/>
        </w:trPr>
        <w:tc>
          <w:tcPr>
            <w:tcW w:w="17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Leased Property</w:t>
            </w:r>
          </w:p>
        </w:tc>
        <w:tc>
          <w:tcPr>
            <w:tcW w:w="1280" w:type="dxa"/>
            <w:vAlign w:val="bottom"/>
          </w:tcPr>
          <w:p>
            <w:pPr>
              <w:ind w:left="920"/>
              <w:spacing w:after="0"/>
              <w:rPr>
                <w:sz w:val="20"/>
                <w:szCs w:val="20"/>
                <w:color w:val="auto"/>
              </w:rPr>
            </w:pPr>
            <w:r>
              <w:rPr>
                <w:rFonts w:ascii="Courier New" w:cs="Courier New" w:eastAsia="Courier New" w:hAnsi="Courier New"/>
                <w:sz w:val="15"/>
                <w:szCs w:val="15"/>
                <w:color w:val="auto"/>
                <w:w w:val="94"/>
              </w:rPr>
              <w:t>Date</w:t>
            </w:r>
          </w:p>
        </w:tc>
        <w:tc>
          <w:tcPr>
            <w:tcW w:w="960" w:type="dxa"/>
            <w:vAlign w:val="bottom"/>
          </w:tcPr>
          <w:p>
            <w:pPr>
              <w:spacing w:after="0"/>
              <w:rPr>
                <w:sz w:val="15"/>
                <w:szCs w:val="15"/>
                <w:color w:val="auto"/>
              </w:rPr>
            </w:pPr>
          </w:p>
        </w:tc>
        <w:tc>
          <w:tcPr>
            <w:tcW w:w="1980" w:type="dxa"/>
            <w:vAlign w:val="bottom"/>
          </w:tcPr>
          <w:p>
            <w:pPr>
              <w:ind w:left="420"/>
              <w:spacing w:after="0"/>
              <w:rPr>
                <w:sz w:val="20"/>
                <w:szCs w:val="20"/>
                <w:color w:val="auto"/>
              </w:rPr>
            </w:pPr>
            <w:r>
              <w:rPr>
                <w:rFonts w:ascii="Courier New" w:cs="Courier New" w:eastAsia="Courier New" w:hAnsi="Courier New"/>
                <w:sz w:val="15"/>
                <w:szCs w:val="15"/>
                <w:color w:val="auto"/>
              </w:rPr>
              <w:t>Date with Options</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920"/>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spacing w:after="0"/>
              <w:rPr>
                <w:sz w:val="22"/>
                <w:szCs w:val="22"/>
                <w:color w:val="auto"/>
              </w:rPr>
            </w:pPr>
          </w:p>
        </w:tc>
        <w:tc>
          <w:tcPr>
            <w:tcW w:w="19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1780" w:type="dxa"/>
            <w:vAlign w:val="bottom"/>
          </w:tcPr>
          <w:p>
            <w:pPr>
              <w:spacing w:after="0"/>
              <w:rPr>
                <w:sz w:val="20"/>
                <w:szCs w:val="20"/>
                <w:color w:val="auto"/>
              </w:rPr>
            </w:pPr>
            <w:r>
              <w:rPr>
                <w:rFonts w:ascii="Courier New" w:cs="Courier New" w:eastAsia="Courier New" w:hAnsi="Courier New"/>
                <w:sz w:val="15"/>
                <w:szCs w:val="15"/>
                <w:color w:val="auto"/>
              </w:rPr>
              <w:t>Dallas (I)</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TX</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4"/>
                <w:szCs w:val="24"/>
                <w:color w:val="auto"/>
              </w:rPr>
            </w:pPr>
          </w:p>
        </w:tc>
        <w:tc>
          <w:tcPr>
            <w:tcW w:w="19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Dallas (II)</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TX</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22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December 2002</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December 2007</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Houston</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TX</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9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GA</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2015*</w:t>
            </w:r>
          </w:p>
        </w:tc>
        <w:tc>
          <w:tcPr>
            <w:tcW w:w="19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PA</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rPr>
              <w:t>January</w:t>
            </w:r>
          </w:p>
        </w:tc>
        <w:tc>
          <w:tcPr>
            <w:tcW w:w="960" w:type="dxa"/>
            <w:vAlign w:val="bottom"/>
            <w:vMerge w:val="continue"/>
          </w:tcPr>
          <w:p>
            <w:pPr>
              <w:spacing w:after="0"/>
              <w:rPr>
                <w:sz w:val="15"/>
                <w:szCs w:val="15"/>
                <w:color w:val="auto"/>
              </w:rPr>
            </w:pP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January 2024</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Chicago (I)</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IL</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2016</w:t>
            </w:r>
          </w:p>
        </w:tc>
        <w:tc>
          <w:tcPr>
            <w:tcW w:w="19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Chicago (II)</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IL</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rPr>
              <w:t>January</w:t>
            </w:r>
          </w:p>
        </w:tc>
        <w:tc>
          <w:tcPr>
            <w:tcW w:w="960" w:type="dxa"/>
            <w:vAlign w:val="bottom"/>
            <w:vMerge w:val="continue"/>
          </w:tcPr>
          <w:p>
            <w:pPr>
              <w:spacing w:after="0"/>
              <w:rPr>
                <w:sz w:val="15"/>
                <w:szCs w:val="15"/>
                <w:color w:val="auto"/>
              </w:rPr>
            </w:pP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January 2026</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Hollywood</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FL</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Leased**</w:t>
            </w:r>
          </w:p>
        </w:tc>
        <w:tc>
          <w:tcPr>
            <w:tcW w:w="22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April 2016</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April 2031</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North Bethesda</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MD</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rPr>
              <w:t>January</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2018</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January 2033</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Ontario</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CA</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rPr>
              <w:t>January</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2018</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January 2028</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Cincinnati</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OH</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rPr>
              <w:t>January</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2018</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January 2038</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Denver</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CO</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22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December 2017</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December 2032</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Utica</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MI</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224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June 2018</w:t>
            </w:r>
          </w:p>
        </w:tc>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June 2033</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Irvine</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CA</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224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July 2018</w:t>
            </w:r>
          </w:p>
        </w:tc>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July 2028</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Rockland County</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NY</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rPr>
              <w:t>January</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2019</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January 2034</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Orange</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CA</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rPr>
              <w:t>January</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2019</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January 2029</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Courier New" w:cs="Courier New" w:eastAsia="Courier New" w:hAnsi="Courier New"/>
                <w:sz w:val="15"/>
                <w:szCs w:val="15"/>
                <w:color w:val="auto"/>
              </w:rPr>
              <w:t>Columbus</w:t>
            </w:r>
          </w:p>
        </w:tc>
        <w:tc>
          <w:tcPr>
            <w:tcW w:w="1200" w:type="dxa"/>
            <w:vAlign w:val="bottom"/>
          </w:tcPr>
          <w:p>
            <w:pPr>
              <w:ind w:left="600"/>
              <w:spacing w:after="0"/>
              <w:rPr>
                <w:sz w:val="20"/>
                <w:szCs w:val="20"/>
                <w:color w:val="auto"/>
              </w:rPr>
            </w:pPr>
            <w:r>
              <w:rPr>
                <w:rFonts w:ascii="Courier New" w:cs="Courier New" w:eastAsia="Courier New" w:hAnsi="Courier New"/>
                <w:sz w:val="15"/>
                <w:szCs w:val="15"/>
                <w:color w:val="auto"/>
              </w:rPr>
              <w:t>OH</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2"/>
                <w:szCs w:val="22"/>
                <w:color w:val="auto"/>
              </w:rPr>
            </w:pPr>
          </w:p>
        </w:tc>
        <w:tc>
          <w:tcPr>
            <w:tcW w:w="19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640" w:right="3179" w:hanging="822"/>
        <w:spacing w:after="0" w:line="372" w:lineRule="auto"/>
        <w:tabs>
          <w:tab w:leader="none" w:pos="16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also leases additional parking facilities which expires January 2014.</w:t>
      </w:r>
    </w:p>
    <w:p>
      <w:pPr>
        <w:spacing w:after="0" w:line="2" w:lineRule="exact"/>
        <w:rPr>
          <w:sz w:val="20"/>
          <w:szCs w:val="20"/>
          <w:color w:val="auto"/>
        </w:rPr>
      </w:pPr>
    </w:p>
    <w:p>
      <w:pPr>
        <w:ind w:left="1640" w:hanging="822"/>
        <w:spacing w:after="0"/>
        <w:tabs>
          <w:tab w:leader="none" w:pos="16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owns the building and leases the real estate.</w:t>
      </w:r>
    </w:p>
    <w:p>
      <w:pPr>
        <w:spacing w:after="0" w:line="182" w:lineRule="exact"/>
        <w:rPr>
          <w:sz w:val="20"/>
          <w:szCs w:val="20"/>
          <w:color w:val="auto"/>
        </w:rPr>
      </w:pPr>
    </w:p>
    <w:p>
      <w:pPr>
        <w:ind w:left="820" w:right="2899"/>
        <w:spacing w:after="0" w:line="269" w:lineRule="auto"/>
        <w:rPr>
          <w:sz w:val="20"/>
          <w:szCs w:val="20"/>
          <w:color w:val="auto"/>
        </w:rPr>
      </w:pPr>
      <w:r>
        <w:rPr>
          <w:rFonts w:ascii="Courier New" w:cs="Courier New" w:eastAsia="Courier New" w:hAnsi="Courier New"/>
          <w:sz w:val="15"/>
          <w:szCs w:val="15"/>
          <w:color w:val="auto"/>
        </w:rPr>
        <w:t>The Company has also signed 20-year leases for Complexes due to open in fiscal 1999 in each of San Antonio, Texas; Atlanta, Georgia; St. Louis, Missouri; Austin, Texas; and Providence, Rhode Island. Twenty-year leases have also been signed for San Jose, California and Miami, Florida, which are scheduled to open in the year 2000. Third-party leases typically provide for a minimum base rent, additional rent based on a percentage of revenues and payment of certain operating expenses.</w:t>
      </w:r>
    </w:p>
    <w:p>
      <w:pPr>
        <w:spacing w:after="0" w:line="76" w:lineRule="exact"/>
        <w:rPr>
          <w:sz w:val="20"/>
          <w:szCs w:val="20"/>
          <w:color w:val="auto"/>
        </w:rPr>
      </w:pPr>
    </w:p>
    <w:p>
      <w:pPr>
        <w:ind w:left="820" w:right="2899"/>
        <w:spacing w:after="0" w:line="372" w:lineRule="auto"/>
        <w:rPr>
          <w:sz w:val="20"/>
          <w:szCs w:val="20"/>
          <w:color w:val="auto"/>
        </w:rPr>
      </w:pPr>
      <w:r>
        <w:rPr>
          <w:rFonts w:ascii="Courier New" w:cs="Courier New" w:eastAsia="Courier New" w:hAnsi="Courier New"/>
          <w:sz w:val="15"/>
          <w:szCs w:val="15"/>
          <w:color w:val="auto"/>
        </w:rPr>
        <w:t>The Company's San Antonio, Texas location is leased from CE San Antonio Investment Trust, whose managing trustee is a director of the Company.</w:t>
      </w:r>
    </w:p>
    <w:p>
      <w:pPr>
        <w:spacing w:after="0" w:line="200" w:lineRule="exact"/>
        <w:rPr>
          <w:sz w:val="20"/>
          <w:szCs w:val="20"/>
          <w:color w:val="auto"/>
        </w:rPr>
      </w:pPr>
    </w:p>
    <w:p>
      <w:pPr>
        <w:spacing w:after="0" w:line="33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2" w:lineRule="exact"/>
        <w:rPr>
          <w:sz w:val="20"/>
          <w:szCs w:val="20"/>
          <w:color w:val="auto"/>
        </w:rPr>
      </w:pPr>
    </w:p>
    <w:p>
      <w:pPr>
        <w:ind w:left="820" w:right="2899"/>
        <w:spacing w:after="0" w:line="273" w:lineRule="auto"/>
        <w:rPr>
          <w:sz w:val="20"/>
          <w:szCs w:val="20"/>
          <w:color w:val="auto"/>
        </w:rPr>
      </w:pPr>
      <w:r>
        <w:rPr>
          <w:rFonts w:ascii="Courier New" w:cs="Courier New" w:eastAsia="Courier New" w:hAnsi="Courier New"/>
          <w:sz w:val="15"/>
          <w:szCs w:val="15"/>
          <w:color w:val="auto"/>
        </w:rPr>
        <w:t>The Company is a defendant in litigation arising in the ordinary course of its business, including claims resulting from "slip and fall" accidents, claims under federal and state laws governing access to public accommodations, and employment-related claims. To date, none of such litigation, some of which is covered by insurance, has had a material effect on the Company.</w:t>
      </w:r>
    </w:p>
    <w:p>
      <w:pPr>
        <w:spacing w:after="0" w:line="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820" w:right="3819" w:hanging="823"/>
        <w:spacing w:after="0" w:line="372" w:lineRule="auto"/>
        <w:tabs>
          <w:tab w:leader="none" w:pos="800" w:val="left"/>
        </w:tabs>
        <w:rPr>
          <w:sz w:val="20"/>
          <w:szCs w:val="20"/>
          <w:color w:val="auto"/>
        </w:rPr>
      </w:pPr>
      <w:r>
        <w:rPr>
          <w:rFonts w:ascii="Courier New" w:cs="Courier New" w:eastAsia="Courier New" w:hAnsi="Courier New"/>
          <w:sz w:val="15"/>
          <w:szCs w:val="15"/>
          <w:color w:val="auto"/>
        </w:rPr>
        <w:t>Item 5.</w:t>
        <w:tab/>
        <w:t>MARKET FOR REGISTRANT'S COMMON EQUITY AND RELATED STOCKHOLDER MATTERS.</w:t>
      </w:r>
    </w:p>
    <w:p>
      <w:pPr>
        <w:spacing w:after="0" w:line="2" w:lineRule="exact"/>
        <w:rPr>
          <w:sz w:val="20"/>
          <w:szCs w:val="20"/>
          <w:color w:val="auto"/>
        </w:rPr>
      </w:pPr>
    </w:p>
    <w:p>
      <w:pPr>
        <w:ind w:left="820" w:right="2899"/>
        <w:spacing w:after="0" w:line="289" w:lineRule="auto"/>
        <w:rPr>
          <w:sz w:val="20"/>
          <w:szCs w:val="20"/>
          <w:color w:val="auto"/>
        </w:rPr>
      </w:pPr>
      <w:r>
        <w:rPr>
          <w:rFonts w:ascii="Courier New" w:cs="Courier New" w:eastAsia="Courier New" w:hAnsi="Courier New"/>
          <w:sz w:val="15"/>
          <w:szCs w:val="15"/>
          <w:color w:val="auto"/>
        </w:rPr>
        <w:t>The Company's Common Stock trades on the Nasdaq National Market under the symbol DANB. The following table summarizes the high and low sale prices per share of Common Stock for the periods indicated, as reported on the Nasdaq National Market:</w:t>
      </w:r>
    </w:p>
    <w:p>
      <w:pPr>
        <w:spacing w:after="0" w:line="200" w:lineRule="exact"/>
        <w:rPr>
          <w:sz w:val="20"/>
          <w:szCs w:val="20"/>
          <w:color w:val="auto"/>
        </w:rPr>
      </w:pPr>
    </w:p>
    <w:p>
      <w:pPr>
        <w:spacing w:after="0" w:line="215"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Fiscal Year 1996</w:t>
            </w:r>
          </w:p>
        </w:tc>
        <w:tc>
          <w:tcPr>
            <w:tcW w:w="248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$16.42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$ 9.33</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2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12.67</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12.33</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Fiscal Year 1997</w:t>
            </w:r>
          </w:p>
        </w:tc>
        <w:tc>
          <w:tcPr>
            <w:tcW w:w="248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16.92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12.67</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2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13.58</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20.17</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27.63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248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27.75</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21.13</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2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26.50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21.38</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10.50</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2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24.38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17.13</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 April 23, 1999, the Company there were 2,242 holders of record.</w:t>
      </w:r>
    </w:p>
    <w:p>
      <w:pPr>
        <w:spacing w:after="0" w:line="182" w:lineRule="exact"/>
        <w:rPr>
          <w:sz w:val="20"/>
          <w:szCs w:val="20"/>
          <w:color w:val="auto"/>
        </w:rPr>
      </w:pPr>
    </w:p>
    <w:p>
      <w:pPr>
        <w:ind w:left="820" w:right="2899"/>
        <w:spacing w:after="0" w:line="273" w:lineRule="auto"/>
        <w:rPr>
          <w:sz w:val="20"/>
          <w:szCs w:val="20"/>
          <w:color w:val="auto"/>
        </w:rPr>
      </w:pPr>
      <w:r>
        <w:rPr>
          <w:rFonts w:ascii="Courier New" w:cs="Courier New" w:eastAsia="Courier New" w:hAnsi="Courier New"/>
          <w:sz w:val="15"/>
          <w:szCs w:val="15"/>
          <w:color w:val="auto"/>
        </w:rPr>
        <w:t>The Company has never paid cash dividends on its Common Stock and does not currently intend to do so as profits are reinvested into the Company to fund future expansion of its restaurant business. Payment of dividends in the future will depend upon the Company's growth, profitability, financial condition and other factors which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2" w:lineRule="exact"/>
        <w:rPr>
          <w:sz w:val="20"/>
          <w:szCs w:val="20"/>
          <w:color w:val="auto"/>
        </w:rPr>
      </w:pPr>
    </w:p>
    <w:p>
      <w:pPr>
        <w:ind w:right="3660"/>
        <w:spacing w:after="0" w:line="279" w:lineRule="auto"/>
        <w:rPr>
          <w:sz w:val="20"/>
          <w:szCs w:val="20"/>
          <w:color w:val="auto"/>
        </w:rPr>
      </w:pPr>
      <w:r>
        <w:rPr>
          <w:rFonts w:ascii="Courier New" w:cs="Courier New" w:eastAsia="Courier New" w:hAnsi="Courier New"/>
          <w:sz w:val="15"/>
          <w:szCs w:val="15"/>
          <w:color w:val="auto"/>
        </w:rPr>
        <w:t>The following table sets forth selected consolidated financial data for the Company. This data should be read in conjunction with the Consolidated Financial Statements of the Company and the Notes thereto included in Item 8 hereof and Management's Discussion and Analysis of Financial Condition and Results of Operations included in Item 7 hereof.</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ind w:left="3020"/>
              <w:spacing w:after="0"/>
              <w:rPr>
                <w:sz w:val="20"/>
                <w:szCs w:val="20"/>
                <w:color w:val="auto"/>
              </w:rPr>
            </w:pPr>
            <w:r>
              <w:rPr>
                <w:rFonts w:ascii="Courier New" w:cs="Courier New" w:eastAsia="Courier New" w:hAnsi="Courier New"/>
                <w:sz w:val="15"/>
                <w:szCs w:val="15"/>
                <w:color w:val="auto"/>
              </w:rPr>
              <w:t>Fiscal Year</w:t>
            </w:r>
          </w:p>
        </w:tc>
        <w:tc>
          <w:tcPr>
            <w:tcW w:w="38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15"/>
                <w:szCs w:val="15"/>
                <w:color w:val="auto"/>
              </w:rPr>
            </w:pPr>
          </w:p>
        </w:tc>
        <w:tc>
          <w:tcPr>
            <w:tcW w:w="10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42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80" w:type="dxa"/>
            <w:vAlign w:val="bottom"/>
            <w:gridSpan w:val="8"/>
          </w:tcPr>
          <w:p>
            <w:pPr>
              <w:jc w:val="right"/>
              <w:ind w:right="24"/>
              <w:spacing w:after="0"/>
              <w:rPr>
                <w:sz w:val="20"/>
                <w:szCs w:val="20"/>
                <w:color w:val="auto"/>
              </w:rPr>
            </w:pPr>
            <w:r>
              <w:rPr>
                <w:rFonts w:ascii="Courier New" w:cs="Courier New" w:eastAsia="Courier New" w:hAnsi="Courier New"/>
                <w:sz w:val="15"/>
                <w:szCs w:val="15"/>
                <w:color w:val="auto"/>
              </w:rPr>
              <w:t>(in thousands, except per share amounts and store data)</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3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89,378</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64,703</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48,568</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28,554</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27,426</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Food and beverage revenues</w:t>
            </w:r>
          </w:p>
        </w:tc>
        <w:tc>
          <w:tcPr>
            <w:tcW w:w="3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Amusement and other revenues</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92,906</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63,801</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40,207</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23,990</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21,997</w:t>
            </w:r>
          </w:p>
        </w:tc>
        <w:tc>
          <w:tcPr>
            <w:tcW w:w="0" w:type="dxa"/>
            <w:vAlign w:val="bottom"/>
          </w:tcPr>
          <w:p>
            <w:pPr>
              <w:spacing w:after="0"/>
              <w:rPr>
                <w:sz w:val="1"/>
                <w:szCs w:val="1"/>
                <w:color w:val="auto"/>
              </w:rPr>
            </w:pPr>
          </w:p>
        </w:tc>
      </w:tr>
      <w:tr>
        <w:trPr>
          <w:trHeight w:val="176"/>
        </w:trPr>
        <w:tc>
          <w:tcPr>
            <w:tcW w:w="420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revenues</w:t>
            </w: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2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182,284</w:t>
            </w:r>
          </w:p>
        </w:tc>
        <w:tc>
          <w:tcPr>
            <w:tcW w:w="400" w:type="dxa"/>
            <w:vAlign w:val="bottom"/>
          </w:tcPr>
          <w:p>
            <w:pPr>
              <w:spacing w:after="0"/>
              <w:rPr>
                <w:sz w:val="22"/>
                <w:szCs w:val="22"/>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128,504</w:t>
            </w:r>
          </w:p>
        </w:tc>
        <w:tc>
          <w:tcPr>
            <w:tcW w:w="420" w:type="dxa"/>
            <w:vAlign w:val="bottom"/>
          </w:tcPr>
          <w:p>
            <w:pPr>
              <w:spacing w:after="0"/>
              <w:rPr>
                <w:sz w:val="22"/>
                <w:szCs w:val="22"/>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88,775</w:t>
            </w:r>
          </w:p>
        </w:tc>
        <w:tc>
          <w:tcPr>
            <w:tcW w:w="420" w:type="dxa"/>
            <w:vAlign w:val="bottom"/>
          </w:tcPr>
          <w:p>
            <w:pPr>
              <w:spacing w:after="0"/>
              <w:rPr>
                <w:sz w:val="22"/>
                <w:szCs w:val="22"/>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52,544</w:t>
            </w: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49,423</w:t>
            </w:r>
          </w:p>
        </w:tc>
        <w:tc>
          <w:tcPr>
            <w:tcW w:w="0" w:type="dxa"/>
            <w:vAlign w:val="bottom"/>
          </w:tcPr>
          <w:p>
            <w:pPr>
              <w:spacing w:after="0"/>
              <w:rPr>
                <w:sz w:val="1"/>
                <w:szCs w:val="1"/>
                <w:color w:val="auto"/>
              </w:rPr>
            </w:pPr>
          </w:p>
        </w:tc>
      </w:tr>
      <w:tr>
        <w:trPr>
          <w:trHeight w:val="2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380" w:type="dxa"/>
            <w:vAlign w:val="bottom"/>
          </w:tcPr>
          <w:p>
            <w:pPr>
              <w:spacing w:after="0"/>
              <w:rPr>
                <w:sz w:val="23"/>
                <w:szCs w:val="23"/>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35,582</w:t>
            </w:r>
          </w:p>
        </w:tc>
        <w:tc>
          <w:tcPr>
            <w:tcW w:w="400" w:type="dxa"/>
            <w:vAlign w:val="bottom"/>
          </w:tcPr>
          <w:p>
            <w:pPr>
              <w:spacing w:after="0"/>
              <w:rPr>
                <w:sz w:val="23"/>
                <w:szCs w:val="23"/>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24,795</w:t>
            </w:r>
          </w:p>
        </w:tc>
        <w:tc>
          <w:tcPr>
            <w:tcW w:w="420" w:type="dxa"/>
            <w:vAlign w:val="bottom"/>
          </w:tcPr>
          <w:p>
            <w:pPr>
              <w:spacing w:after="0"/>
              <w:rPr>
                <w:sz w:val="23"/>
                <w:szCs w:val="23"/>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18,003</w:t>
            </w:r>
          </w:p>
        </w:tc>
        <w:tc>
          <w:tcPr>
            <w:tcW w:w="420" w:type="dxa"/>
            <w:vAlign w:val="bottom"/>
          </w:tcPr>
          <w:p>
            <w:pPr>
              <w:spacing w:after="0"/>
              <w:rPr>
                <w:sz w:val="23"/>
                <w:szCs w:val="23"/>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10,945</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10,075</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payroll and benefits</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52,206</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36,227</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25,483</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15,999</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14,746</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restaurant operating expenses</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45,862</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32,787</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20,582</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11,481</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11,760</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General and administrative expenses</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10,579</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8,489</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5,734</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3,905</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2,724</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expense</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12,163</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8,470</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5,647</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3,538</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2,827</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Preopening cost amortization</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4,539</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3,246</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2,605</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161</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1,128</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Earn-out and special compensation</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1,607</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2,125</w:t>
            </w:r>
          </w:p>
        </w:tc>
        <w:tc>
          <w:tcPr>
            <w:tcW w:w="0" w:type="dxa"/>
            <w:vAlign w:val="bottom"/>
          </w:tcPr>
          <w:p>
            <w:pPr>
              <w:spacing w:after="0"/>
              <w:rPr>
                <w:sz w:val="1"/>
                <w:szCs w:val="1"/>
                <w:color w:val="auto"/>
              </w:rPr>
            </w:pPr>
          </w:p>
        </w:tc>
      </w:tr>
      <w:tr>
        <w:trPr>
          <w:trHeight w:val="176"/>
        </w:trPr>
        <w:tc>
          <w:tcPr>
            <w:tcW w:w="420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costs and expenses</w:t>
            </w: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2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160,931</w:t>
            </w:r>
          </w:p>
        </w:tc>
        <w:tc>
          <w:tcPr>
            <w:tcW w:w="400" w:type="dxa"/>
            <w:vAlign w:val="bottom"/>
          </w:tcPr>
          <w:p>
            <w:pPr>
              <w:spacing w:after="0"/>
              <w:rPr>
                <w:sz w:val="22"/>
                <w:szCs w:val="22"/>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114,014</w:t>
            </w:r>
          </w:p>
        </w:tc>
        <w:tc>
          <w:tcPr>
            <w:tcW w:w="420" w:type="dxa"/>
            <w:vAlign w:val="bottom"/>
          </w:tcPr>
          <w:p>
            <w:pPr>
              <w:spacing w:after="0"/>
              <w:rPr>
                <w:sz w:val="22"/>
                <w:szCs w:val="22"/>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78,054</w:t>
            </w:r>
          </w:p>
        </w:tc>
        <w:tc>
          <w:tcPr>
            <w:tcW w:w="420" w:type="dxa"/>
            <w:vAlign w:val="bottom"/>
          </w:tcPr>
          <w:p>
            <w:pPr>
              <w:spacing w:after="0"/>
              <w:rPr>
                <w:sz w:val="22"/>
                <w:szCs w:val="22"/>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47,636</w:t>
            </w: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45,385</w:t>
            </w:r>
          </w:p>
        </w:tc>
        <w:tc>
          <w:tcPr>
            <w:tcW w:w="0" w:type="dxa"/>
            <w:vAlign w:val="bottom"/>
          </w:tcPr>
          <w:p>
            <w:pPr>
              <w:spacing w:after="0"/>
              <w:rPr>
                <w:sz w:val="1"/>
                <w:szCs w:val="1"/>
                <w:color w:val="auto"/>
              </w:rPr>
            </w:pPr>
          </w:p>
        </w:tc>
      </w:tr>
      <w:tr>
        <w:trPr>
          <w:trHeight w:val="2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80" w:type="dxa"/>
            <w:vAlign w:val="bottom"/>
          </w:tcPr>
          <w:p>
            <w:pPr>
              <w:spacing w:after="0"/>
              <w:rPr>
                <w:sz w:val="23"/>
                <w:szCs w:val="23"/>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21,353</w:t>
            </w:r>
          </w:p>
        </w:tc>
        <w:tc>
          <w:tcPr>
            <w:tcW w:w="400" w:type="dxa"/>
            <w:vAlign w:val="bottom"/>
          </w:tcPr>
          <w:p>
            <w:pPr>
              <w:spacing w:after="0"/>
              <w:rPr>
                <w:sz w:val="23"/>
                <w:szCs w:val="23"/>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14,490</w:t>
            </w:r>
          </w:p>
        </w:tc>
        <w:tc>
          <w:tcPr>
            <w:tcW w:w="420" w:type="dxa"/>
            <w:vAlign w:val="bottom"/>
          </w:tcPr>
          <w:p>
            <w:pPr>
              <w:spacing w:after="0"/>
              <w:rPr>
                <w:sz w:val="23"/>
                <w:szCs w:val="23"/>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10,721</w:t>
            </w:r>
          </w:p>
        </w:tc>
        <w:tc>
          <w:tcPr>
            <w:tcW w:w="420" w:type="dxa"/>
            <w:vAlign w:val="bottom"/>
          </w:tcPr>
          <w:p>
            <w:pPr>
              <w:spacing w:after="0"/>
              <w:rPr>
                <w:sz w:val="23"/>
                <w:szCs w:val="23"/>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4,908</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4,038</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194</w:t>
            </w:r>
          </w:p>
        </w:tc>
        <w:tc>
          <w:tcPr>
            <w:tcW w:w="40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(179)</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380" w:type="dxa"/>
            <w:vAlign w:val="bottom"/>
          </w:tcPr>
          <w:p>
            <w:pPr>
              <w:spacing w:after="0"/>
              <w:rPr>
                <w:sz w:val="23"/>
                <w:szCs w:val="23"/>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21,547</w:t>
            </w:r>
          </w:p>
        </w:tc>
        <w:tc>
          <w:tcPr>
            <w:tcW w:w="400" w:type="dxa"/>
            <w:vAlign w:val="bottom"/>
          </w:tcPr>
          <w:p>
            <w:pPr>
              <w:spacing w:after="0"/>
              <w:rPr>
                <w:sz w:val="23"/>
                <w:szCs w:val="23"/>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14,311</w:t>
            </w:r>
          </w:p>
        </w:tc>
        <w:tc>
          <w:tcPr>
            <w:tcW w:w="420" w:type="dxa"/>
            <w:vAlign w:val="bottom"/>
          </w:tcPr>
          <w:p>
            <w:pPr>
              <w:spacing w:after="0"/>
              <w:rPr>
                <w:sz w:val="23"/>
                <w:szCs w:val="23"/>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10,683</w:t>
            </w:r>
          </w:p>
        </w:tc>
        <w:tc>
          <w:tcPr>
            <w:tcW w:w="420" w:type="dxa"/>
            <w:vAlign w:val="bottom"/>
          </w:tcPr>
          <w:p>
            <w:pPr>
              <w:spacing w:after="0"/>
              <w:rPr>
                <w:sz w:val="23"/>
                <w:szCs w:val="23"/>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5,009</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4,097</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7,969</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5,414</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4,343</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2,087</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1,733</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4200" w:type="dxa"/>
            <w:vAlign w:val="bottom"/>
          </w:tcPr>
          <w:p>
            <w:pPr>
              <w:ind w:left="820"/>
              <w:spacing w:after="0"/>
              <w:rPr>
                <w:sz w:val="20"/>
                <w:szCs w:val="20"/>
                <w:color w:val="auto"/>
              </w:rPr>
            </w:pPr>
            <w:r>
              <w:rPr>
                <w:rFonts w:ascii="Courier New" w:cs="Courier New" w:eastAsia="Courier New" w:hAnsi="Courier New"/>
                <w:sz w:val="15"/>
                <w:szCs w:val="15"/>
                <w:color w:val="auto"/>
              </w:rPr>
              <w:t>Net income</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13,578</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8,897</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6,340</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2,922</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2,364</w:t>
            </w:r>
          </w:p>
        </w:tc>
        <w:tc>
          <w:tcPr>
            <w:tcW w:w="0" w:type="dxa"/>
            <w:vAlign w:val="bottom"/>
          </w:tcPr>
          <w:p>
            <w:pPr>
              <w:spacing w:after="0"/>
              <w:rPr>
                <w:sz w:val="1"/>
                <w:szCs w:val="1"/>
                <w:color w:val="auto"/>
              </w:rPr>
            </w:pPr>
          </w:p>
        </w:tc>
      </w:tr>
      <w:tr>
        <w:trPr>
          <w:trHeight w:val="2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1.04</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weighted average shares outstanding</w:t>
            </w:r>
          </w:p>
        </w:tc>
        <w:tc>
          <w:tcPr>
            <w:tcW w:w="3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13,053</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11,532</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10,901</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8,681</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7,796</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380" w:type="dxa"/>
            <w:vAlign w:val="bottom"/>
            <w:vMerge w:val="continue"/>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1.03</w:t>
            </w:r>
          </w:p>
        </w:tc>
        <w:tc>
          <w:tcPr>
            <w:tcW w:w="400" w:type="dxa"/>
            <w:vAlign w:val="bottom"/>
            <w:vMerge w:val="continue"/>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w:t>
            </w:r>
          </w:p>
        </w:tc>
        <w:tc>
          <w:tcPr>
            <w:tcW w:w="420" w:type="dxa"/>
            <w:vAlign w:val="bottom"/>
            <w:vMerge w:val="continue"/>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w:t>
            </w:r>
          </w:p>
        </w:tc>
        <w:tc>
          <w:tcPr>
            <w:tcW w:w="420" w:type="dxa"/>
            <w:vAlign w:val="bottom"/>
            <w:vMerge w:val="continue"/>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w:t>
            </w:r>
          </w:p>
        </w:tc>
        <w:tc>
          <w:tcPr>
            <w:tcW w:w="420" w:type="dxa"/>
            <w:vAlign w:val="bottom"/>
            <w:vMerge w:val="continue"/>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 outstanding</w:t>
            </w:r>
          </w:p>
        </w:tc>
        <w:tc>
          <w:tcPr>
            <w:tcW w:w="38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13,246</w:t>
            </w:r>
          </w:p>
        </w:tc>
        <w:tc>
          <w:tcPr>
            <w:tcW w:w="400" w:type="dxa"/>
            <w:vAlign w:val="bottom"/>
          </w:tcPr>
          <w:p>
            <w:pPr>
              <w:spacing w:after="0"/>
              <w:rPr>
                <w:sz w:val="22"/>
                <w:szCs w:val="22"/>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11,711</w:t>
            </w:r>
          </w:p>
        </w:tc>
        <w:tc>
          <w:tcPr>
            <w:tcW w:w="420" w:type="dxa"/>
            <w:vAlign w:val="bottom"/>
          </w:tcPr>
          <w:p>
            <w:pPr>
              <w:spacing w:after="0"/>
              <w:rPr>
                <w:sz w:val="22"/>
                <w:szCs w:val="22"/>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10,969</w:t>
            </w:r>
          </w:p>
        </w:tc>
        <w:tc>
          <w:tcPr>
            <w:tcW w:w="420" w:type="dxa"/>
            <w:vAlign w:val="bottom"/>
          </w:tcPr>
          <w:p>
            <w:pPr>
              <w:spacing w:after="0"/>
              <w:rPr>
                <w:sz w:val="22"/>
                <w:szCs w:val="22"/>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8,681</w:t>
            </w: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980"/>
          </w:cols>
          <w:pgMar w:left="240" w:top="266" w:right="679" w:bottom="1440" w:gutter="0" w:footer="0" w:header="0"/>
        </w:sectPr>
      </w:pPr>
    </w:p>
    <w:bookmarkStart w:id="16" w:name="page17"/>
    <w:bookmarkEnd w:id="16"/>
    <w:tbl>
      <w:tblPr>
        <w:tblLayout w:type="fixed"/>
        <w:tblInd w:w="6" w:type="dxa"/>
        <w:tblCellMar>
          <w:top w:w="0" w:type="dxa"/>
          <w:left w:w="0" w:type="dxa"/>
          <w:bottom w:w="0" w:type="dxa"/>
          <w:right w:w="0" w:type="dxa"/>
        </w:tblCellMar>
      </w:tblPr>
      <w:tr>
        <w:trPr>
          <w:trHeight w:val="257"/>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5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8,220</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26,408</w:t>
            </w:r>
          </w:p>
        </w:tc>
        <w:tc>
          <w:tcPr>
            <w:tcW w:w="4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1,077</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Working capital (deficit)</w:t>
            </w:r>
          </w:p>
        </w:tc>
        <w:tc>
          <w:tcPr>
            <w:tcW w:w="5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5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216,592</w:t>
            </w:r>
          </w:p>
        </w:tc>
        <w:tc>
          <w:tcPr>
            <w:tcW w:w="40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158,989</w:t>
            </w: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99,436</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Long-term obligations</w:t>
            </w:r>
          </w:p>
        </w:tc>
        <w:tc>
          <w:tcPr>
            <w:tcW w:w="5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42,500</w:t>
            </w:r>
          </w:p>
        </w:tc>
        <w:tc>
          <w:tcPr>
            <w:tcW w:w="40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12,000</w:t>
            </w: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14,250</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Stockholders' equity (1)</w:t>
            </w:r>
          </w:p>
        </w:tc>
        <w:tc>
          <w:tcPr>
            <w:tcW w:w="50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145,502</w:t>
            </w:r>
          </w:p>
        </w:tc>
        <w:tc>
          <w:tcPr>
            <w:tcW w:w="400" w:type="dxa"/>
            <w:vAlign w:val="bottom"/>
          </w:tcPr>
          <w:p>
            <w:pPr>
              <w:spacing w:after="0"/>
              <w:rPr>
                <w:sz w:val="22"/>
                <w:szCs w:val="22"/>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133,356</w:t>
            </w: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75,366</w:t>
            </w:r>
          </w:p>
        </w:tc>
        <w:tc>
          <w:tcPr>
            <w:tcW w:w="0" w:type="dxa"/>
            <w:vAlign w:val="bottom"/>
          </w:tcPr>
          <w:p>
            <w:pPr>
              <w:spacing w:after="0"/>
              <w:rPr>
                <w:sz w:val="1"/>
                <w:szCs w:val="1"/>
                <w:color w:val="auto"/>
              </w:rPr>
            </w:pPr>
          </w:p>
        </w:tc>
      </w:tr>
      <w:tr>
        <w:trPr>
          <w:trHeight w:val="2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Number of Complexes Open at End of Period</w:t>
            </w:r>
          </w:p>
        </w:tc>
        <w:tc>
          <w:tcPr>
            <w:tcW w:w="500" w:type="dxa"/>
            <w:vAlign w:val="bottom"/>
          </w:tcPr>
          <w:p>
            <w:pPr>
              <w:spacing w:after="0"/>
              <w:rPr>
                <w:sz w:val="23"/>
                <w:szCs w:val="23"/>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23"/>
                <w:szCs w:val="23"/>
                <w:color w:val="auto"/>
              </w:rPr>
            </w:pPr>
          </w:p>
        </w:tc>
        <w:tc>
          <w:tcPr>
            <w:tcW w:w="9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257"/>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Company operated</w:t>
            </w:r>
          </w:p>
        </w:tc>
        <w:tc>
          <w:tcPr>
            <w:tcW w:w="5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466" w:right="1280" w:hanging="466"/>
        <w:spacing w:after="0" w:line="372"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fiscal 1995, the Company was a subsidiary of Edison Brothers Stores, Inc.</w:t>
      </w:r>
    </w:p>
    <w:p>
      <w:pPr>
        <w:spacing w:after="0" w:line="178" w:lineRule="exact"/>
        <w:rPr>
          <w:sz w:val="20"/>
          <w:szCs w:val="20"/>
          <w:color w:val="auto"/>
        </w:rPr>
      </w:pPr>
    </w:p>
    <w:p>
      <w:pPr>
        <w:ind w:left="826" w:right="1460" w:hanging="823"/>
        <w:spacing w:after="0" w:line="372" w:lineRule="auto"/>
        <w:tabs>
          <w:tab w:leader="none" w:pos="806"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(DOLLARS IN THOUSANDS).</w:t>
      </w:r>
    </w:p>
    <w:p>
      <w:pPr>
        <w:spacing w:after="0" w:line="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FISCAL 1998 COMPARED TO FISCAL 1997</w:t>
      </w:r>
    </w:p>
    <w:p>
      <w:pPr>
        <w:spacing w:after="0" w:line="182" w:lineRule="exact"/>
        <w:rPr>
          <w:sz w:val="20"/>
          <w:szCs w:val="20"/>
          <w:color w:val="auto"/>
        </w:rPr>
      </w:pPr>
    </w:p>
    <w:p>
      <w:pPr>
        <w:ind w:left="6" w:right="740"/>
        <w:spacing w:after="0" w:line="260" w:lineRule="auto"/>
        <w:rPr>
          <w:sz w:val="20"/>
          <w:szCs w:val="20"/>
          <w:color w:val="auto"/>
        </w:rPr>
      </w:pPr>
      <w:r>
        <w:rPr>
          <w:rFonts w:ascii="Courier New" w:cs="Courier New" w:eastAsia="Courier New" w:hAnsi="Courier New"/>
          <w:sz w:val="15"/>
          <w:szCs w:val="15"/>
          <w:color w:val="auto"/>
        </w:rPr>
        <w:t>Total revenues increased to $182,284 for fiscal 1998 from $128,504 for fiscal 1997, an increase of $53,780 or 42%. New Stores opened in fiscal 1998 (Utica, Michigan; Irvine, California; Rockland County, New York; Orange, California; and Columbus, Ohio) and in fiscal 1997 (Ontario, California; Cincinnati, Ohio; and Denver, Colorado) accounted for 93% of the increase. Revenues at comparable Stores increased 6% for fiscal 1998. Increases in revenues were also attributable to a higher average guest check. Total revenues for fiscal 1998 from the Bass licensing agreement were $395. Food and beverage revenues, as a percentage of total revenues, have decreased in comparison to prior year levels as a result of higher percentage of floor space devoted to entertainment activities within the Company's new Stores; the national trend towards lower alcoholic beverage consumption; and the continuing impact of the Power Card.</w:t>
      </w:r>
    </w:p>
    <w:p>
      <w:pPr>
        <w:spacing w:after="0" w:line="81" w:lineRule="exact"/>
        <w:rPr>
          <w:sz w:val="20"/>
          <w:szCs w:val="20"/>
          <w:color w:val="auto"/>
        </w:rPr>
      </w:pPr>
    </w:p>
    <w:p>
      <w:pPr>
        <w:ind w:left="6" w:right="920"/>
        <w:spacing w:after="0" w:line="279" w:lineRule="auto"/>
        <w:rPr>
          <w:sz w:val="20"/>
          <w:szCs w:val="20"/>
          <w:color w:val="auto"/>
        </w:rPr>
      </w:pPr>
      <w:r>
        <w:rPr>
          <w:rFonts w:ascii="Courier New" w:cs="Courier New" w:eastAsia="Courier New" w:hAnsi="Courier New"/>
          <w:sz w:val="15"/>
          <w:szCs w:val="15"/>
          <w:color w:val="auto"/>
        </w:rPr>
        <w:t>Cost of revenues increased to $35,582 for fiscal 1998 from $24,795 for fiscal 1997, an increase of $10,787 or 44%. The increase was principally attributable to the 42% increase in revenues. As a percentage of revenues, cost of revenues increased to 19.5% in fiscal 1998 from 19.3% in fiscal 1997 due to higher amusement redemption costs.</w:t>
      </w:r>
    </w:p>
    <w:p>
      <w:pPr>
        <w:spacing w:after="0" w:line="69" w:lineRule="exact"/>
        <w:rPr>
          <w:sz w:val="20"/>
          <w:szCs w:val="20"/>
          <w:color w:val="auto"/>
        </w:rPr>
      </w:pPr>
    </w:p>
    <w:p>
      <w:pPr>
        <w:ind w:left="6" w:right="740"/>
        <w:spacing w:after="0" w:line="289" w:lineRule="auto"/>
        <w:rPr>
          <w:sz w:val="20"/>
          <w:szCs w:val="20"/>
          <w:color w:val="auto"/>
        </w:rPr>
      </w:pPr>
      <w:r>
        <w:rPr>
          <w:rFonts w:ascii="Courier New" w:cs="Courier New" w:eastAsia="Courier New" w:hAnsi="Courier New"/>
          <w:sz w:val="15"/>
          <w:szCs w:val="15"/>
          <w:color w:val="auto"/>
        </w:rPr>
        <w:t>Operating payroll and benefits increased to $52,206 for fiscal 1998 from $36,227 for fiscal 1997, an increase of $15,979 or 44%. As a percentage of revenue, operating payroll and benefits increased to 28.6% in fiscal 1998 from 28.2% in fiscal 1997 due to higher variable labor costs.</w:t>
      </w:r>
    </w:p>
    <w:p>
      <w:pPr>
        <w:spacing w:after="0" w:line="62" w:lineRule="exact"/>
        <w:rPr>
          <w:sz w:val="20"/>
          <w:szCs w:val="20"/>
          <w:color w:val="auto"/>
        </w:rPr>
      </w:pPr>
    </w:p>
    <w:p>
      <w:pPr>
        <w:ind w:left="6" w:right="740"/>
        <w:spacing w:after="0" w:line="269" w:lineRule="auto"/>
        <w:rPr>
          <w:sz w:val="20"/>
          <w:szCs w:val="20"/>
          <w:color w:val="auto"/>
        </w:rPr>
      </w:pPr>
      <w:r>
        <w:rPr>
          <w:rFonts w:ascii="Courier New" w:cs="Courier New" w:eastAsia="Courier New" w:hAnsi="Courier New"/>
          <w:sz w:val="15"/>
          <w:szCs w:val="15"/>
          <w:color w:val="auto"/>
        </w:rPr>
        <w:t>Other restaurant operating expenses increased to $45,862 for fiscal 1998 from $32,787 for fiscal 1997, an increase of $13,075 or 40%. As a percentage of revenues, other restaurant operating expenses were 25.2% of revenues in fiscal 1998 as compared to 25.5% of revenues in fiscal 1997. Other restaurant operating expenses were lower due to reduced repair and maintenance and fixed costs at the Stores offset by higher occupancy costs associated with new Stores opened in fiscal 1998 and in fiscal 1997.</w:t>
      </w:r>
    </w:p>
    <w:p>
      <w:pPr>
        <w:spacing w:after="0" w:line="76" w:lineRule="exact"/>
        <w:rPr>
          <w:sz w:val="20"/>
          <w:szCs w:val="20"/>
          <w:color w:val="auto"/>
        </w:rPr>
      </w:pPr>
    </w:p>
    <w:p>
      <w:pPr>
        <w:ind w:left="6" w:right="1020"/>
        <w:spacing w:after="0" w:line="269" w:lineRule="auto"/>
        <w:rPr>
          <w:sz w:val="20"/>
          <w:szCs w:val="20"/>
          <w:color w:val="auto"/>
        </w:rPr>
      </w:pPr>
      <w:r>
        <w:rPr>
          <w:rFonts w:ascii="Courier New" w:cs="Courier New" w:eastAsia="Courier New" w:hAnsi="Courier New"/>
          <w:sz w:val="15"/>
          <w:szCs w:val="15"/>
          <w:color w:val="auto"/>
        </w:rPr>
        <w:t>General and administrative expenses increased to $10,579 for fiscal 1998 from $8,489 for fiscal 1997, an increase of $2,090 or 25%. The increase over the prior comparable period resulted from increased administrative payroll and related costs for new personnel, and additional costs associated with the Company's future growth plans. As a percentage of revenues, general and administrative expenses decreased to 5.8% in fiscal year 1998 from 6.6% in fiscal year 1997.</w:t>
      </w:r>
    </w:p>
    <w:p>
      <w:pPr>
        <w:spacing w:after="0" w:line="200" w:lineRule="exact"/>
        <w:rPr>
          <w:sz w:val="20"/>
          <w:szCs w:val="20"/>
          <w:color w:val="auto"/>
        </w:rPr>
      </w:pPr>
    </w:p>
    <w:p>
      <w:pPr>
        <w:spacing w:after="0" w:line="22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5,634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(2,637)</w:t>
            </w:r>
          </w:p>
        </w:tc>
      </w:tr>
      <w:tr>
        <w:trPr>
          <w:trHeight w:val="176"/>
        </w:trPr>
        <w:tc>
          <w:tcPr>
            <w:tcW w:w="22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76,201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49,030</w:t>
            </w:r>
          </w:p>
        </w:tc>
      </w:tr>
      <w:tr>
        <w:trPr>
          <w:trHeight w:val="176"/>
        </w:trPr>
        <w:tc>
          <w:tcPr>
            <w:tcW w:w="22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9,986</w:t>
            </w:r>
          </w:p>
        </w:tc>
      </w:tr>
      <w:tr>
        <w:trPr>
          <w:trHeight w:val="257"/>
        </w:trPr>
        <w:tc>
          <w:tcPr>
            <w:tcW w:w="220" w:type="dxa"/>
            <w:vAlign w:val="bottom"/>
          </w:tcPr>
          <w:p>
            <w:pPr>
              <w:spacing w:after="0"/>
              <w:rPr>
                <w:sz w:val="22"/>
                <w:szCs w:val="22"/>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69,008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220" w:type="dxa"/>
            <w:vAlign w:val="bottom"/>
          </w:tcPr>
          <w:p>
            <w:pPr>
              <w:spacing w:after="0"/>
              <w:rPr>
                <w:sz w:val="24"/>
                <w:szCs w:val="24"/>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bl>
    <w:p>
      <w:pPr>
        <w:sectPr>
          <w:pgSz w:w="11900" w:h="16838" w:orient="portrait"/>
          <w:cols w:equalWidth="0" w:num="2">
            <w:col w:w="8066" w:space="460"/>
            <w:col w:w="2380"/>
          </w:cols>
          <w:pgMar w:left="234" w:top="266" w:right="75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Depreciation and amortization expense increased to $12,163 for fiscal 1998 from $8,470 for fiscal 1997, an increase of $3,693 or 44%. As a percentage of revenues, depreciation and amortization increased to 6.7% from 6.6% for the comparable prior period. The increase was attributable to new Stores opened in fiscal 1998 and in fiscal 1997.</w:t>
      </w:r>
    </w:p>
    <w:p>
      <w:pPr>
        <w:spacing w:after="0" w:line="69"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Preopening cost amortization increased to $4,539 for fiscal 1998 from $3,246 for fiscal 1997, an increase of $1,293 or 40%. As a percentage of revenues, preopening cost amortization was 2.5% for both fiscal 1998 and 1997.</w:t>
      </w:r>
    </w:p>
    <w:p>
      <w:pPr>
        <w:spacing w:after="0" w:line="46"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Through January 31, 1999, the Company deferred its restaurant preopening costs and amortized them over the twelve-month period following the opening of each respective Complex. In April 1998, the Accounting Standards Executive Committee of the American Institute of Certified Public Accountants issued a Statement of Position (SOP) 98-5, "Reporting on the Costs of Start-Up Activities." SOP 98-5 requires entities to expense, as incurred, all start-up and preopening costs that are not otherwise capitalizable as long-lived assets. SOP 98-5 is effective for fiscal years beginning after December 15, 1998, although earlier adoption is encouraged. Restatement of previously issued financial statements is not permitted by SOP 98-5, and entities are not required to report the pro forma effects of the retroactive application of the new accounting standard. The Company's adoption of the expense-as-incurred accounting principle required by SOP 98-5 will involve the recognition of the cumulative effect of the change in accounting principle required by SOP 98-5 as a one-time charge against earnings, net of any related income tax benefit in the first quarter of fiscal 1999 in the amount of $4,441 or $.34 per diluted share.</w:t>
      </w:r>
    </w:p>
    <w:p>
      <w:pPr>
        <w:spacing w:after="0" w:line="84"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As has been the case with the Company's current method of deferring preopening costs, preopening expense comparisons under the new expense-as-incurred standard will continue to vary from period to period, depending on the number and timing of Complex openings and the specific preopening expenses incurred for each Complex during each period being compared. Based on the Company's current expansion plans, the Company believes total preopening expenses for fiscal 1999 under either accounting principle (deferred or expense-as-incurred) will likely exceed the respective amount for each immediate prior year. However, the new expense-as-incurred accounting principle required by SOP 98-5 will, by definition, cause an accelerated recognition of preopening expenses. The impact of this accelerated recognition on the Company's results of operations for any given period could be significant, depending on the number of Complexes opened during that period.</w:t>
      </w:r>
    </w:p>
    <w:p>
      <w:pPr>
        <w:spacing w:after="0" w:line="83"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Interest income for fiscal 1998 was $194 versus an interest expense of $179 for fiscal 1997. The increase was primarily due to higher average debt in 1997 versus 1998.</w:t>
      </w:r>
    </w:p>
    <w:p>
      <w:pPr>
        <w:spacing w:after="0" w:line="46" w:lineRule="exact"/>
        <w:rPr>
          <w:sz w:val="20"/>
          <w:szCs w:val="20"/>
          <w:color w:val="auto"/>
        </w:rPr>
      </w:pPr>
    </w:p>
    <w:p>
      <w:pPr>
        <w:ind w:right="3079"/>
        <w:spacing w:after="0" w:line="372" w:lineRule="auto"/>
        <w:rPr>
          <w:sz w:val="20"/>
          <w:szCs w:val="20"/>
          <w:color w:val="auto"/>
        </w:rPr>
      </w:pPr>
      <w:r>
        <w:rPr>
          <w:rFonts w:ascii="Courier New" w:cs="Courier New" w:eastAsia="Courier New" w:hAnsi="Courier New"/>
          <w:sz w:val="15"/>
          <w:szCs w:val="15"/>
          <w:color w:val="auto"/>
        </w:rPr>
        <w:t>The effective tax rate for fiscal year 1998 was 37.0% as compared to 37.8% for fiscal year 1997, and the result of a lower effective state tax rate.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1997 COMPARED TO FISCAL 1996</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Total revenues increased to $128,504 for fiscal 1997 from $88,775 for fiscal 1996, an increase of $39,729 or 45%. New Stores opened in fiscal 1997 (Ontario, California; Cincinnati, Ohio; and Denver, Colorado) and in fiscal 1996 (Hollywood, Florida and North Bethesda, Maryland) accounted for 88% of the increase. Increased revenues at comparable Stores increased 10% for fiscal 1997. Increases in revenues were also attributable to a higher average guest check and the addition of the Power Card. Total revenues for fiscal 1997 from the Bass licensing agreement were $251. Food and beverage revenues, as a percentage of total revenues, have decreased in comparison to prior year levels as a result of higher percentage of floor space</w:t>
      </w:r>
    </w:p>
    <w:p>
      <w:pPr>
        <w:spacing w:after="0" w:line="2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devoted to entertainment activities within the Company's new Stores; the national trend towards lower alcoholic beverage consumption; and the addition of the Power Card.</w:t>
      </w:r>
    </w:p>
    <w:p>
      <w:pPr>
        <w:spacing w:after="0" w:line="46"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Cost of revenues increased to $24,795 for fiscal 1997 from $18,003 for fiscal 1996, an increase of $6,792 or 38%. The increase was principally attributable to the 45% increase in revenues. As a percentage of revenues, cost of revenues decreased to 19.3% in fiscal 1997 from 20.3% in fiscal 1996 due to lower food, beverage, and amusement costs. The shift in revenue mix from food and beverage to the higher margin amusement revenues also attributed to the decrease.</w:t>
      </w:r>
    </w:p>
    <w:p>
      <w:pPr>
        <w:spacing w:after="0" w:line="74"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Operating payroll and benefits increased to $36,227 for fiscal 1997 from $25,483 for fiscal 1996, an increase of $10,744 or 42%. As a percentage of revenue, operating payroll and benefits decreased to 28.2% in fiscal 1997 from 28.7% in fiscal 1996 due to cost reductions in variable labor and leverage from increased revenues offset partially by higher fixed labor and employee benefits costs.</w:t>
      </w:r>
    </w:p>
    <w:p>
      <w:pPr>
        <w:spacing w:after="0" w:line="69"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Other restaurant operating expenses increased to $32,787 for fiscal 1997 from $20,582 for fiscal 1996, an increase of $12,205 or 59%. As a percentage of revenues, other restaurant operating expenses were 25.5% of revenues in fiscal 1997 as compared to 23.2% of revenues in fiscal 1996. Other restaurant operating expenses were higher due to increased operating expenses at the Stores and higher occupancy costs associated with new Stores opened in fiscal 1997 and in fiscal 1996.</w:t>
      </w:r>
    </w:p>
    <w:p>
      <w:pPr>
        <w:spacing w:after="0" w:line="76"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5"/>
          <w:szCs w:val="15"/>
          <w:color w:val="auto"/>
        </w:rPr>
        <w:t>General and administrative expenses increased to $8,489 for fiscal 1997 from $5,734 for fiscal 1996, an increase of $2,755 or 48%. The increase over the prior comparable period resulted from increased administrative payroll and related costs for new personnel, and additional costs associated with the Company's future growth plans. As a percentage of revenues, general and administrative expenses increased to 6.6% in fiscal year 1997 from 6.4% in fiscal year 1996.</w:t>
      </w:r>
    </w:p>
    <w:p>
      <w:pPr>
        <w:spacing w:after="0" w:line="76"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Depreciation and amortization expense increased to $8,470 for fiscal 1997 from $5,647 for fiscal 1996, an increase of $2,823 or 50%. As a percentage of revenues, depreciation and amortization increased to 6.6% from 6.4% for the comparable prior period. The increase was attributable to new Stores opened in fiscal 1997 and in fiscal 1996. Power Card installations completed in the fourth quarter of 1996 and the first quarter of 1997 also contributed to this increase.</w:t>
      </w:r>
    </w:p>
    <w:p>
      <w:pPr>
        <w:spacing w:after="0" w:line="74"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Preopening cost amortization increased to $3,246 for fiscal 1997 from $2,605 for fiscal 1996, an increase of $641 or 25%. As a percentage of revenues, preopening cost amortization decreased to 2.5% compared to 2.9% for the comparable prior period. The percentage decrease is attributable to the leverage from increased revenues.</w:t>
      </w:r>
    </w:p>
    <w:p>
      <w:pPr>
        <w:spacing w:after="0" w:line="69" w:lineRule="exact"/>
        <w:rPr>
          <w:sz w:val="20"/>
          <w:szCs w:val="20"/>
          <w:color w:val="auto"/>
        </w:rPr>
      </w:pPr>
    </w:p>
    <w:p>
      <w:pPr>
        <w:ind w:right="3079"/>
        <w:spacing w:after="0" w:line="372" w:lineRule="auto"/>
        <w:rPr>
          <w:sz w:val="20"/>
          <w:szCs w:val="20"/>
          <w:color w:val="auto"/>
        </w:rPr>
      </w:pPr>
      <w:r>
        <w:rPr>
          <w:rFonts w:ascii="Courier New" w:cs="Courier New" w:eastAsia="Courier New" w:hAnsi="Courier New"/>
          <w:sz w:val="15"/>
          <w:szCs w:val="15"/>
          <w:color w:val="auto"/>
        </w:rPr>
        <w:t>Interest expense for fiscal 1997 was $179 versus $38 for fiscal 1996. The increase was primarily due to higher average debt volumes in 1997 versus 1996.</w:t>
      </w:r>
    </w:p>
    <w:p>
      <w:pPr>
        <w:spacing w:after="0" w:line="2" w:lineRule="exact"/>
        <w:rPr>
          <w:sz w:val="20"/>
          <w:szCs w:val="20"/>
          <w:color w:val="auto"/>
        </w:rPr>
      </w:pPr>
    </w:p>
    <w:p>
      <w:pPr>
        <w:ind w:right="3079"/>
        <w:spacing w:after="0" w:line="372" w:lineRule="auto"/>
        <w:rPr>
          <w:sz w:val="20"/>
          <w:szCs w:val="20"/>
          <w:color w:val="auto"/>
        </w:rPr>
      </w:pPr>
      <w:r>
        <w:rPr>
          <w:rFonts w:ascii="Courier New" w:cs="Courier New" w:eastAsia="Courier New" w:hAnsi="Courier New"/>
          <w:sz w:val="15"/>
          <w:szCs w:val="15"/>
          <w:color w:val="auto"/>
        </w:rPr>
        <w:t>The effective tax rate for fiscal year 1997 was 37.8% as compared to 40.7% for fiscal year 1996, and the result of a lower effective state tax rate.</w:t>
      </w:r>
    </w:p>
    <w:p>
      <w:pPr>
        <w:spacing w:after="0" w:line="35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Cash flows from operations increased to $28,246 for fiscal 1998 from $15,716 for fiscal 1997. The increase was attributable to new Stores opened in fiscal 1998 and in fiscal 1997.</w:t>
      </w:r>
    </w:p>
    <w:p>
      <w:pPr>
        <w:spacing w:after="0" w:line="46"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Company has a secured revolving line of credit which permits borrowing up to a maximum of $100,000. Borrowings under this facility bear interest at a floating rate based on the London Interbank Offered Rate ("LIBOR") or, at the Company's option, the bank's prime rate plus in each case a margin based upon financial performance (7.3% at January 31, 1999) and is secured by all capital stock or equity interest in the stock of the Company and its subsidiaries. The facility, which matures in May 2001, has certain financial covenants including a minimum consolidated tangible net worth level, a maximum leverage ratio, minimum fixed charge coverage, and maximum level of capital expenditures on new Stores. At January 31, 1999, $57,100 was available under this facility.</w:t>
      </w:r>
    </w:p>
    <w:p>
      <w:pPr>
        <w:spacing w:after="0" w:line="83"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Company has entered into an agreement that expires in 1999, to fix its variable-rate debt to fixed-rate debt (6.75% at January 31, 1999) on notional amounts aggregating $35,000. The market risks associated with the agreements are mitigated because increased interest payments under the agreement resulting from a decrease in LIBOR are effectively offset by decreased payments under the debt obligation. The Company is exposed to credit losses for periodic settlements of amounts due under the agreements. Such amounts were not material at January 31, 1999.</w:t>
      </w:r>
    </w:p>
    <w:p>
      <w:pPr>
        <w:spacing w:after="0" w:line="79" w:lineRule="exact"/>
        <w:rPr>
          <w:sz w:val="20"/>
          <w:szCs w:val="20"/>
          <w:color w:val="auto"/>
        </w:rPr>
      </w:pPr>
    </w:p>
    <w:p>
      <w:pPr>
        <w:ind w:right="3079"/>
        <w:spacing w:after="0" w:line="279" w:lineRule="auto"/>
        <w:rPr>
          <w:sz w:val="20"/>
          <w:szCs w:val="20"/>
          <w:color w:val="auto"/>
        </w:rPr>
      </w:pPr>
      <w:r>
        <w:rPr>
          <w:rFonts w:ascii="Courier New" w:cs="Courier New" w:eastAsia="Courier New" w:hAnsi="Courier New"/>
          <w:sz w:val="15"/>
          <w:szCs w:val="15"/>
          <w:color w:val="auto"/>
        </w:rPr>
        <w:t>The Company's plan is to open six and seven complexes in fiscal 1999 and 2000, respectively. The Company estimates that its capital expenditures will be approximately $68,000 and $69,000 for 1999 and 2000, respectively. The Company intends to finance this development with cash flow from operations and the senior revolving credit facility.</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FLUCTUATIONS, SEASONALITY, AND INFLATION</w:t>
      </w:r>
    </w:p>
    <w:p>
      <w:pPr>
        <w:spacing w:after="0" w:line="182" w:lineRule="exact"/>
        <w:rPr>
          <w:sz w:val="20"/>
          <w:szCs w:val="20"/>
          <w:color w:val="auto"/>
        </w:rPr>
      </w:pPr>
    </w:p>
    <w:p>
      <w:pPr>
        <w:ind w:right="2979"/>
        <w:spacing w:after="0" w:line="262" w:lineRule="auto"/>
        <w:rPr>
          <w:sz w:val="20"/>
          <w:szCs w:val="20"/>
          <w:color w:val="auto"/>
        </w:rPr>
      </w:pPr>
      <w:r>
        <w:rPr>
          <w:rFonts w:ascii="Courier New" w:cs="Courier New" w:eastAsia="Courier New" w:hAnsi="Courier New"/>
          <w:sz w:val="15"/>
          <w:szCs w:val="15"/>
          <w:color w:val="auto"/>
        </w:rPr>
        <w:t>As a result of the substantial revenues associated with each new Complex, the timing of new Complex openings will result in significant fluctuations in quarterly results. The Company expects seasonality to be a factor in the operation or results of its business in the future due to expected lower third quarter revenues due to the fall season, and expects higher fourth quarter revenues associated with the year-end holidays. The effects of supplier price increases have not been material. The Company believes low inflation rates in its market areas have contributed to stable food and labor costs in recent years. However, there is no assurance that low inflation rates will continue or that the Federal minimum wage rate will not increase.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YEAR 2000 ISSUE</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Year 2000 issues arose because many computer systems and software applications as well as embedded computer chips in equipment currently in use were constructed using an abbreviated date field that eliminates the first two digits of the year. On January 1, 2000, these systems, applications and embedded computer chips may incorrectly recognize the date as January 1, 1900. Accordingly, many computer systems and software applications, as well as embedded computer chips, may incorrectly process financial and operating information or fail to process such information completely. The Company recognized this problem and is addressing its potential effects on its computer systems, software applications and equipment.</w:t>
      </w: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right="3179"/>
        <w:spacing w:after="0" w:line="269" w:lineRule="auto"/>
        <w:rPr>
          <w:sz w:val="20"/>
          <w:szCs w:val="20"/>
          <w:color w:val="auto"/>
        </w:rPr>
      </w:pPr>
      <w:r>
        <w:rPr>
          <w:rFonts w:ascii="Courier New" w:cs="Courier New" w:eastAsia="Courier New" w:hAnsi="Courier New"/>
          <w:sz w:val="15"/>
          <w:szCs w:val="15"/>
          <w:color w:val="auto"/>
        </w:rPr>
        <w:t>In December 1996, the Company established a Year 2000 initiative managed by a team of internal staff that is being headed by an officer of the Company. The mission of the initiative is to ensure that all critical systems, facilities, and processes are identified, analyzed for Year 2000 compliance, corrected if necessary, and tested if changes are necessary. The Company has a Year 2000 strategy in place and has begun the implementation of the Year 2000 plan to manage and minimize risks associated with the Year 2000 issues.</w:t>
      </w:r>
    </w:p>
    <w:p>
      <w:pPr>
        <w:spacing w:after="0" w:line="76"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The Company has contracted with an independent consulting firm who specializes in such matters to assess the risks posed for the Company by the Year 2000 issues, including an assessment of its risks in every area involving the use of computer technology and an assessment of the business and legal risks created for the Company by the Year 2000 issues.</w:t>
      </w:r>
    </w:p>
    <w:p>
      <w:pPr>
        <w:spacing w:after="0" w:line="69"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With respect to information technology (IT) systems, the Company has conducted an inventory of and is evaluating and reviewing its application software on all platforms such as the local area network and personal computers. Concerning non-IT systems, including embedded technology, the Company has conducted an inventory of and is reviewing and evaluating all of its telecommunications, security access and building central systems.</w:t>
      </w:r>
    </w:p>
    <w:p>
      <w:pPr>
        <w:spacing w:after="0" w:line="74" w:lineRule="exact"/>
        <w:rPr>
          <w:sz w:val="20"/>
          <w:szCs w:val="20"/>
          <w:color w:val="auto"/>
        </w:rPr>
      </w:pPr>
    </w:p>
    <w:p>
      <w:pPr>
        <w:ind w:right="3079"/>
        <w:spacing w:after="0" w:line="310" w:lineRule="auto"/>
        <w:rPr>
          <w:sz w:val="20"/>
          <w:szCs w:val="20"/>
          <w:color w:val="auto"/>
        </w:rPr>
      </w:pPr>
      <w:r>
        <w:rPr>
          <w:rFonts w:ascii="Courier New" w:cs="Courier New" w:eastAsia="Courier New" w:hAnsi="Courier New"/>
          <w:sz w:val="15"/>
          <w:szCs w:val="15"/>
          <w:color w:val="auto"/>
        </w:rPr>
        <w:t>The Company's Year 2000 plan includes specific timetables for the following categories of tasks with respect to both IT systems and embedded technology as follows: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of Year 2000 issues - substantially completed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Prioritization of Year 2000 issues - substantially completed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Estimation of total Year 2000-related costs - $3,500</w:t>
      </w:r>
    </w:p>
    <w:p>
      <w:pPr>
        <w:spacing w:after="0" w:line="182" w:lineRule="exact"/>
        <w:rPr>
          <w:sz w:val="20"/>
          <w:szCs w:val="20"/>
          <w:color w:val="auto"/>
        </w:rPr>
      </w:pPr>
    </w:p>
    <w:p>
      <w:pPr>
        <w:ind w:right="3539"/>
        <w:spacing w:after="0" w:line="372" w:lineRule="auto"/>
        <w:rPr>
          <w:sz w:val="20"/>
          <w:szCs w:val="20"/>
          <w:color w:val="auto"/>
        </w:rPr>
      </w:pPr>
      <w:r>
        <w:rPr>
          <w:rFonts w:ascii="Courier New" w:cs="Courier New" w:eastAsia="Courier New" w:hAnsi="Courier New"/>
          <w:sz w:val="15"/>
          <w:szCs w:val="15"/>
          <w:color w:val="auto"/>
        </w:rPr>
        <w:t>Implementation of Year 2000 solutions - in process and to be completed by August 31,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Testing of Year 2000 solutions - in process and to be completed by May 1, 1999</w:t>
      </w:r>
    </w:p>
    <w:p>
      <w:pPr>
        <w:spacing w:after="0" w:line="182" w:lineRule="exact"/>
        <w:rPr>
          <w:sz w:val="20"/>
          <w:szCs w:val="20"/>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Monitoring of all systems for changes in current systems that would require changes in Year 2000 plan - in process and to be completed by September 30, 1999</w:t>
      </w:r>
    </w:p>
    <w:p>
      <w:pPr>
        <w:spacing w:after="0" w:line="2" w:lineRule="exact"/>
        <w:rPr>
          <w:sz w:val="20"/>
          <w:szCs w:val="20"/>
          <w:color w:val="auto"/>
        </w:rPr>
      </w:pPr>
    </w:p>
    <w:p>
      <w:pPr>
        <w:ind w:right="3079"/>
        <w:spacing w:after="0" w:line="372" w:lineRule="auto"/>
        <w:rPr>
          <w:sz w:val="20"/>
          <w:szCs w:val="20"/>
          <w:color w:val="auto"/>
        </w:rPr>
      </w:pPr>
      <w:r>
        <w:rPr>
          <w:rFonts w:ascii="Courier New" w:cs="Courier New" w:eastAsia="Courier New" w:hAnsi="Courier New"/>
          <w:sz w:val="15"/>
          <w:szCs w:val="15"/>
          <w:color w:val="auto"/>
        </w:rPr>
        <w:t>Development of Year 2000 contingency plans - in process and to be completed by June 30,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Year 2000 tests - to be conducted starting September 30, 1999</w:t>
      </w:r>
    </w:p>
    <w:p>
      <w:pPr>
        <w:spacing w:after="0" w:line="359" w:lineRule="exact"/>
        <w:rPr>
          <w:sz w:val="20"/>
          <w:szCs w:val="20"/>
          <w:color w:val="auto"/>
        </w:rPr>
      </w:pPr>
    </w:p>
    <w:p>
      <w:pPr>
        <w:jc w:val="both"/>
        <w:ind w:right="3619"/>
        <w:spacing w:after="0" w:line="310" w:lineRule="auto"/>
        <w:rPr>
          <w:sz w:val="20"/>
          <w:szCs w:val="20"/>
          <w:color w:val="auto"/>
        </w:rPr>
      </w:pPr>
      <w:r>
        <w:rPr>
          <w:rFonts w:ascii="Courier New" w:cs="Courier New" w:eastAsia="Courier New" w:hAnsi="Courier New"/>
          <w:sz w:val="15"/>
          <w:szCs w:val="15"/>
          <w:color w:val="auto"/>
        </w:rPr>
        <w:t>The Company has contacted vendors who provide mission critical goods and services to submit to the Company their compliance plans and to certify compliance in order continue to do business with the Company.</w:t>
      </w:r>
    </w:p>
    <w:p>
      <w:pPr>
        <w:spacing w:after="0" w:line="46"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As of January 31, 1999, the Company had incurred $2,200 in software costs, fees and expenses in connection with its Year 2000 efforts. The Company currently expects to spend $1,300 directly on Year 2000 efforts by January 30, 2000.</w:t>
      </w:r>
    </w:p>
    <w:p>
      <w:pPr>
        <w:spacing w:after="0" w:line="46" w:lineRule="exact"/>
        <w:rPr>
          <w:sz w:val="20"/>
          <w:szCs w:val="20"/>
          <w:color w:val="auto"/>
        </w:rPr>
      </w:pPr>
    </w:p>
    <w:p>
      <w:pPr>
        <w:ind w:right="3079"/>
        <w:spacing w:after="0" w:line="279" w:lineRule="auto"/>
        <w:rPr>
          <w:sz w:val="20"/>
          <w:szCs w:val="20"/>
          <w:color w:val="auto"/>
        </w:rPr>
      </w:pPr>
      <w:r>
        <w:rPr>
          <w:rFonts w:ascii="Courier New" w:cs="Courier New" w:eastAsia="Courier New" w:hAnsi="Courier New"/>
          <w:sz w:val="15"/>
          <w:szCs w:val="15"/>
          <w:color w:val="auto"/>
        </w:rPr>
        <w:t>The Company believes its most significant worst case Year 2000 scenarios are interference with its point of sale system and its inability to operate its amusement games. In order to mitigate these risks, the Company is developing a contingency plan to continue operations through manual intervention and other procedures should it become necessary to do so.</w:t>
      </w:r>
    </w:p>
    <w:p>
      <w:pPr>
        <w:spacing w:after="0" w:line="69"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Despite the Company's efforts, there can be no assurance that all material risks associated with Year 2000 issues relating to systems within its control will have been adequately identified and corrected before the end of 1999. However as the result of its Year 2000 plan and the replacement of the accounting and</w:t>
      </w:r>
    </w:p>
    <w:p>
      <w:pPr>
        <w:spacing w:after="0" w:line="23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financial reporting system in 1999 and the human resource and payroll systems in 1998, the Company does not believe that in the aggregate Year 2000 issues with respect to both its own IT and non-IT systems will be material to its business, operations or financial condition.</w:t>
      </w:r>
    </w:p>
    <w:p>
      <w:pPr>
        <w:spacing w:after="0" w:line="200" w:lineRule="exact"/>
        <w:rPr>
          <w:sz w:val="20"/>
          <w:szCs w:val="20"/>
          <w:color w:val="auto"/>
        </w:rPr>
      </w:pPr>
    </w:p>
    <w:p>
      <w:pPr>
        <w:spacing w:after="0" w:line="215" w:lineRule="exact"/>
        <w:rPr>
          <w:sz w:val="20"/>
          <w:szCs w:val="20"/>
          <w:color w:val="auto"/>
        </w:rPr>
      </w:pPr>
    </w:p>
    <w:p>
      <w:pPr>
        <w:ind w:right="3819"/>
        <w:spacing w:after="0" w:line="372"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w:t>
      </w:r>
    </w:p>
    <w:p>
      <w:pPr>
        <w:spacing w:after="0" w:line="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Certain statements in this Annual Report constitute "forward-looking statements" within the meaning of the Private Securities Litigation Reform Act of 1995. Such forward-looking statements involve known and unknown risks, uncertainties, and other factors which may cause the actual results, performance, or achievements of Dave &amp; Buster's, Inc. to be materially different from any future results, performance, or achievements expressed or implied by such forward-looking statements. Such factors include, among others, the following: general economic and business conditions; competition; availability, locations and terms of sites for complex development; quality of management; changes in, or the failure to comply with, government regulations; and other risks indicated in this filing.</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8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The Company's market risk exposure relates to changes in the general level of interest rates. To mitigate the impact of fluctuations in interest rates, the Company has entered into an agreement that expires in 1999 to fix $35,000 of its variable-rate debt to fixed-rate debt at 6.75% at January 31, 1999. The Company does not enter into contracts for speculative purposes.</w:t>
      </w:r>
    </w:p>
    <w:p>
      <w:pPr>
        <w:spacing w:after="0" w:line="69" w:lineRule="exact"/>
        <w:rPr>
          <w:sz w:val="20"/>
          <w:szCs w:val="20"/>
          <w:color w:val="auto"/>
        </w:rPr>
      </w:pPr>
    </w:p>
    <w:p>
      <w:pPr>
        <w:ind w:right="3079"/>
        <w:spacing w:after="0" w:line="269" w:lineRule="auto"/>
        <w:rPr>
          <w:sz w:val="20"/>
          <w:szCs w:val="20"/>
          <w:color w:val="auto"/>
        </w:rPr>
      </w:pPr>
      <w:r>
        <w:rPr>
          <w:rFonts w:ascii="Courier New" w:cs="Courier New" w:eastAsia="Courier New" w:hAnsi="Courier New"/>
          <w:sz w:val="15"/>
          <w:szCs w:val="15"/>
          <w:color w:val="auto"/>
        </w:rPr>
        <w:t>The Company's earnings are affected by changes in interest rates due to the impact those changes have on its interest expense from variable-rate debt. If interest rates increased 10% from the floating rates as of January 31, 1999, interest expense for the year ended January 30, 2000 would increase by approximately $147. This amount is determined by considering the impact of hypothetical rates on the Company's variable-rate debt as of January 31, 1999, adjusted for known cash commitments during 2000.</w:t>
      </w:r>
    </w:p>
    <w:p>
      <w:pPr>
        <w:spacing w:after="0" w:line="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See Item 14 (a) (1).</w:t>
      </w:r>
    </w:p>
    <w:p>
      <w:pPr>
        <w:spacing w:after="0" w:line="182" w:lineRule="exact"/>
        <w:rPr>
          <w:sz w:val="20"/>
          <w:szCs w:val="20"/>
          <w:color w:val="auto"/>
        </w:rPr>
      </w:pPr>
    </w:p>
    <w:p>
      <w:pPr>
        <w:ind w:left="820" w:right="3619" w:hanging="823"/>
        <w:spacing w:after="0" w:line="372" w:lineRule="auto"/>
        <w:tabs>
          <w:tab w:leader="none" w:pos="80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III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2"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A brief description of each executive officer of the Company is provided below. All officers serve at the discretion of the Board of Directors, except as provided below. The information set under the caption "Directors and Executive Officers" in the Company's Proxy statement dated May 10, 1999, for the annual meeting of stockholders on June 15, 1999 is incorporated herein by reference.</w:t>
      </w:r>
    </w:p>
    <w:p>
      <w:pPr>
        <w:spacing w:after="0" w:line="69"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Mr. David O. Corriveau, 47, a co-founder of the Dave &amp; Buster's concept in 1982, has served as Co-Chief Executive Officer and President since June 1995, and as a director of the Company since May 1995 and as Co-Chairman of the Board since February 1996. Mr. Corriveau served as President and Chief Executive Officer of D&amp;B Holding (a predecessor of the Company) from 1989 through June 1995. From 1982 to 1989, Messrs. Corriveau and Corley operated the Company's business.</w:t>
      </w:r>
    </w:p>
    <w:p>
      <w:pPr>
        <w:spacing w:after="0" w:line="74"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Mr. James W. Corley, 47, a co-founder of the Dave &amp; Buster's concept in 1982, has served as Co-Chief Executive Officer and Chief Operating Officer since June 1995, and as a director of the Company since May 1995 and as Co-Chairman of the Board since February 1996. Mr. Corley served as Executive Vice President and Chief Operating Officer of D&amp;B Holding from 1989 through June 1995. From 1982 to 1989, Messrs. Corley and Corriveau operated the Company's business.</w:t>
      </w:r>
    </w:p>
    <w:p>
      <w:pPr>
        <w:spacing w:after="0" w:line="74" w:lineRule="exact"/>
        <w:rPr>
          <w:sz w:val="20"/>
          <w:szCs w:val="20"/>
          <w:color w:val="auto"/>
        </w:rPr>
      </w:pPr>
    </w:p>
    <w:p>
      <w:pPr>
        <w:ind w:right="3079"/>
        <w:spacing w:after="0" w:line="279" w:lineRule="auto"/>
        <w:rPr>
          <w:sz w:val="20"/>
          <w:szCs w:val="20"/>
          <w:color w:val="auto"/>
        </w:rPr>
      </w:pPr>
      <w:r>
        <w:rPr>
          <w:rFonts w:ascii="Courier New" w:cs="Courier New" w:eastAsia="Courier New" w:hAnsi="Courier New"/>
          <w:sz w:val="15"/>
          <w:szCs w:val="15"/>
          <w:color w:val="auto"/>
        </w:rPr>
        <w:t>Mr. Barry N. Carter, 51, has served as Vice President of Store Support since June 1995 and as Vice President and Director of Store Support of D&amp;B Holding from November 1994 to June 1995. From 1982 to November 1994, he served in operating positions of increasing responsibilities for the Company and its predecessors.</w:t>
      </w:r>
    </w:p>
    <w:p>
      <w:pPr>
        <w:spacing w:after="0" w:line="69"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Ms. Nancy J.Duricic, 44, has served as Vice President of Human Resources since December 1997. From June 1989 to June 1997, she served in human resources positions of increasing responsibilities, most recently as Vice President of Human Resources for Eljer Resources, Inc. From 1986 to June 1989, Ms. Duricic served in operating and human resources positions for ClubCorp International, Inc.</w:t>
      </w:r>
    </w:p>
    <w:p>
      <w:pPr>
        <w:spacing w:after="0" w:line="74"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Mr. Cory J. Haynes, 38, has served as Vice President of Beverage Operations since May 1998, and as Vice President, Assistant Director of Operations from September 1996 to May 1998. From January 1996 to September 1996, he served as Corporate Director of Management and Development. From 1982 to January 1996, he served in operating positions of increasing responsibilities for the Company and its predecessors.</w:t>
      </w:r>
    </w:p>
    <w:p>
      <w:pPr>
        <w:spacing w:after="0" w:line="74"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Mr. Charles Michel, 45, has served as Vice President and Chief Financial Officer since February 1996, as Chief Financial Officer of the Company since June 1995 and as Chief Financial Officer of D&amp;B Holding from November 1994 to June 1995. From 1992 to October 1994, Mr. Michel served as Vice President and Chief Financial Officer of Sfuzzi, Inc., a restaurant chain based in Dallas, Texas. Mr. Michel was with the accounting firm of KPMG Peat Marwick from 1976 to 1992, becoming a partner of such firm in 1986.</w:t>
      </w:r>
    </w:p>
    <w:p>
      <w:pPr>
        <w:spacing w:after="0" w:line="76" w:lineRule="exact"/>
        <w:rPr>
          <w:sz w:val="20"/>
          <w:szCs w:val="20"/>
          <w:color w:val="auto"/>
        </w:rPr>
      </w:pPr>
    </w:p>
    <w:p>
      <w:pPr>
        <w:jc w:val="both"/>
        <w:ind w:right="3079"/>
        <w:spacing w:after="0" w:line="310" w:lineRule="auto"/>
        <w:rPr>
          <w:sz w:val="20"/>
          <w:szCs w:val="20"/>
          <w:color w:val="auto"/>
        </w:rPr>
      </w:pPr>
      <w:r>
        <w:rPr>
          <w:rFonts w:ascii="Courier New" w:cs="Courier New" w:eastAsia="Courier New" w:hAnsi="Courier New"/>
          <w:sz w:val="15"/>
          <w:szCs w:val="15"/>
          <w:color w:val="auto"/>
        </w:rPr>
        <w:t>Mr. Reginald M. Moultrie, 43, has served as Vice President of Amusements since January 1999, as Vice President of Games and Merchandising from April 1998 to January 1999, and as Director of Amusements</w:t>
      </w:r>
    </w:p>
    <w:p>
      <w:pPr>
        <w:spacing w:after="0" w:line="22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from February 1997 to April 1998. Mr. Moultrie served as Vice President of Sales for Skeeball, Inc. from 1993 to 1997.</w:t>
      </w:r>
    </w:p>
    <w:p>
      <w:pPr>
        <w:spacing w:after="0" w:line="2"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Mr. Alan L. Murray, 53, has served as Vice President, General Counsel and Secretary since February 1996 and as Secretary and Director of Legal and Administration since June 1995. Mr. Murray served as Director of Legal and Administration of D&amp;B Holding from November 1994 until June 1995. Mr. Murray served as Vice President, Secretary, and General Counsel of Phillips Colleges, Inc. from 1988 through 1994.</w:t>
      </w:r>
    </w:p>
    <w:p>
      <w:pPr>
        <w:spacing w:after="0" w:line="74"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Mr. James M. Newberry, 43, has served as Vice President of Training since December 1997. From February 1997 to November 1997, he served as Vice President of Training for Einstein Bros. Bagels. Mr. Newberry served as Vice President of Show Biz Pizza Time, Inc. (d/b/a Chuck E. Cheese's Pizza) in the disciplines of Training, Recruitment, Entertainment, New Concepts and Product Licensing from September 1990 to February 1997.</w:t>
      </w:r>
    </w:p>
    <w:p>
      <w:pPr>
        <w:spacing w:after="0" w:line="74" w:lineRule="exact"/>
        <w:rPr>
          <w:sz w:val="20"/>
          <w:szCs w:val="20"/>
          <w:color w:val="auto"/>
        </w:rPr>
      </w:pPr>
    </w:p>
    <w:p>
      <w:pPr>
        <w:jc w:val="both"/>
        <w:ind w:right="3179"/>
        <w:spacing w:after="0" w:line="289" w:lineRule="auto"/>
        <w:rPr>
          <w:sz w:val="20"/>
          <w:szCs w:val="20"/>
          <w:color w:val="auto"/>
        </w:rPr>
      </w:pPr>
      <w:r>
        <w:rPr>
          <w:rFonts w:ascii="Courier New" w:cs="Courier New" w:eastAsia="Courier New" w:hAnsi="Courier New"/>
          <w:sz w:val="15"/>
          <w:szCs w:val="15"/>
          <w:color w:val="auto"/>
        </w:rPr>
        <w:t>Mr. Dennis C. Paine, 51, has served as Vice President of Communications since September 1996. From November 1994 to September 1996 he served as Director of Communications. From 1983 to 1994, Mr. Paine was President of Dennis Paine &amp; Associates, an advertising firm based in Woodland Hills, California.</w:t>
      </w:r>
    </w:p>
    <w:p>
      <w:pPr>
        <w:spacing w:after="0" w:line="62" w:lineRule="exact"/>
        <w:rPr>
          <w:sz w:val="20"/>
          <w:szCs w:val="20"/>
          <w:color w:val="auto"/>
        </w:rPr>
      </w:pPr>
    </w:p>
    <w:p>
      <w:pPr>
        <w:ind w:right="2899"/>
        <w:spacing w:after="0" w:line="274" w:lineRule="auto"/>
        <w:rPr>
          <w:sz w:val="20"/>
          <w:szCs w:val="20"/>
          <w:color w:val="auto"/>
        </w:rPr>
      </w:pPr>
      <w:r>
        <w:rPr>
          <w:rFonts w:ascii="Courier New" w:cs="Courier New" w:eastAsia="Courier New" w:hAnsi="Courier New"/>
          <w:sz w:val="15"/>
          <w:szCs w:val="15"/>
          <w:color w:val="auto"/>
        </w:rPr>
        <w:t>Mr. J. Michael Plunkett, 48, has served as Vice President of Information Systems since November 1996, as Vice President, Director of Training from June 1995 until November 1996 and as Vice President and Director of Training of D&amp;B Holding from November 1994 to June 1995. From 1982 to November 1994, he served in operating positions of increasing responsibilities for the Company and its predecessors.</w:t>
      </w:r>
    </w:p>
    <w:p>
      <w:pPr>
        <w:spacing w:after="0" w:line="263"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Mr. Sterling R. Smith, 46, has served as Vice President of Operations since June 1995 and as Vice President and Director of Operations of D&amp;B Holding from November 1994 to June 1995. From 1983 to November 1996. Mr. Smith served in operating positions of increasing responsibilities for the Company and its predecessors.</w:t>
      </w:r>
    </w:p>
    <w:p>
      <w:pPr>
        <w:spacing w:after="0" w:line="69"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Mr. Bryan L. Spain, 51, has served as Vice President of Real Estate since March 1997. From 1993 until joining Dave &amp; Buster's, Mr. Spain managed the Real Estate Acquisition and Development Program for Incredible Universe and Computer City Divisions of Tandy Corporation. In addition, from 1991 to 1993, Mr. Spain served as Director Real Estate Financing for Tandy Corporation.</w:t>
      </w:r>
    </w:p>
    <w:p>
      <w:pPr>
        <w:spacing w:after="0" w:line="200" w:lineRule="exact"/>
        <w:rPr>
          <w:sz w:val="20"/>
          <w:szCs w:val="20"/>
          <w:color w:val="auto"/>
        </w:rPr>
      </w:pPr>
    </w:p>
    <w:p>
      <w:pPr>
        <w:spacing w:after="0" w:line="39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COMPENSATION INFORMATION.</w:t>
      </w:r>
    </w:p>
    <w:p>
      <w:pPr>
        <w:spacing w:after="0" w:line="182" w:lineRule="exact"/>
        <w:rPr>
          <w:sz w:val="20"/>
          <w:szCs w:val="20"/>
          <w:color w:val="auto"/>
        </w:rPr>
      </w:pPr>
    </w:p>
    <w:p>
      <w:pPr>
        <w:ind w:left="820" w:right="2979"/>
        <w:spacing w:after="0" w:line="289" w:lineRule="auto"/>
        <w:rPr>
          <w:sz w:val="20"/>
          <w:szCs w:val="20"/>
          <w:color w:val="auto"/>
        </w:rPr>
      </w:pPr>
      <w:r>
        <w:rPr>
          <w:rFonts w:ascii="Courier New" w:cs="Courier New" w:eastAsia="Courier New" w:hAnsi="Courier New"/>
          <w:sz w:val="15"/>
          <w:szCs w:val="15"/>
          <w:color w:val="auto"/>
        </w:rPr>
        <w:t>The information set under the caption "Directors and Executive Officers" in the Company's Proxy Statement dated May 10, 1999, for the annual meeting of stockholders on June 15, 1999 is incorporated herein by reference.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82" w:lineRule="exact"/>
        <w:rPr>
          <w:sz w:val="20"/>
          <w:szCs w:val="20"/>
          <w:color w:val="auto"/>
        </w:rPr>
      </w:pPr>
    </w:p>
    <w:p>
      <w:pPr>
        <w:ind w:left="820" w:right="2979"/>
        <w:spacing w:after="0" w:line="289" w:lineRule="auto"/>
        <w:rPr>
          <w:sz w:val="20"/>
          <w:szCs w:val="20"/>
          <w:color w:val="auto"/>
        </w:rPr>
      </w:pPr>
      <w:r>
        <w:rPr>
          <w:rFonts w:ascii="Courier New" w:cs="Courier New" w:eastAsia="Courier New" w:hAnsi="Courier New"/>
          <w:sz w:val="15"/>
          <w:szCs w:val="15"/>
          <w:color w:val="auto"/>
        </w:rPr>
        <w:t>The information set under the caption "Beneficial Ownership of Common Stock" in the Company's Proxy Statement dated May 10, 1999, for the annual meeting of stockholders on June 15, 1999 is incorporated herein by reference.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82" w:lineRule="exact"/>
        <w:rPr>
          <w:sz w:val="20"/>
          <w:szCs w:val="20"/>
          <w:color w:val="auto"/>
        </w:rPr>
      </w:pPr>
    </w:p>
    <w:p>
      <w:pPr>
        <w:ind w:left="820" w:right="2899"/>
        <w:spacing w:after="0" w:line="310" w:lineRule="auto"/>
        <w:rPr>
          <w:sz w:val="20"/>
          <w:szCs w:val="20"/>
          <w:color w:val="auto"/>
        </w:rPr>
      </w:pPr>
      <w:r>
        <w:rPr>
          <w:rFonts w:ascii="Courier New" w:cs="Courier New" w:eastAsia="Courier New" w:hAnsi="Courier New"/>
          <w:sz w:val="15"/>
          <w:szCs w:val="15"/>
          <w:color w:val="auto"/>
        </w:rPr>
        <w:t>The information set under the caption "Certain Transactions" in the Company's Proxy Statement dated May 10, 1999, for the annual meeting of stockholders on June 15, 1999 is incorporated herein by reference.</w:t>
      </w:r>
    </w:p>
    <w:p>
      <w:pPr>
        <w:spacing w:after="0" w:line="39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PART IV</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STATEMENTS AND REPORTS OF FORM 8-K.</w:t>
      </w:r>
    </w:p>
    <w:p>
      <w:pPr>
        <w:spacing w:after="0" w:line="182" w:lineRule="exact"/>
        <w:rPr>
          <w:sz w:val="20"/>
          <w:szCs w:val="20"/>
          <w:color w:val="auto"/>
        </w:rPr>
      </w:pPr>
    </w:p>
    <w:p>
      <w:pPr>
        <w:ind w:left="1640" w:hanging="822"/>
        <w:spacing w:after="0"/>
        <w:tabs>
          <w:tab w:leader="none" w:pos="1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Consolidated Balance Sheets -</w:t>
      </w:r>
    </w:p>
    <w:p>
      <w:pPr>
        <w:spacing w:after="0" w:line="3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January 31, 1999 and February 1, 1998</w:t>
      </w:r>
    </w:p>
    <w:p>
      <w:pPr>
        <w:spacing w:after="0" w:line="154"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Consolidated Statements of Income -</w:t>
      </w:r>
    </w:p>
    <w:p>
      <w:pPr>
        <w:spacing w:after="0" w:line="34" w:lineRule="exact"/>
        <w:rPr>
          <w:sz w:val="20"/>
          <w:szCs w:val="20"/>
          <w:color w:val="auto"/>
        </w:rPr>
      </w:pPr>
    </w:p>
    <w:p>
      <w:pPr>
        <w:ind w:left="1560" w:right="820"/>
        <w:spacing w:after="0" w:line="332" w:lineRule="auto"/>
        <w:rPr>
          <w:sz w:val="20"/>
          <w:szCs w:val="20"/>
          <w:color w:val="auto"/>
        </w:rPr>
      </w:pPr>
      <w:r>
        <w:rPr>
          <w:rFonts w:ascii="Courier New" w:cs="Courier New" w:eastAsia="Courier New" w:hAnsi="Courier New"/>
          <w:sz w:val="15"/>
          <w:szCs w:val="15"/>
          <w:color w:val="auto"/>
        </w:rPr>
        <w:t>Fiscal years ended January 31, 1999, February 1, 1998, and February 2, 1997</w:t>
      </w:r>
    </w:p>
    <w:p>
      <w:pPr>
        <w:spacing w:after="0" w:line="30" w:lineRule="exact"/>
        <w:rPr>
          <w:sz w:val="20"/>
          <w:szCs w:val="20"/>
          <w:color w:val="auto"/>
        </w:rPr>
      </w:pPr>
    </w:p>
    <w:p>
      <w:pPr>
        <w:ind w:left="1560" w:hanging="274"/>
        <w:spacing w:after="0" w:line="268" w:lineRule="auto"/>
        <w:rPr>
          <w:sz w:val="20"/>
          <w:szCs w:val="20"/>
          <w:color w:val="auto"/>
        </w:rPr>
      </w:pPr>
      <w:r>
        <w:rPr>
          <w:rFonts w:ascii="Courier New" w:cs="Courier New" w:eastAsia="Courier New" w:hAnsi="Courier New"/>
          <w:sz w:val="15"/>
          <w:szCs w:val="15"/>
          <w:color w:val="auto"/>
        </w:rPr>
        <w:t>Consolidated Statements of Stockholders' Equity Fiscal years ended January 31, 1999, February 1, 1998,</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and February 2, 1997</w:t>
      </w:r>
    </w:p>
    <w:p>
      <w:pPr>
        <w:spacing w:after="0" w:line="154" w:lineRule="exact"/>
        <w:rPr>
          <w:sz w:val="20"/>
          <w:szCs w:val="20"/>
          <w:color w:val="auto"/>
        </w:rPr>
      </w:pPr>
    </w:p>
    <w:p>
      <w:pPr>
        <w:ind w:left="1560" w:right="180" w:hanging="274"/>
        <w:spacing w:after="0" w:line="268" w:lineRule="auto"/>
        <w:rPr>
          <w:sz w:val="20"/>
          <w:szCs w:val="20"/>
          <w:color w:val="auto"/>
        </w:rPr>
      </w:pPr>
      <w:r>
        <w:rPr>
          <w:rFonts w:ascii="Courier New" w:cs="Courier New" w:eastAsia="Courier New" w:hAnsi="Courier New"/>
          <w:sz w:val="15"/>
          <w:szCs w:val="15"/>
          <w:color w:val="auto"/>
        </w:rPr>
        <w:t>Consolidated Statements of Cash Flows Fiscal years ended January 31, 1999, February 1, 1998,</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and February 2, 1997</w:t>
      </w:r>
    </w:p>
    <w:p>
      <w:pPr>
        <w:spacing w:after="0" w:line="154"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Report of Independent Auditors</w:t>
      </w:r>
    </w:p>
    <w:p>
      <w:pPr>
        <w:spacing w:after="0" w:line="359" w:lineRule="exact"/>
        <w:rPr>
          <w:sz w:val="20"/>
          <w:szCs w:val="20"/>
          <w:color w:val="auto"/>
        </w:rPr>
      </w:pPr>
    </w:p>
    <w:p>
      <w:pPr>
        <w:ind w:left="820" w:right="80"/>
        <w:spacing w:after="0" w:line="310" w:lineRule="auto"/>
        <w:rPr>
          <w:sz w:val="20"/>
          <w:szCs w:val="20"/>
          <w:color w:val="auto"/>
        </w:rPr>
      </w:pPr>
      <w:r>
        <w:rPr>
          <w:rFonts w:ascii="Courier New" w:cs="Courier New" w:eastAsia="Courier New" w:hAnsi="Courier New"/>
          <w:sz w:val="15"/>
          <w:szCs w:val="15"/>
          <w:color w:val="auto"/>
        </w:rPr>
        <w:t>All schedules are omitted as the required information is inapplicable or the information is presented in the financial statements or related notes.</w:t>
      </w:r>
    </w:p>
    <w:p>
      <w:pPr>
        <w:spacing w:after="0" w:line="46" w:lineRule="exact"/>
        <w:rPr>
          <w:sz w:val="20"/>
          <w:szCs w:val="20"/>
          <w:color w:val="auto"/>
        </w:rPr>
      </w:pPr>
    </w:p>
    <w:p>
      <w:pPr>
        <w:ind w:left="1640" w:hanging="822"/>
        <w:spacing w:after="0"/>
        <w:tabs>
          <w:tab w:leader="none" w:pos="16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Exhibits.</w:t>
      </w:r>
    </w:p>
    <w:p>
      <w:pPr>
        <w:spacing w:after="0" w:line="182" w:lineRule="exact"/>
        <w:rPr>
          <w:sz w:val="20"/>
          <w:szCs w:val="20"/>
          <w:color w:val="auto"/>
        </w:rPr>
      </w:pPr>
    </w:p>
    <w:p>
      <w:pPr>
        <w:ind w:left="820" w:right="80"/>
        <w:spacing w:after="0" w:line="310" w:lineRule="auto"/>
        <w:rPr>
          <w:sz w:val="20"/>
          <w:szCs w:val="20"/>
          <w:color w:val="auto"/>
        </w:rPr>
      </w:pPr>
      <w:r>
        <w:rPr>
          <w:rFonts w:ascii="Courier New" w:cs="Courier New" w:eastAsia="Courier New" w:hAnsi="Courier New"/>
          <w:sz w:val="15"/>
          <w:szCs w:val="15"/>
          <w:color w:val="auto"/>
        </w:rPr>
        <w:t>Reference is made to the Exhibit Index preceding the exhibits attached hereto on page 29 for a list of all exhibits filed as a part of this Report.</w:t>
      </w:r>
    </w:p>
    <w:p>
      <w:pPr>
        <w:spacing w:after="0" w:line="222" w:lineRule="exact"/>
        <w:rPr>
          <w:sz w:val="20"/>
          <w:szCs w:val="20"/>
          <w:color w:val="auto"/>
        </w:rPr>
      </w:pPr>
    </w:p>
    <w:p>
      <w:pPr>
        <w:ind w:left="1640" w:hanging="822"/>
        <w:spacing w:after="0"/>
        <w:tabs>
          <w:tab w:leader="none" w:pos="1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of Form 8-K.</w:t>
      </w:r>
    </w:p>
    <w:p>
      <w:pPr>
        <w:spacing w:after="0" w:line="182" w:lineRule="exact"/>
        <w:rPr>
          <w:sz w:val="20"/>
          <w:szCs w:val="20"/>
          <w:color w:val="auto"/>
        </w:rPr>
      </w:pPr>
    </w:p>
    <w:p>
      <w:pPr>
        <w:ind w:left="720"/>
        <w:spacing w:after="0" w:line="372" w:lineRule="auto"/>
        <w:rPr>
          <w:sz w:val="20"/>
          <w:szCs w:val="20"/>
          <w:color w:val="auto"/>
        </w:rPr>
      </w:pPr>
      <w:r>
        <w:rPr>
          <w:rFonts w:ascii="Courier New" w:cs="Courier New" w:eastAsia="Courier New" w:hAnsi="Courier New"/>
          <w:sz w:val="15"/>
          <w:szCs w:val="15"/>
          <w:color w:val="auto"/>
        </w:rPr>
        <w:t>The Company was not required to file a current report on Form 8-K during the thirteen weeks ended January 31, 1999.</w:t>
      </w:r>
    </w:p>
    <w:p>
      <w:pPr>
        <w:spacing w:after="0" w:line="35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Page</w:t>
      </w:r>
    </w:p>
    <w:p>
      <w:pPr>
        <w:spacing w:after="0" w:line="3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33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F-2</w:t>
      </w:r>
    </w:p>
    <w:p>
      <w:pPr>
        <w:spacing w:after="0" w:line="200" w:lineRule="exact"/>
        <w:rPr>
          <w:sz w:val="20"/>
          <w:szCs w:val="20"/>
          <w:color w:val="auto"/>
        </w:rPr>
      </w:pPr>
    </w:p>
    <w:p>
      <w:pPr>
        <w:spacing w:after="0" w:line="33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F-3</w:t>
      </w:r>
    </w:p>
    <w:p>
      <w:pPr>
        <w:spacing w:after="0" w:line="200" w:lineRule="exact"/>
        <w:rPr>
          <w:sz w:val="20"/>
          <w:szCs w:val="20"/>
          <w:color w:val="auto"/>
        </w:rPr>
      </w:pPr>
    </w:p>
    <w:p>
      <w:pPr>
        <w:spacing w:after="0" w:line="33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F-4</w:t>
      </w:r>
    </w:p>
    <w:p>
      <w:pPr>
        <w:spacing w:after="0" w:line="182"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5"/>
          <w:szCs w:val="15"/>
          <w:color w:val="auto"/>
        </w:rPr>
        <w:t>F-5 - F-11</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2">
            <w:col w:w="7320" w:space="640"/>
            <w:col w:w="2259"/>
          </w:cols>
          <w:pgMar w:left="240" w:top="26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359" w:lineRule="exact"/>
        <w:rPr>
          <w:sz w:val="20"/>
          <w:szCs w:val="20"/>
          <w:color w:val="auto"/>
        </w:rPr>
      </w:pPr>
    </w:p>
    <w:p>
      <w:pPr>
        <w:ind w:right="3079"/>
        <w:spacing w:after="0" w:line="310"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Dave &amp; Buster's, Inc.,</w:t>
      </w:r>
    </w:p>
    <w:p>
      <w:pPr>
        <w:spacing w:after="0" w:line="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 Missouri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Charles Michel</w:t>
      </w:r>
    </w:p>
    <w:p>
      <w:pPr>
        <w:spacing w:after="0" w:line="34"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Charles Michel,</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Vice President and Chief Financial</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Officer</w:t>
      </w:r>
    </w:p>
    <w:p>
      <w:pPr>
        <w:spacing w:after="0" w:line="33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May 3, 1999</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of the registrant and in the capacities indicated on May 3, 1999.</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4120" w:type="dxa"/>
            <w:vAlign w:val="bottom"/>
          </w:tcPr>
          <w:p>
            <w:pPr>
              <w:ind w:left="102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7"/>
        </w:trPr>
        <w:tc>
          <w:tcPr>
            <w:tcW w:w="27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120" w:type="dxa"/>
            <w:vAlign w:val="bottom"/>
          </w:tcPr>
          <w:p>
            <w:pPr>
              <w:ind w:left="10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/s/ David O. Corriveau</w:t>
            </w: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Co-Chairman of the Board,</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Courier New" w:cs="Courier New" w:eastAsia="Courier New" w:hAnsi="Courier New"/>
                <w:sz w:val="27"/>
                <w:szCs w:val="27"/>
                <w:color w:val="auto"/>
                <w:w w:val="72"/>
                <w:vertAlign w:val="subscript"/>
              </w:rPr>
              <w:t>David</w:t>
            </w:r>
            <w:r>
              <w:rPr>
                <w:rFonts w:ascii="Courier New" w:cs="Courier New" w:eastAsia="Courier New" w:hAnsi="Courier New"/>
                <w:sz w:val="14"/>
                <w:szCs w:val="14"/>
                <w:color w:val="auto"/>
                <w:w w:val="72"/>
              </w:rPr>
              <w:t>------------------------</w:t>
            </w:r>
            <w:r>
              <w:rPr>
                <w:rFonts w:ascii="Courier New" w:cs="Courier New" w:eastAsia="Courier New" w:hAnsi="Courier New"/>
                <w:sz w:val="27"/>
                <w:szCs w:val="27"/>
                <w:color w:val="auto"/>
                <w:w w:val="72"/>
                <w:vertAlign w:val="subscript"/>
              </w:rPr>
              <w:t>O.Corriveau</w:t>
            </w:r>
          </w:p>
        </w:tc>
        <w:tc>
          <w:tcPr>
            <w:tcW w:w="4120" w:type="dxa"/>
            <w:vAlign w:val="bottom"/>
          </w:tcPr>
          <w:p>
            <w:pPr>
              <w:ind w:left="640"/>
              <w:spacing w:after="0"/>
              <w:rPr>
                <w:sz w:val="20"/>
                <w:szCs w:val="20"/>
                <w:color w:val="auto"/>
              </w:rPr>
            </w:pPr>
            <w:r>
              <w:rPr>
                <w:rFonts w:ascii="Courier New" w:cs="Courier New" w:eastAsia="Courier New" w:hAnsi="Courier New"/>
                <w:sz w:val="15"/>
                <w:szCs w:val="15"/>
                <w:color w:val="auto"/>
              </w:rPr>
              <w:t>Co-Chief Executive Officer, President,</w:t>
            </w:r>
          </w:p>
        </w:tc>
        <w:tc>
          <w:tcPr>
            <w:tcW w:w="0" w:type="dxa"/>
            <w:vAlign w:val="bottom"/>
          </w:tcPr>
          <w:p>
            <w:pPr>
              <w:spacing w:after="0"/>
              <w:rPr>
                <w:sz w:val="1"/>
                <w:szCs w:val="1"/>
                <w:color w:val="auto"/>
              </w:rPr>
            </w:pPr>
          </w:p>
        </w:tc>
      </w:tr>
      <w:tr>
        <w:trPr>
          <w:trHeight w:val="176"/>
        </w:trPr>
        <w:tc>
          <w:tcPr>
            <w:tcW w:w="2740" w:type="dxa"/>
            <w:vAlign w:val="bottom"/>
            <w:vMerge w:val="continue"/>
          </w:tcPr>
          <w:p>
            <w:pPr>
              <w:spacing w:after="0"/>
              <w:rPr>
                <w:sz w:val="15"/>
                <w:szCs w:val="15"/>
                <w:color w:val="auto"/>
              </w:rPr>
            </w:pP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and Director</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(Principal Executive Officer)</w:t>
            </w:r>
          </w:p>
        </w:tc>
        <w:tc>
          <w:tcPr>
            <w:tcW w:w="0" w:type="dxa"/>
            <w:vAlign w:val="bottom"/>
          </w:tcPr>
          <w:p>
            <w:pPr>
              <w:spacing w:after="0"/>
              <w:rPr>
                <w:sz w:val="1"/>
                <w:szCs w:val="1"/>
                <w:color w:val="auto"/>
              </w:rPr>
            </w:pPr>
          </w:p>
        </w:tc>
      </w:tr>
      <w:tr>
        <w:trPr>
          <w:trHeight w:val="448"/>
        </w:trPr>
        <w:tc>
          <w:tcPr>
            <w:tcW w:w="2740" w:type="dxa"/>
            <w:vAlign w:val="bottom"/>
          </w:tcPr>
          <w:p>
            <w:pPr>
              <w:spacing w:after="0"/>
              <w:rPr>
                <w:sz w:val="20"/>
                <w:szCs w:val="20"/>
                <w:color w:val="auto"/>
              </w:rPr>
            </w:pPr>
            <w:r>
              <w:rPr>
                <w:rFonts w:ascii="Courier New" w:cs="Courier New" w:eastAsia="Courier New" w:hAnsi="Courier New"/>
                <w:sz w:val="15"/>
                <w:szCs w:val="15"/>
                <w:color w:val="auto"/>
              </w:rPr>
              <w:t>/s/ James W. Corley</w:t>
            </w: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Co-Chairman of the Board,</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Courier New" w:cs="Courier New" w:eastAsia="Courier New" w:hAnsi="Courier New"/>
                <w:sz w:val="30"/>
                <w:szCs w:val="30"/>
                <w:color w:val="auto"/>
                <w:w w:val="73"/>
                <w:vertAlign w:val="subscript"/>
              </w:rPr>
              <w:t>James</w:t>
            </w:r>
            <w:r>
              <w:rPr>
                <w:rFonts w:ascii="Courier New" w:cs="Courier New" w:eastAsia="Courier New" w:hAnsi="Courier New"/>
                <w:sz w:val="15"/>
                <w:szCs w:val="15"/>
                <w:color w:val="auto"/>
                <w:w w:val="73"/>
              </w:rPr>
              <w:t>------------------------</w:t>
            </w:r>
            <w:r>
              <w:rPr>
                <w:rFonts w:ascii="Courier New" w:cs="Courier New" w:eastAsia="Courier New" w:hAnsi="Courier New"/>
                <w:sz w:val="30"/>
                <w:szCs w:val="30"/>
                <w:color w:val="auto"/>
                <w:w w:val="73"/>
                <w:vertAlign w:val="subscript"/>
              </w:rPr>
              <w:t>W.Corley</w:t>
            </w:r>
          </w:p>
        </w:tc>
        <w:tc>
          <w:tcPr>
            <w:tcW w:w="4120" w:type="dxa"/>
            <w:vAlign w:val="bottom"/>
          </w:tcPr>
          <w:p>
            <w:pPr>
              <w:ind w:left="640"/>
              <w:spacing w:after="0"/>
              <w:rPr>
                <w:sz w:val="20"/>
                <w:szCs w:val="20"/>
                <w:color w:val="auto"/>
              </w:rPr>
            </w:pPr>
            <w:r>
              <w:rPr>
                <w:rFonts w:ascii="Courier New" w:cs="Courier New" w:eastAsia="Courier New" w:hAnsi="Courier New"/>
                <w:sz w:val="15"/>
                <w:szCs w:val="15"/>
                <w:color w:val="auto"/>
              </w:rPr>
              <w:t>Co-Chief Executive Officer, Chief</w:t>
            </w:r>
          </w:p>
        </w:tc>
        <w:tc>
          <w:tcPr>
            <w:tcW w:w="0" w:type="dxa"/>
            <w:vAlign w:val="bottom"/>
          </w:tcPr>
          <w:p>
            <w:pPr>
              <w:spacing w:after="0"/>
              <w:rPr>
                <w:sz w:val="1"/>
                <w:szCs w:val="1"/>
                <w:color w:val="auto"/>
              </w:rPr>
            </w:pPr>
          </w:p>
        </w:tc>
      </w:tr>
      <w:tr>
        <w:trPr>
          <w:trHeight w:val="272"/>
        </w:trPr>
        <w:tc>
          <w:tcPr>
            <w:tcW w:w="2740" w:type="dxa"/>
            <w:vAlign w:val="bottom"/>
            <w:vMerge w:val="continue"/>
          </w:tcPr>
          <w:p>
            <w:pPr>
              <w:spacing w:after="0"/>
              <w:rPr>
                <w:sz w:val="23"/>
                <w:szCs w:val="23"/>
                <w:color w:val="auto"/>
              </w:rPr>
            </w:pP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Operating Officer and Director</w:t>
            </w:r>
          </w:p>
        </w:tc>
        <w:tc>
          <w:tcPr>
            <w:tcW w:w="0" w:type="dxa"/>
            <w:vAlign w:val="bottom"/>
          </w:tcPr>
          <w:p>
            <w:pPr>
              <w:spacing w:after="0"/>
              <w:rPr>
                <w:sz w:val="1"/>
                <w:szCs w:val="1"/>
                <w:color w:val="auto"/>
              </w:rPr>
            </w:pPr>
          </w:p>
        </w:tc>
      </w:tr>
      <w:tr>
        <w:trPr>
          <w:trHeight w:val="433"/>
        </w:trPr>
        <w:tc>
          <w:tcPr>
            <w:tcW w:w="2740" w:type="dxa"/>
            <w:vAlign w:val="bottom"/>
          </w:tcPr>
          <w:p>
            <w:pPr>
              <w:spacing w:after="0"/>
              <w:rPr>
                <w:sz w:val="20"/>
                <w:szCs w:val="20"/>
                <w:color w:val="auto"/>
              </w:rPr>
            </w:pPr>
            <w:r>
              <w:rPr>
                <w:rFonts w:ascii="Courier New" w:cs="Courier New" w:eastAsia="Courier New" w:hAnsi="Courier New"/>
                <w:sz w:val="15"/>
                <w:szCs w:val="15"/>
                <w:color w:val="auto"/>
              </w:rPr>
              <w:t>/s/ Charles Michel</w:t>
            </w: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Vice President and Chief Financial</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Courier New" w:cs="Courier New" w:eastAsia="Courier New" w:hAnsi="Courier New"/>
                <w:sz w:val="30"/>
                <w:szCs w:val="30"/>
                <w:color w:val="auto"/>
                <w:w w:val="73"/>
                <w:vertAlign w:val="subscript"/>
              </w:rPr>
              <w:t>Charles</w:t>
            </w:r>
            <w:r>
              <w:rPr>
                <w:rFonts w:ascii="Courier New" w:cs="Courier New" w:eastAsia="Courier New" w:hAnsi="Courier New"/>
                <w:sz w:val="15"/>
                <w:szCs w:val="15"/>
                <w:color w:val="auto"/>
                <w:w w:val="73"/>
              </w:rPr>
              <w:t>------------------------</w:t>
            </w:r>
            <w:r>
              <w:rPr>
                <w:rFonts w:ascii="Courier New" w:cs="Courier New" w:eastAsia="Courier New" w:hAnsi="Courier New"/>
                <w:sz w:val="30"/>
                <w:szCs w:val="30"/>
                <w:color w:val="auto"/>
                <w:w w:val="73"/>
                <w:vertAlign w:val="subscript"/>
              </w:rPr>
              <w:t>Michel</w:t>
            </w:r>
          </w:p>
        </w:tc>
        <w:tc>
          <w:tcPr>
            <w:tcW w:w="4120" w:type="dxa"/>
            <w:vAlign w:val="bottom"/>
          </w:tcPr>
          <w:p>
            <w:pPr>
              <w:ind w:left="640"/>
              <w:spacing w:after="0"/>
              <w:rPr>
                <w:sz w:val="20"/>
                <w:szCs w:val="20"/>
                <w:color w:val="auto"/>
              </w:rPr>
            </w:pPr>
            <w:r>
              <w:rPr>
                <w:rFonts w:ascii="Courier New" w:cs="Courier New" w:eastAsia="Courier New" w:hAnsi="Courier New"/>
                <w:sz w:val="15"/>
                <w:szCs w:val="15"/>
                <w:color w:val="auto"/>
              </w:rPr>
              <w:t>Officer</w:t>
            </w:r>
          </w:p>
        </w:tc>
        <w:tc>
          <w:tcPr>
            <w:tcW w:w="0" w:type="dxa"/>
            <w:vAlign w:val="bottom"/>
          </w:tcPr>
          <w:p>
            <w:pPr>
              <w:spacing w:after="0"/>
              <w:rPr>
                <w:sz w:val="1"/>
                <w:szCs w:val="1"/>
                <w:color w:val="auto"/>
              </w:rPr>
            </w:pPr>
          </w:p>
        </w:tc>
      </w:tr>
      <w:tr>
        <w:trPr>
          <w:trHeight w:val="176"/>
        </w:trPr>
        <w:tc>
          <w:tcPr>
            <w:tcW w:w="2740" w:type="dxa"/>
            <w:vAlign w:val="bottom"/>
            <w:vMerge w:val="continue"/>
          </w:tcPr>
          <w:p>
            <w:pPr>
              <w:spacing w:after="0"/>
              <w:rPr>
                <w:sz w:val="15"/>
                <w:szCs w:val="15"/>
                <w:color w:val="auto"/>
              </w:rPr>
            </w:pP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(Principal Financial and Accounting</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Officer)</w:t>
            </w:r>
          </w:p>
        </w:tc>
        <w:tc>
          <w:tcPr>
            <w:tcW w:w="0" w:type="dxa"/>
            <w:vAlign w:val="bottom"/>
          </w:tcPr>
          <w:p>
            <w:pPr>
              <w:spacing w:after="0"/>
              <w:rPr>
                <w:sz w:val="1"/>
                <w:szCs w:val="1"/>
                <w:color w:val="auto"/>
              </w:rPr>
            </w:pPr>
          </w:p>
        </w:tc>
      </w:tr>
      <w:tr>
        <w:trPr>
          <w:trHeight w:val="352"/>
        </w:trPr>
        <w:tc>
          <w:tcPr>
            <w:tcW w:w="2740" w:type="dxa"/>
            <w:vAlign w:val="bottom"/>
            <w:vMerge w:val="restart"/>
          </w:tcPr>
          <w:p>
            <w:pPr>
              <w:spacing w:after="0"/>
              <w:rPr>
                <w:sz w:val="20"/>
                <w:szCs w:val="20"/>
                <w:color w:val="auto"/>
              </w:rPr>
            </w:pPr>
            <w:r>
              <w:rPr>
                <w:rFonts w:ascii="Courier New" w:cs="Courier New" w:eastAsia="Courier New" w:hAnsi="Courier New"/>
                <w:sz w:val="15"/>
                <w:szCs w:val="15"/>
                <w:color w:val="auto"/>
              </w:rPr>
              <w:t>- -----------------------</w:t>
            </w: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4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0"/>
                <w:szCs w:val="20"/>
                <w:color w:val="auto"/>
              </w:rPr>
            </w:pPr>
            <w:r>
              <w:rPr>
                <w:rFonts w:ascii="Courier New" w:cs="Courier New" w:eastAsia="Courier New" w:hAnsi="Courier New"/>
                <w:sz w:val="15"/>
                <w:szCs w:val="15"/>
                <w:color w:val="auto"/>
              </w:rPr>
              <w:t>Allen J. Bernstein</w:t>
            </w:r>
          </w:p>
        </w:tc>
        <w:tc>
          <w:tcPr>
            <w:tcW w:w="4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2740" w:type="dxa"/>
            <w:vAlign w:val="bottom"/>
          </w:tcPr>
          <w:p>
            <w:pPr>
              <w:spacing w:after="0"/>
              <w:rPr>
                <w:sz w:val="20"/>
                <w:szCs w:val="20"/>
                <w:color w:val="auto"/>
              </w:rPr>
            </w:pPr>
            <w:r>
              <w:rPr>
                <w:rFonts w:ascii="Courier New" w:cs="Courier New" w:eastAsia="Courier New" w:hAnsi="Courier New"/>
                <w:sz w:val="15"/>
                <w:szCs w:val="15"/>
                <w:color w:val="auto"/>
              </w:rPr>
              <w:t>/s/ Peter A. Edison</w:t>
            </w: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0"/>
                <w:szCs w:val="20"/>
                <w:color w:val="auto"/>
              </w:rPr>
            </w:pPr>
            <w:r>
              <w:rPr>
                <w:rFonts w:ascii="Courier New" w:cs="Courier New" w:eastAsia="Courier New" w:hAnsi="Courier New"/>
                <w:sz w:val="15"/>
                <w:szCs w:val="15"/>
                <w:color w:val="auto"/>
              </w:rPr>
              <w:t>Peter A. Edison</w:t>
            </w:r>
          </w:p>
        </w:tc>
        <w:tc>
          <w:tcPr>
            <w:tcW w:w="4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/s/ Bruce H. Hallett</w:t>
            </w:r>
          </w:p>
        </w:tc>
        <w:tc>
          <w:tcPr>
            <w:tcW w:w="412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7"/>
        </w:trPr>
        <w:tc>
          <w:tcPr>
            <w:tcW w:w="2740" w:type="dxa"/>
            <w:vAlign w:val="bottom"/>
            <w:vMerge w:val="restart"/>
          </w:tcPr>
          <w:p>
            <w:pPr>
              <w:spacing w:after="0"/>
              <w:rPr>
                <w:sz w:val="20"/>
                <w:szCs w:val="20"/>
                <w:color w:val="auto"/>
              </w:rPr>
            </w:pPr>
            <w:r>
              <w:rPr>
                <w:rFonts w:ascii="Courier New" w:cs="Courier New" w:eastAsia="Courier New" w:hAnsi="Courier New"/>
                <w:sz w:val="30"/>
                <w:szCs w:val="30"/>
                <w:color w:val="auto"/>
                <w:w w:val="70"/>
                <w:vertAlign w:val="subscript"/>
              </w:rPr>
              <w:t>Bruce</w:t>
            </w: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H.Hallett</w:t>
            </w:r>
          </w:p>
        </w:tc>
        <w:tc>
          <w:tcPr>
            <w:tcW w:w="4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740" w:type="dxa"/>
            <w:vAlign w:val="bottom"/>
            <w:vMerge w:val="continue"/>
          </w:tcPr>
          <w:p>
            <w:pPr>
              <w:spacing w:after="0"/>
              <w:rPr>
                <w:sz w:val="16"/>
                <w:szCs w:val="16"/>
                <w:color w:val="auto"/>
              </w:rPr>
            </w:pPr>
          </w:p>
        </w:tc>
        <w:tc>
          <w:tcPr>
            <w:tcW w:w="4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2740" w:type="dxa"/>
            <w:vAlign w:val="bottom"/>
          </w:tcPr>
          <w:p>
            <w:pPr>
              <w:spacing w:after="0"/>
              <w:rPr>
                <w:sz w:val="20"/>
                <w:szCs w:val="20"/>
                <w:color w:val="auto"/>
              </w:rPr>
            </w:pPr>
            <w:r>
              <w:rPr>
                <w:rFonts w:ascii="Courier New" w:cs="Courier New" w:eastAsia="Courier New" w:hAnsi="Courier New"/>
                <w:sz w:val="15"/>
                <w:szCs w:val="15"/>
                <w:color w:val="auto"/>
              </w:rPr>
              <w:t>/s/ Walter S. Henrion</w:t>
            </w:r>
          </w:p>
        </w:tc>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0"/>
                <w:szCs w:val="20"/>
                <w:color w:val="auto"/>
              </w:rPr>
            </w:pPr>
            <w:r>
              <w:rPr>
                <w:rFonts w:ascii="Courier New" w:cs="Courier New" w:eastAsia="Courier New" w:hAnsi="Courier New"/>
                <w:sz w:val="15"/>
                <w:szCs w:val="15"/>
                <w:color w:val="auto"/>
              </w:rPr>
              <w:t>Walter S. Henrion</w:t>
            </w:r>
          </w:p>
        </w:tc>
        <w:tc>
          <w:tcPr>
            <w:tcW w:w="4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9"/>
        </w:trPr>
        <w:tc>
          <w:tcPr>
            <w:tcW w:w="2740" w:type="dxa"/>
            <w:vAlign w:val="bottom"/>
            <w:vMerge w:val="restart"/>
          </w:tcPr>
          <w:p>
            <w:pPr>
              <w:spacing w:after="0"/>
              <w:rPr>
                <w:sz w:val="20"/>
                <w:szCs w:val="20"/>
                <w:color w:val="auto"/>
              </w:rPr>
            </w:pPr>
            <w:r>
              <w:rPr>
                <w:rFonts w:ascii="Courier New" w:cs="Courier New" w:eastAsia="Courier New" w:hAnsi="Courier New"/>
                <w:sz w:val="25"/>
                <w:szCs w:val="25"/>
                <w:color w:val="auto"/>
                <w:w w:val="70"/>
                <w:vertAlign w:val="subscript"/>
              </w:rPr>
              <w:t>Christopher</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C.Maguire</w:t>
            </w:r>
          </w:p>
        </w:tc>
        <w:tc>
          <w:tcPr>
            <w:tcW w:w="4120" w:type="dxa"/>
            <w:vAlign w:val="bottom"/>
          </w:tcPr>
          <w:p>
            <w:pPr>
              <w:ind w:left="6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6"/>
        </w:trPr>
        <w:tc>
          <w:tcPr>
            <w:tcW w:w="2740" w:type="dxa"/>
            <w:vAlign w:val="bottom"/>
            <w:vMerge w:val="continue"/>
          </w:tcPr>
          <w:p>
            <w:pPr>
              <w:spacing w:after="0"/>
              <w:rPr>
                <w:sz w:val="15"/>
                <w:szCs w:val="15"/>
                <w:color w:val="auto"/>
              </w:rPr>
            </w:pP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9"/>
        </w:trPr>
        <w:tc>
          <w:tcPr>
            <w:tcW w:w="2740" w:type="dxa"/>
            <w:vAlign w:val="bottom"/>
            <w:vMerge w:val="restart"/>
          </w:tcPr>
          <w:p>
            <w:pPr>
              <w:spacing w:after="0"/>
              <w:rPr>
                <w:sz w:val="20"/>
                <w:szCs w:val="20"/>
                <w:color w:val="auto"/>
              </w:rPr>
            </w:pPr>
            <w:r>
              <w:rPr>
                <w:rFonts w:ascii="Courier New" w:cs="Courier New" w:eastAsia="Courier New" w:hAnsi="Courier New"/>
                <w:sz w:val="30"/>
                <w:szCs w:val="30"/>
                <w:color w:val="auto"/>
                <w:w w:val="73"/>
                <w:vertAlign w:val="subscript"/>
              </w:rPr>
              <w:t>Mark</w:t>
            </w:r>
            <w:r>
              <w:rPr>
                <w:rFonts w:ascii="Courier New" w:cs="Courier New" w:eastAsia="Courier New" w:hAnsi="Courier New"/>
                <w:sz w:val="15"/>
                <w:szCs w:val="15"/>
                <w:color w:val="auto"/>
                <w:w w:val="73"/>
              </w:rPr>
              <w:t>------------------------</w:t>
            </w:r>
            <w:r>
              <w:rPr>
                <w:rFonts w:ascii="Courier New" w:cs="Courier New" w:eastAsia="Courier New" w:hAnsi="Courier New"/>
                <w:sz w:val="30"/>
                <w:szCs w:val="30"/>
                <w:color w:val="auto"/>
                <w:w w:val="73"/>
                <w:vertAlign w:val="subscript"/>
              </w:rPr>
              <w:t>B.Vittert</w:t>
            </w:r>
          </w:p>
        </w:tc>
        <w:tc>
          <w:tcPr>
            <w:tcW w:w="4120" w:type="dxa"/>
            <w:vAlign w:val="bottom"/>
          </w:tcPr>
          <w:p>
            <w:pPr>
              <w:ind w:left="6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6"/>
        </w:trPr>
        <w:tc>
          <w:tcPr>
            <w:tcW w:w="2740" w:type="dxa"/>
            <w:vAlign w:val="bottom"/>
            <w:vMerge w:val="continue"/>
          </w:tcPr>
          <w:p>
            <w:pPr>
              <w:spacing w:after="0"/>
              <w:rPr>
                <w:sz w:val="15"/>
                <w:szCs w:val="15"/>
                <w:color w:val="auto"/>
              </w:rPr>
            </w:pP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1"/>
        </w:trPr>
        <w:tc>
          <w:tcPr>
            <w:tcW w:w="2740" w:type="dxa"/>
            <w:vAlign w:val="bottom"/>
          </w:tcPr>
          <w:p>
            <w:pPr>
              <w:spacing w:after="0"/>
              <w:rPr>
                <w:sz w:val="24"/>
                <w:szCs w:val="24"/>
                <w:color w:val="auto"/>
              </w:rPr>
            </w:pPr>
          </w:p>
        </w:tc>
        <w:tc>
          <w:tcPr>
            <w:tcW w:w="4120" w:type="dxa"/>
            <w:vAlign w:val="bottom"/>
          </w:tcPr>
          <w:p>
            <w:pPr>
              <w:ind w:left="820"/>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29</w:t>
      </w:r>
    </w:p>
    <w:p>
      <w:pPr>
        <w:spacing w:after="0" w:line="35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3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Exhibit</w:t>
      </w:r>
    </w:p>
    <w:p>
      <w:pPr>
        <w:spacing w:after="0" w:line="3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331" w:lineRule="exact"/>
        <w:rPr>
          <w:sz w:val="20"/>
          <w:szCs w:val="20"/>
          <w:color w:val="auto"/>
        </w:rPr>
      </w:pPr>
    </w:p>
    <w:p>
      <w:pPr>
        <w:ind w:left="560"/>
        <w:spacing w:after="0"/>
        <w:tabs>
          <w:tab w:leader="none" w:pos="13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Articles of Incorporation of the Company. (1)</w:t>
      </w:r>
    </w:p>
    <w:p>
      <w:pPr>
        <w:spacing w:after="0" w:line="182" w:lineRule="exact"/>
        <w:rPr>
          <w:sz w:val="20"/>
          <w:szCs w:val="20"/>
          <w:color w:val="auto"/>
        </w:rPr>
      </w:pPr>
    </w:p>
    <w:p>
      <w:pPr>
        <w:ind w:left="560"/>
        <w:spacing w:after="0"/>
        <w:tabs>
          <w:tab w:leader="none" w:pos="13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Bylaws of the Company. (1)</w:t>
      </w:r>
    </w:p>
    <w:p>
      <w:pPr>
        <w:spacing w:after="0" w:line="182" w:lineRule="exact"/>
        <w:rPr>
          <w:sz w:val="20"/>
          <w:szCs w:val="20"/>
          <w:color w:val="auto"/>
        </w:rPr>
      </w:pPr>
    </w:p>
    <w:p>
      <w:pPr>
        <w:ind w:left="1380" w:right="3079" w:hanging="824"/>
        <w:spacing w:after="0" w:line="372" w:lineRule="auto"/>
        <w:tabs>
          <w:tab w:leader="none" w:pos="13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Rights Agreement between the Company and Rights Agent, dated June 16, 1995 (1)</w:t>
      </w:r>
    </w:p>
    <w:p>
      <w:pPr>
        <w:spacing w:after="0" w:line="2" w:lineRule="exact"/>
        <w:rPr>
          <w:sz w:val="20"/>
          <w:szCs w:val="20"/>
          <w:color w:val="auto"/>
        </w:rPr>
      </w:pPr>
    </w:p>
    <w:p>
      <w:pPr>
        <w:ind w:left="560"/>
        <w:spacing w:after="0"/>
        <w:tabs>
          <w:tab w:leader="none" w:pos="13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1995 Stock Option Plan. (2)</w:t>
      </w:r>
    </w:p>
    <w:p>
      <w:pPr>
        <w:spacing w:after="0" w:line="182" w:lineRule="exact"/>
        <w:rPr>
          <w:sz w:val="20"/>
          <w:szCs w:val="20"/>
          <w:color w:val="auto"/>
        </w:rPr>
      </w:pPr>
    </w:p>
    <w:p>
      <w:pPr>
        <w:ind w:left="560"/>
        <w:spacing w:after="0"/>
        <w:tabs>
          <w:tab w:leader="none" w:pos="13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Stock Option Plan for Outside Directors (4)</w:t>
      </w:r>
    </w:p>
    <w:p>
      <w:pPr>
        <w:spacing w:after="0" w:line="182" w:lineRule="exact"/>
        <w:rPr>
          <w:sz w:val="20"/>
          <w:szCs w:val="20"/>
          <w:color w:val="auto"/>
        </w:rPr>
      </w:pPr>
    </w:p>
    <w:p>
      <w:pPr>
        <w:ind w:left="1380" w:right="3179" w:hanging="824"/>
        <w:spacing w:after="0" w:line="372" w:lineRule="auto"/>
        <w:tabs>
          <w:tab w:leader="none" w:pos="13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Employment Agreement for Co-Chief Executive Officers, dated June 16, 1995 (1)</w:t>
      </w:r>
    </w:p>
    <w:p>
      <w:pPr>
        <w:spacing w:after="0" w:line="2" w:lineRule="exact"/>
        <w:rPr>
          <w:sz w:val="20"/>
          <w:szCs w:val="20"/>
          <w:color w:val="auto"/>
        </w:rPr>
      </w:pPr>
    </w:p>
    <w:p>
      <w:pPr>
        <w:ind w:left="1380" w:right="3439" w:hanging="824"/>
        <w:spacing w:after="0" w:line="372" w:lineRule="auto"/>
        <w:tabs>
          <w:tab w:leader="none" w:pos="13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Form of Indemnity Agreements with Executive Officers and Directors (2)</w:t>
      </w:r>
    </w:p>
    <w:p>
      <w:pPr>
        <w:spacing w:after="0" w:line="2" w:lineRule="exact"/>
        <w:rPr>
          <w:sz w:val="20"/>
          <w:szCs w:val="20"/>
          <w:color w:val="auto"/>
        </w:rPr>
      </w:pPr>
    </w:p>
    <w:p>
      <w:pPr>
        <w:ind w:left="560"/>
        <w:spacing w:after="0"/>
        <w:tabs>
          <w:tab w:leader="none" w:pos="136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Subsidiaries of the Company. (3)</w:t>
      </w:r>
    </w:p>
    <w:p>
      <w:pPr>
        <w:spacing w:after="0" w:line="182" w:lineRule="exact"/>
        <w:rPr>
          <w:sz w:val="20"/>
          <w:szCs w:val="20"/>
          <w:color w:val="auto"/>
        </w:rPr>
      </w:pPr>
    </w:p>
    <w:p>
      <w:pPr>
        <w:ind w:left="1380" w:hanging="822"/>
        <w:spacing w:after="0"/>
        <w:tabs>
          <w:tab w:leader="none" w:pos="13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 (3)</w:t>
      </w:r>
    </w:p>
    <w:p>
      <w:pPr>
        <w:spacing w:after="0" w:line="182" w:lineRule="exact"/>
        <w:rPr>
          <w:rFonts w:ascii="Courier New" w:cs="Courier New" w:eastAsia="Courier New" w:hAnsi="Courier New"/>
          <w:sz w:val="15"/>
          <w:szCs w:val="15"/>
          <w:color w:val="auto"/>
        </w:rPr>
      </w:pPr>
    </w:p>
    <w:p>
      <w:pPr>
        <w:ind w:left="1380" w:hanging="822"/>
        <w:spacing w:after="0"/>
        <w:tabs>
          <w:tab w:leader="none" w:pos="13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(3)</w:t>
      </w:r>
    </w:p>
    <w:p>
      <w:pPr>
        <w:spacing w:after="0" w:line="182" w:lineRule="exact"/>
        <w:rPr>
          <w:rFonts w:ascii="Courier New" w:cs="Courier New" w:eastAsia="Courier New" w:hAnsi="Courier New"/>
          <w:sz w:val="15"/>
          <w:szCs w:val="15"/>
          <w:color w:val="auto"/>
        </w:rPr>
      </w:pPr>
    </w:p>
    <w:p>
      <w:pPr>
        <w:ind w:left="1380" w:hanging="822"/>
        <w:spacing w:after="0"/>
        <w:tabs>
          <w:tab w:leader="none" w:pos="13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dated May 10,1999.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59"/>
          </w:cols>
          <w:pgMar w:left="500" w:top="266" w:right="1440" w:bottom="1440" w:gutter="0" w:footer="0" w:header="0"/>
        </w:sectPr>
      </w:pPr>
    </w:p>
    <w:bookmarkStart w:id="29" w:name="page30"/>
    <w:bookmarkEnd w:id="29"/>
    <w:p>
      <w:pPr>
        <w:ind w:left="266"/>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826" w:right="3439" w:hanging="826"/>
        <w:spacing w:after="0" w:line="372" w:lineRule="auto"/>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to the registrant's Form 10-Q for the 13-week period ended April 30, 1995 and incorporated herein by reference.</w:t>
      </w:r>
    </w:p>
    <w:p>
      <w:pPr>
        <w:spacing w:after="0" w:line="1" w:lineRule="exact"/>
        <w:rPr>
          <w:rFonts w:ascii="Courier New" w:cs="Courier New" w:eastAsia="Courier New" w:hAnsi="Courier New"/>
          <w:sz w:val="15"/>
          <w:szCs w:val="15"/>
          <w:color w:val="auto"/>
        </w:rPr>
      </w:pPr>
    </w:p>
    <w:p>
      <w:pPr>
        <w:ind w:left="826" w:right="3179" w:hanging="826"/>
        <w:spacing w:after="0" w:line="372" w:lineRule="auto"/>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to the registrant's Form 10 filed April 11, 1995 and incorporated herein by reference.</w:t>
      </w:r>
    </w:p>
    <w:p>
      <w:pPr>
        <w:spacing w:after="0" w:line="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82" w:lineRule="exact"/>
        <w:rPr>
          <w:rFonts w:ascii="Courier New" w:cs="Courier New" w:eastAsia="Courier New" w:hAnsi="Courier New"/>
          <w:sz w:val="15"/>
          <w:szCs w:val="15"/>
          <w:color w:val="auto"/>
        </w:rPr>
      </w:pPr>
    </w:p>
    <w:p>
      <w:pPr>
        <w:ind w:left="826" w:right="3259" w:hanging="826"/>
        <w:spacing w:after="0" w:line="372" w:lineRule="auto"/>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to the registrant's Form 10-K for the 52 week period ended February 1, 1997 and incorporated herein by reference.</w:t>
      </w:r>
    </w:p>
    <w:p>
      <w:pPr>
        <w:spacing w:after="0" w:line="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with the Commission on or before May 10, 1999.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4" w:top="266"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7"/>
        </w:trPr>
        <w:tc>
          <w:tcPr>
            <w:tcW w:w="796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796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60" w:type="dxa"/>
            <w:vAlign w:val="bottom"/>
          </w:tcPr>
          <w:p>
            <w:pPr>
              <w:spacing w:after="0"/>
              <w:rPr>
                <w:sz w:val="20"/>
                <w:szCs w:val="20"/>
                <w:color w:val="auto"/>
              </w:rPr>
            </w:pPr>
            <w:r>
              <w:rPr>
                <w:rFonts w:ascii="Courier New" w:cs="Courier New" w:eastAsia="Courier New" w:hAnsi="Courier New"/>
                <w:sz w:val="15"/>
                <w:szCs w:val="15"/>
                <w:color w:val="auto"/>
              </w:rPr>
              <w:t>DAVE &amp; BUSTER'S, INC.</w:t>
            </w:r>
          </w:p>
        </w:tc>
        <w:tc>
          <w:tcPr>
            <w:tcW w:w="1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796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 except share and per share amounts</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January 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February 1,</w:t>
            </w:r>
          </w:p>
        </w:tc>
        <w:tc>
          <w:tcPr>
            <w:tcW w:w="0" w:type="dxa"/>
            <w:vAlign w:val="bottom"/>
          </w:tcPr>
          <w:p>
            <w:pPr>
              <w:spacing w:after="0"/>
              <w:rPr>
                <w:sz w:val="1"/>
                <w:szCs w:val="1"/>
                <w:color w:val="auto"/>
              </w:rPr>
            </w:pPr>
          </w:p>
        </w:tc>
      </w:tr>
      <w:tr>
        <w:trPr>
          <w:trHeight w:val="257"/>
        </w:trPr>
        <w:tc>
          <w:tcPr>
            <w:tcW w:w="7960" w:type="dxa"/>
            <w:vAlign w:val="bottom"/>
            <w:vMerge w:val="continue"/>
          </w:tcPr>
          <w:p>
            <w:pPr>
              <w:spacing w:after="0"/>
              <w:rPr>
                <w:sz w:val="22"/>
                <w:szCs w:val="22"/>
                <w:color w:val="auto"/>
              </w:rPr>
            </w:pP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71"/>
        </w:trPr>
        <w:tc>
          <w:tcPr>
            <w:tcW w:w="7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  4,509</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$ 14,309</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Cash and cash equivalents</w:t>
            </w:r>
          </w:p>
        </w:tc>
        <w:tc>
          <w:tcPr>
            <w:tcW w:w="17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Short-term investments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8,507</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Inventories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10,811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6,222</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Prepaid expenses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1,743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1,234</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Preopening costs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7,369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3,415</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Other current assets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5,286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2,018</w:t>
            </w:r>
          </w:p>
        </w:tc>
        <w:tc>
          <w:tcPr>
            <w:tcW w:w="0" w:type="dxa"/>
            <w:vAlign w:val="bottom"/>
          </w:tcPr>
          <w:p>
            <w:pPr>
              <w:spacing w:after="0"/>
              <w:rPr>
                <w:sz w:val="1"/>
                <w:szCs w:val="1"/>
                <w:color w:val="auto"/>
              </w:rPr>
            </w:pPr>
          </w:p>
        </w:tc>
      </w:tr>
      <w:tr>
        <w:trPr>
          <w:trHeight w:val="176"/>
        </w:trPr>
        <w:tc>
          <w:tcPr>
            <w:tcW w:w="79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960" w:type="dxa"/>
            <w:vAlign w:val="bottom"/>
            <w:vMerge w:val="continue"/>
          </w:tcPr>
          <w:p>
            <w:pPr>
              <w:spacing w:after="0"/>
              <w:rPr>
                <w:sz w:val="15"/>
                <w:szCs w:val="15"/>
                <w:color w:val="auto"/>
              </w:rPr>
            </w:pP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29,718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35,705</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Property and equipment, net (note 2)</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177,910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114,060</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 of $1,502 and $1,121</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8,206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8,587</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15"/>
                <w:szCs w:val="15"/>
                <w:color w:val="auto"/>
              </w:rPr>
            </w:pP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960" w:type="dxa"/>
            <w:vAlign w:val="bottom"/>
          </w:tcPr>
          <w:p>
            <w:pPr>
              <w:spacing w:after="0"/>
              <w:rPr>
                <w:sz w:val="22"/>
                <w:szCs w:val="22"/>
                <w:color w:val="auto"/>
              </w:rPr>
            </w:pP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$216,592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$158,989</w:t>
            </w:r>
          </w:p>
        </w:tc>
        <w:tc>
          <w:tcPr>
            <w:tcW w:w="0" w:type="dxa"/>
            <w:vAlign w:val="bottom"/>
          </w:tcPr>
          <w:p>
            <w:pPr>
              <w:spacing w:after="0"/>
              <w:rPr>
                <w:sz w:val="1"/>
                <w:szCs w:val="1"/>
                <w:color w:val="auto"/>
              </w:rPr>
            </w:pPr>
          </w:p>
        </w:tc>
      </w:tr>
      <w:tr>
        <w:trPr>
          <w:trHeight w:val="271"/>
        </w:trPr>
        <w:tc>
          <w:tcPr>
            <w:tcW w:w="79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Current liabilities:</w:t>
            </w:r>
          </w:p>
        </w:tc>
        <w:tc>
          <w:tcPr>
            <w:tcW w:w="17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$ 13,695</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4,075</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Accounts payable</w:t>
            </w:r>
          </w:p>
        </w:tc>
        <w:tc>
          <w:tcPr>
            <w:tcW w:w="17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Accrued liabilities (note 3)</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3,785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3,255</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Deferred income taxes (note 5)</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4,018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1,967</w:t>
            </w:r>
          </w:p>
        </w:tc>
        <w:tc>
          <w:tcPr>
            <w:tcW w:w="0" w:type="dxa"/>
            <w:vAlign w:val="bottom"/>
          </w:tcPr>
          <w:p>
            <w:pPr>
              <w:spacing w:after="0"/>
              <w:rPr>
                <w:sz w:val="1"/>
                <w:szCs w:val="1"/>
                <w:color w:val="auto"/>
              </w:rPr>
            </w:pPr>
          </w:p>
        </w:tc>
      </w:tr>
      <w:tr>
        <w:trPr>
          <w:trHeight w:val="176"/>
        </w:trPr>
        <w:tc>
          <w:tcPr>
            <w:tcW w:w="79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960" w:type="dxa"/>
            <w:vAlign w:val="bottom"/>
            <w:vMerge w:val="continue"/>
          </w:tcPr>
          <w:p>
            <w:pPr>
              <w:spacing w:after="0"/>
              <w:rPr>
                <w:sz w:val="15"/>
                <w:szCs w:val="15"/>
                <w:color w:val="auto"/>
              </w:rPr>
            </w:pP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21,498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9,297</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Deferred income taxes (note 5)</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5,638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3,530</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1,454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806</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Long-term debt (note 4)</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42,500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12,000</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4, 6 and 11) Stockholders' equity (note 7):</w:t>
            </w:r>
          </w:p>
        </w:tc>
        <w:tc>
          <w:tcPr>
            <w:tcW w:w="17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Preferred stock, 10,000,000 authorized; none issued</w:t>
            </w:r>
          </w:p>
        </w:tc>
        <w:tc>
          <w:tcPr>
            <w:tcW w:w="17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Common stock, $0.01 par value, 50,000,000 authorized;</w:t>
            </w: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720"/>
              <w:spacing w:after="0"/>
              <w:rPr>
                <w:sz w:val="20"/>
                <w:szCs w:val="20"/>
                <w:color w:val="auto"/>
              </w:rPr>
            </w:pPr>
            <w:r>
              <w:rPr>
                <w:rFonts w:ascii="Courier New" w:cs="Courier New" w:eastAsia="Courier New" w:hAnsi="Courier New"/>
                <w:sz w:val="15"/>
                <w:szCs w:val="15"/>
                <w:color w:val="auto"/>
              </w:rPr>
              <w:t>13,069,050 and 13,019,050 shares issued and outstanding</w:t>
            </w:r>
          </w:p>
        </w:tc>
        <w:tc>
          <w:tcPr>
            <w:tcW w:w="17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131</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76"/>
        </w:trPr>
        <w:tc>
          <w:tcPr>
            <w:tcW w:w="7960" w:type="dxa"/>
            <w:vAlign w:val="bottom"/>
          </w:tcPr>
          <w:p>
            <w:pPr>
              <w:ind w:left="820"/>
              <w:spacing w:after="0"/>
              <w:rPr>
                <w:sz w:val="20"/>
                <w:szCs w:val="20"/>
                <w:color w:val="auto"/>
              </w:rPr>
            </w:pPr>
            <w:r>
              <w:rPr>
                <w:rFonts w:ascii="Courier New" w:cs="Courier New" w:eastAsia="Courier New" w:hAnsi="Courier New"/>
                <w:sz w:val="15"/>
                <w:szCs w:val="15"/>
                <w:color w:val="auto"/>
              </w:rPr>
              <w:t>as of January 31, 1999 and February 1, 1998, respectively</w:t>
            </w:r>
          </w:p>
        </w:tc>
        <w:tc>
          <w:tcPr>
            <w:tcW w:w="17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Paid in capital (note 9)</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114,621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116,054</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Courier New" w:cs="Courier New" w:eastAsia="Courier New" w:hAnsi="Courier New"/>
                <w:sz w:val="15"/>
                <w:szCs w:val="15"/>
                <w:color w:val="auto"/>
              </w:rPr>
              <w:t>Retained earnings</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30,750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17,172</w:t>
            </w:r>
          </w:p>
        </w:tc>
        <w:tc>
          <w:tcPr>
            <w:tcW w:w="0" w:type="dxa"/>
            <w:vAlign w:val="bottom"/>
          </w:tcPr>
          <w:p>
            <w:pPr>
              <w:spacing w:after="0"/>
              <w:rPr>
                <w:sz w:val="1"/>
                <w:szCs w:val="1"/>
                <w:color w:val="auto"/>
              </w:rPr>
            </w:pPr>
          </w:p>
        </w:tc>
      </w:tr>
      <w:tr>
        <w:trPr>
          <w:trHeight w:val="176"/>
        </w:trPr>
        <w:tc>
          <w:tcPr>
            <w:tcW w:w="79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stockholders' equity</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960" w:type="dxa"/>
            <w:vAlign w:val="bottom"/>
            <w:vMerge w:val="continue"/>
          </w:tcPr>
          <w:p>
            <w:pPr>
              <w:spacing w:after="0"/>
              <w:rPr>
                <w:sz w:val="15"/>
                <w:szCs w:val="15"/>
                <w:color w:val="auto"/>
              </w:rPr>
            </w:pP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145,502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133,356</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15"/>
                <w:szCs w:val="15"/>
                <w:color w:val="auto"/>
              </w:rPr>
            </w:pP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960" w:type="dxa"/>
            <w:vAlign w:val="bottom"/>
          </w:tcPr>
          <w:p>
            <w:pPr>
              <w:spacing w:after="0"/>
              <w:rPr>
                <w:sz w:val="22"/>
                <w:szCs w:val="22"/>
                <w:color w:val="auto"/>
              </w:rPr>
            </w:pP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$216,592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$158,989</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800"/>
          </w:cols>
          <w:pgMar w:left="240" w:top="266" w:right="8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57"/>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0"/>
                <w:szCs w:val="20"/>
                <w:color w:val="auto"/>
              </w:rPr>
            </w:pPr>
            <w:r>
              <w:rPr>
                <w:rFonts w:ascii="Courier New" w:cs="Courier New" w:eastAsia="Courier New" w:hAnsi="Courier New"/>
                <w:sz w:val="15"/>
                <w:szCs w:val="15"/>
                <w:color w:val="auto"/>
              </w:rPr>
              <w:t>DAVE &amp; BUSTER'S, INC.</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200" w:type="dxa"/>
            <w:vAlign w:val="bottom"/>
          </w:tcPr>
          <w:p>
            <w:pPr>
              <w:spacing w:after="0"/>
              <w:rPr>
                <w:sz w:val="24"/>
                <w:szCs w:val="24"/>
                <w:color w:val="auto"/>
              </w:rPr>
            </w:pP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24"/>
                <w:szCs w:val="24"/>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24"/>
                <w:szCs w:val="24"/>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448"/>
        </w:trPr>
        <w:tc>
          <w:tcPr>
            <w:tcW w:w="3940" w:type="dxa"/>
            <w:vAlign w:val="bottom"/>
          </w:tcPr>
          <w:p>
            <w:pPr>
              <w:spacing w:after="0"/>
              <w:rPr>
                <w:sz w:val="20"/>
                <w:szCs w:val="20"/>
                <w:color w:val="auto"/>
              </w:rPr>
            </w:pPr>
            <w:r>
              <w:rPr>
                <w:rFonts w:ascii="Courier New" w:cs="Courier New" w:eastAsia="Courier New" w:hAnsi="Courier New"/>
                <w:sz w:val="15"/>
                <w:szCs w:val="15"/>
                <w:color w:val="auto"/>
              </w:rPr>
              <w:t>Food and beverage revenues</w:t>
            </w:r>
          </w:p>
        </w:tc>
        <w:tc>
          <w:tcPr>
            <w:tcW w:w="10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89,378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64,703</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48,568</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Amusement and other revenues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92,906</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63,801</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40,207</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revenues</w:t>
            </w:r>
          </w:p>
        </w:tc>
        <w:tc>
          <w:tcPr>
            <w:tcW w:w="104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940" w:type="dxa"/>
            <w:vAlign w:val="bottom"/>
            <w:vMerge w:val="continue"/>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182,284</w:t>
            </w:r>
          </w:p>
        </w:tc>
        <w:tc>
          <w:tcPr>
            <w:tcW w:w="380" w:type="dxa"/>
            <w:vAlign w:val="bottom"/>
          </w:tcPr>
          <w:p>
            <w:pPr>
              <w:spacing w:after="0"/>
              <w:rPr>
                <w:sz w:val="22"/>
                <w:szCs w:val="22"/>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128,504</w:t>
            </w:r>
          </w:p>
        </w:tc>
        <w:tc>
          <w:tcPr>
            <w:tcW w:w="42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88,775</w:t>
            </w: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35,582</w:t>
            </w:r>
          </w:p>
        </w:tc>
        <w:tc>
          <w:tcPr>
            <w:tcW w:w="380" w:type="dxa"/>
            <w:vAlign w:val="bottom"/>
          </w:tcPr>
          <w:p>
            <w:pPr>
              <w:spacing w:after="0"/>
              <w:rPr>
                <w:sz w:val="23"/>
                <w:szCs w:val="23"/>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24,795</w:t>
            </w:r>
          </w:p>
        </w:tc>
        <w:tc>
          <w:tcPr>
            <w:tcW w:w="42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18,003</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payroll and benefits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52,206</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36,227</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25,483</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 restaurant operating expenses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45,862</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32,787</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20,582</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General and administrative expenses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10,579</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8,489</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5,734</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expense</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12,163</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8,470</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5,647</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Preopening cost amortization</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4,539</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3,246</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2,605</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costs and expenses</w:t>
            </w:r>
          </w:p>
        </w:tc>
        <w:tc>
          <w:tcPr>
            <w:tcW w:w="104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940" w:type="dxa"/>
            <w:vAlign w:val="bottom"/>
            <w:vMerge w:val="continue"/>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160,931</w:t>
            </w:r>
          </w:p>
        </w:tc>
        <w:tc>
          <w:tcPr>
            <w:tcW w:w="380" w:type="dxa"/>
            <w:vAlign w:val="bottom"/>
          </w:tcPr>
          <w:p>
            <w:pPr>
              <w:spacing w:after="0"/>
              <w:rPr>
                <w:sz w:val="22"/>
                <w:szCs w:val="22"/>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114,014</w:t>
            </w:r>
          </w:p>
        </w:tc>
        <w:tc>
          <w:tcPr>
            <w:tcW w:w="42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78,054</w:t>
            </w: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21,353</w:t>
            </w:r>
          </w:p>
        </w:tc>
        <w:tc>
          <w:tcPr>
            <w:tcW w:w="380" w:type="dxa"/>
            <w:vAlign w:val="bottom"/>
          </w:tcPr>
          <w:p>
            <w:pPr>
              <w:spacing w:after="0"/>
              <w:rPr>
                <w:sz w:val="23"/>
                <w:szCs w:val="23"/>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14,490</w:t>
            </w:r>
          </w:p>
        </w:tc>
        <w:tc>
          <w:tcPr>
            <w:tcW w:w="42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10,721</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194</w:t>
            </w:r>
          </w:p>
        </w:tc>
        <w:tc>
          <w:tcPr>
            <w:tcW w:w="3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(179)</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21,547</w:t>
            </w:r>
          </w:p>
        </w:tc>
        <w:tc>
          <w:tcPr>
            <w:tcW w:w="380" w:type="dxa"/>
            <w:vAlign w:val="bottom"/>
          </w:tcPr>
          <w:p>
            <w:pPr>
              <w:spacing w:after="0"/>
              <w:rPr>
                <w:sz w:val="23"/>
                <w:szCs w:val="23"/>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14,311</w:t>
            </w:r>
          </w:p>
        </w:tc>
        <w:tc>
          <w:tcPr>
            <w:tcW w:w="42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10,683</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Provision for income taxes (note 5)</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7,969</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5,414</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4,343</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13,578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8,897</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6,340</w:t>
            </w: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Basic net income per share (note 8)</w:t>
            </w:r>
          </w:p>
        </w:tc>
        <w:tc>
          <w:tcPr>
            <w:tcW w:w="10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Basic weighted average shares outstanding</w:t>
            </w:r>
          </w:p>
        </w:tc>
        <w:tc>
          <w:tcPr>
            <w:tcW w:w="104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13,053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11,532</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10,901</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Diluted net income per share (note 8)</w:t>
            </w:r>
          </w:p>
        </w:tc>
        <w:tc>
          <w:tcPr>
            <w:tcW w:w="10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w:t>
            </w:r>
          </w:p>
        </w:tc>
        <w:tc>
          <w:tcPr>
            <w:tcW w:w="380" w:type="dxa"/>
            <w:vAlign w:val="bottom"/>
            <w:vMerge w:val="continue"/>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w:t>
            </w:r>
          </w:p>
        </w:tc>
        <w:tc>
          <w:tcPr>
            <w:tcW w:w="420" w:type="dxa"/>
            <w:vAlign w:val="bottom"/>
            <w:vMerge w:val="continue"/>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 outstanding</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13,246</w:t>
            </w:r>
          </w:p>
        </w:tc>
        <w:tc>
          <w:tcPr>
            <w:tcW w:w="380" w:type="dxa"/>
            <w:vAlign w:val="bottom"/>
          </w:tcPr>
          <w:p>
            <w:pPr>
              <w:spacing w:after="0"/>
              <w:rPr>
                <w:sz w:val="22"/>
                <w:szCs w:val="22"/>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11,711</w:t>
            </w:r>
          </w:p>
        </w:tc>
        <w:tc>
          <w:tcPr>
            <w:tcW w:w="42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6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DAVE &amp; BUSTER'S. INC.</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274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Common Stock</w:t>
            </w:r>
          </w:p>
        </w:tc>
        <w:tc>
          <w:tcPr>
            <w:tcW w:w="320" w:type="dxa"/>
            <w:vAlign w:val="bottom"/>
          </w:tcPr>
          <w:p>
            <w:pPr>
              <w:spacing w:after="0"/>
              <w:rPr>
                <w:sz w:val="15"/>
                <w:szCs w:val="15"/>
                <w:color w:val="auto"/>
              </w:rPr>
            </w:pPr>
          </w:p>
        </w:tc>
        <w:tc>
          <w:tcPr>
            <w:tcW w:w="11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8"/>
              </w:rPr>
              <w:t>Paid in</w:t>
            </w:r>
          </w:p>
        </w:tc>
        <w:tc>
          <w:tcPr>
            <w:tcW w:w="320" w:type="dxa"/>
            <w:vAlign w:val="bottom"/>
          </w:tcPr>
          <w:p>
            <w:pPr>
              <w:spacing w:after="0"/>
              <w:rPr>
                <w:sz w:val="15"/>
                <w:szCs w:val="15"/>
                <w:color w:val="auto"/>
              </w:rPr>
            </w:pPr>
          </w:p>
        </w:tc>
        <w:tc>
          <w:tcPr>
            <w:tcW w:w="11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9"/>
              </w:rPr>
              <w:t>Retained</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740" w:type="dxa"/>
            <w:vAlign w:val="bottom"/>
            <w:gridSpan w:val="3"/>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57"/>
        </w:trPr>
        <w:tc>
          <w:tcPr>
            <w:tcW w:w="4080" w:type="dxa"/>
            <w:vAlign w:val="bottom"/>
            <w:vMerge w:val="continue"/>
          </w:tcPr>
          <w:p>
            <w:pPr>
              <w:spacing w:after="0"/>
              <w:rPr>
                <w:sz w:val="22"/>
                <w:szCs w:val="22"/>
                <w:color w:val="auto"/>
              </w:rPr>
            </w:pP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Shares</w:t>
            </w:r>
          </w:p>
        </w:tc>
        <w:tc>
          <w:tcPr>
            <w:tcW w:w="380" w:type="dxa"/>
            <w:vAlign w:val="bottom"/>
          </w:tcPr>
          <w:p>
            <w:pPr>
              <w:spacing w:after="0"/>
              <w:rPr>
                <w:sz w:val="22"/>
                <w:szCs w:val="22"/>
                <w:color w:val="auto"/>
              </w:rPr>
            </w:pP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w:t>
            </w:r>
          </w:p>
        </w:tc>
        <w:tc>
          <w:tcPr>
            <w:tcW w:w="320" w:type="dxa"/>
            <w:vAlign w:val="bottom"/>
          </w:tcPr>
          <w:p>
            <w:pPr>
              <w:spacing w:after="0"/>
              <w:rPr>
                <w:sz w:val="22"/>
                <w:szCs w:val="22"/>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Capital</w:t>
            </w:r>
          </w:p>
        </w:tc>
        <w:tc>
          <w:tcPr>
            <w:tcW w:w="320" w:type="dxa"/>
            <w:vAlign w:val="bottom"/>
          </w:tcPr>
          <w:p>
            <w:pPr>
              <w:spacing w:after="0"/>
              <w:rPr>
                <w:sz w:val="22"/>
                <w:szCs w:val="22"/>
                <w:color w:val="auto"/>
              </w:rPr>
            </w:pP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Earnings</w:t>
            </w:r>
          </w:p>
        </w:tc>
        <w:tc>
          <w:tcPr>
            <w:tcW w:w="3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Balance, February 4, 1996</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66,945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69,008</w:t>
            </w:r>
          </w:p>
        </w:tc>
        <w:tc>
          <w:tcPr>
            <w:tcW w:w="0" w:type="dxa"/>
            <w:vAlign w:val="bottom"/>
          </w:tcPr>
          <w:p>
            <w:pPr>
              <w:spacing w:after="0"/>
              <w:rPr>
                <w:sz w:val="1"/>
                <w:szCs w:val="1"/>
                <w:color w:val="auto"/>
              </w:rPr>
            </w:pPr>
          </w:p>
        </w:tc>
      </w:tr>
      <w:tr>
        <w:trPr>
          <w:trHeight w:val="2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Proceeds from exercising stock option</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23"/>
                <w:szCs w:val="23"/>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3"/>
                <w:szCs w:val="23"/>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23"/>
                <w:szCs w:val="23"/>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6,340</w:t>
            </w:r>
          </w:p>
        </w:tc>
        <w:tc>
          <w:tcPr>
            <w:tcW w:w="36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6,340</w:t>
            </w:r>
          </w:p>
        </w:tc>
        <w:tc>
          <w:tcPr>
            <w:tcW w:w="0" w:type="dxa"/>
            <w:vAlign w:val="bottom"/>
          </w:tcPr>
          <w:p>
            <w:pPr>
              <w:spacing w:after="0"/>
              <w:rPr>
                <w:sz w:val="1"/>
                <w:szCs w:val="1"/>
                <w:color w:val="auto"/>
              </w:rPr>
            </w:pPr>
          </w:p>
        </w:tc>
      </w:tr>
      <w:tr>
        <w:trPr>
          <w:trHeight w:val="176"/>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February 2, 1997</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080" w:type="dxa"/>
            <w:vAlign w:val="bottom"/>
            <w:vMerge w:val="continue"/>
          </w:tcPr>
          <w:p>
            <w:pPr>
              <w:spacing w:after="0"/>
              <w:rPr>
                <w:sz w:val="22"/>
                <w:szCs w:val="22"/>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10,902</w:t>
            </w:r>
          </w:p>
        </w:tc>
        <w:tc>
          <w:tcPr>
            <w:tcW w:w="380" w:type="dxa"/>
            <w:vAlign w:val="bottom"/>
          </w:tcPr>
          <w:p>
            <w:pPr>
              <w:spacing w:after="0"/>
              <w:rPr>
                <w:sz w:val="22"/>
                <w:szCs w:val="22"/>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w:t>
            </w:r>
          </w:p>
        </w:tc>
        <w:tc>
          <w:tcPr>
            <w:tcW w:w="320" w:type="dxa"/>
            <w:vAlign w:val="bottom"/>
          </w:tcPr>
          <w:p>
            <w:pPr>
              <w:spacing w:after="0"/>
              <w:rPr>
                <w:sz w:val="22"/>
                <w:szCs w:val="22"/>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66,963</w:t>
            </w:r>
          </w:p>
        </w:tc>
        <w:tc>
          <w:tcPr>
            <w:tcW w:w="320" w:type="dxa"/>
            <w:vAlign w:val="bottom"/>
          </w:tcPr>
          <w:p>
            <w:pPr>
              <w:spacing w:after="0"/>
              <w:rPr>
                <w:sz w:val="22"/>
                <w:szCs w:val="22"/>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8,294</w:t>
            </w:r>
          </w:p>
        </w:tc>
        <w:tc>
          <w:tcPr>
            <w:tcW w:w="36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75,366</w:t>
            </w:r>
          </w:p>
        </w:tc>
        <w:tc>
          <w:tcPr>
            <w:tcW w:w="0" w:type="dxa"/>
            <w:vAlign w:val="bottom"/>
          </w:tcPr>
          <w:p>
            <w:pPr>
              <w:spacing w:after="0"/>
              <w:rPr>
                <w:sz w:val="1"/>
                <w:szCs w:val="1"/>
                <w:color w:val="auto"/>
              </w:rPr>
            </w:pPr>
          </w:p>
        </w:tc>
      </w:tr>
      <w:tr>
        <w:trPr>
          <w:trHeight w:val="2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Proceeds from exercising stock options</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w:t>
            </w:r>
          </w:p>
        </w:tc>
        <w:tc>
          <w:tcPr>
            <w:tcW w:w="380" w:type="dxa"/>
            <w:vAlign w:val="bottom"/>
          </w:tcPr>
          <w:p>
            <w:pPr>
              <w:spacing w:after="0"/>
              <w:rPr>
                <w:sz w:val="23"/>
                <w:szCs w:val="23"/>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3"/>
                <w:szCs w:val="23"/>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203</w:t>
            </w:r>
          </w:p>
        </w:tc>
        <w:tc>
          <w:tcPr>
            <w:tcW w:w="320" w:type="dxa"/>
            <w:vAlign w:val="bottom"/>
          </w:tcPr>
          <w:p>
            <w:pPr>
              <w:spacing w:after="0"/>
              <w:rPr>
                <w:sz w:val="23"/>
                <w:szCs w:val="23"/>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Tax benefit related to stock</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54</w:t>
            </w:r>
          </w:p>
        </w:tc>
        <w:tc>
          <w:tcPr>
            <w:tcW w:w="320" w:type="dxa"/>
            <w:vAlign w:val="bottom"/>
          </w:tcPr>
          <w:p>
            <w:pPr>
              <w:spacing w:after="0"/>
              <w:rPr>
                <w:sz w:val="15"/>
                <w:szCs w:val="15"/>
                <w:color w:val="auto"/>
              </w:rPr>
            </w:pPr>
          </w:p>
        </w:tc>
        <w:tc>
          <w:tcPr>
            <w:tcW w:w="11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option exercises</w:t>
            </w: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Purchase of fractional shares from</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three-for-two stock split</w:t>
            </w: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2,100</w:t>
            </w:r>
          </w:p>
        </w:tc>
        <w:tc>
          <w:tcPr>
            <w:tcW w:w="380" w:type="dxa"/>
            <w:vAlign w:val="bottom"/>
          </w:tcPr>
          <w:p>
            <w:pPr>
              <w:spacing w:after="0"/>
              <w:rPr>
                <w:sz w:val="15"/>
                <w:szCs w:val="15"/>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48,834</w:t>
            </w:r>
          </w:p>
        </w:tc>
        <w:tc>
          <w:tcPr>
            <w:tcW w:w="320" w:type="dxa"/>
            <w:vAlign w:val="bottom"/>
          </w:tcPr>
          <w:p>
            <w:pPr>
              <w:spacing w:after="0"/>
              <w:rPr>
                <w:sz w:val="15"/>
                <w:szCs w:val="15"/>
                <w:color w:val="auto"/>
              </w:rPr>
            </w:pPr>
          </w:p>
        </w:tc>
        <w:tc>
          <w:tcPr>
            <w:tcW w:w="11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48,855</w:t>
            </w:r>
          </w:p>
        </w:tc>
        <w:tc>
          <w:tcPr>
            <w:tcW w:w="0" w:type="dxa"/>
            <w:vAlign w:val="bottom"/>
          </w:tcPr>
          <w:p>
            <w:pPr>
              <w:spacing w:after="0"/>
              <w:rPr>
                <w:sz w:val="1"/>
                <w:szCs w:val="1"/>
                <w:color w:val="auto"/>
              </w:rPr>
            </w:pP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net of offering costs</w:t>
            </w: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8,897</w:t>
            </w:r>
          </w:p>
        </w:tc>
        <w:tc>
          <w:tcPr>
            <w:tcW w:w="36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8,897</w:t>
            </w:r>
          </w:p>
        </w:tc>
        <w:tc>
          <w:tcPr>
            <w:tcW w:w="0" w:type="dxa"/>
            <w:vAlign w:val="bottom"/>
          </w:tcPr>
          <w:p>
            <w:pPr>
              <w:spacing w:after="0"/>
              <w:rPr>
                <w:sz w:val="1"/>
                <w:szCs w:val="1"/>
                <w:color w:val="auto"/>
              </w:rPr>
            </w:pPr>
          </w:p>
        </w:tc>
      </w:tr>
      <w:tr>
        <w:trPr>
          <w:trHeight w:val="176"/>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February 1, 1998</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080" w:type="dxa"/>
            <w:vAlign w:val="bottom"/>
            <w:vMerge w:val="continue"/>
          </w:tcPr>
          <w:p>
            <w:pPr>
              <w:spacing w:after="0"/>
              <w:rPr>
                <w:sz w:val="22"/>
                <w:szCs w:val="22"/>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13,019</w:t>
            </w:r>
          </w:p>
        </w:tc>
        <w:tc>
          <w:tcPr>
            <w:tcW w:w="380" w:type="dxa"/>
            <w:vAlign w:val="bottom"/>
          </w:tcPr>
          <w:p>
            <w:pPr>
              <w:spacing w:after="0"/>
              <w:rPr>
                <w:sz w:val="22"/>
                <w:szCs w:val="22"/>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w:t>
            </w:r>
          </w:p>
        </w:tc>
        <w:tc>
          <w:tcPr>
            <w:tcW w:w="320" w:type="dxa"/>
            <w:vAlign w:val="bottom"/>
          </w:tcPr>
          <w:p>
            <w:pPr>
              <w:spacing w:after="0"/>
              <w:rPr>
                <w:sz w:val="22"/>
                <w:szCs w:val="22"/>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116,054</w:t>
            </w:r>
          </w:p>
        </w:tc>
        <w:tc>
          <w:tcPr>
            <w:tcW w:w="320" w:type="dxa"/>
            <w:vAlign w:val="bottom"/>
          </w:tcPr>
          <w:p>
            <w:pPr>
              <w:spacing w:after="0"/>
              <w:rPr>
                <w:sz w:val="22"/>
                <w:szCs w:val="22"/>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17,172</w:t>
            </w:r>
          </w:p>
        </w:tc>
        <w:tc>
          <w:tcPr>
            <w:tcW w:w="36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133,356</w:t>
            </w:r>
          </w:p>
        </w:tc>
        <w:tc>
          <w:tcPr>
            <w:tcW w:w="0" w:type="dxa"/>
            <w:vAlign w:val="bottom"/>
          </w:tcPr>
          <w:p>
            <w:pPr>
              <w:spacing w:after="0"/>
              <w:rPr>
                <w:sz w:val="1"/>
                <w:szCs w:val="1"/>
                <w:color w:val="auto"/>
              </w:rPr>
            </w:pPr>
          </w:p>
        </w:tc>
      </w:tr>
      <w:tr>
        <w:trPr>
          <w:trHeight w:val="2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Proceeds from exercising stock</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50</w:t>
            </w:r>
          </w:p>
        </w:tc>
        <w:tc>
          <w:tcPr>
            <w:tcW w:w="380" w:type="dxa"/>
            <w:vAlign w:val="bottom"/>
          </w:tcPr>
          <w:p>
            <w:pPr>
              <w:spacing w:after="0"/>
              <w:rPr>
                <w:sz w:val="23"/>
                <w:szCs w:val="23"/>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23"/>
                <w:szCs w:val="23"/>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603</w:t>
            </w:r>
          </w:p>
        </w:tc>
        <w:tc>
          <w:tcPr>
            <w:tcW w:w="320" w:type="dxa"/>
            <w:vAlign w:val="bottom"/>
          </w:tcPr>
          <w:p>
            <w:pPr>
              <w:spacing w:after="0"/>
              <w:rPr>
                <w:sz w:val="23"/>
                <w:szCs w:val="23"/>
                <w:color w:val="auto"/>
              </w:rPr>
            </w:pPr>
          </w:p>
        </w:tc>
        <w:tc>
          <w:tcPr>
            <w:tcW w:w="11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3"/>
                <w:szCs w:val="23"/>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options</w:t>
            </w: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Tax benefit related to stock</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208</w:t>
            </w:r>
          </w:p>
        </w:tc>
        <w:tc>
          <w:tcPr>
            <w:tcW w:w="320" w:type="dxa"/>
            <w:vAlign w:val="bottom"/>
          </w:tcPr>
          <w:p>
            <w:pPr>
              <w:spacing w:after="0"/>
              <w:rPr>
                <w:sz w:val="15"/>
                <w:szCs w:val="15"/>
                <w:color w:val="auto"/>
              </w:rPr>
            </w:pPr>
          </w:p>
        </w:tc>
        <w:tc>
          <w:tcPr>
            <w:tcW w:w="11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208</w:t>
            </w:r>
          </w:p>
        </w:tc>
        <w:tc>
          <w:tcPr>
            <w:tcW w:w="0" w:type="dxa"/>
            <w:vAlign w:val="bottom"/>
          </w:tcPr>
          <w:p>
            <w:pPr>
              <w:spacing w:after="0"/>
              <w:rPr>
                <w:sz w:val="1"/>
                <w:szCs w:val="1"/>
                <w:color w:val="auto"/>
              </w:rPr>
            </w:pP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option exercises</w:t>
            </w: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Spin-off and related transactions (note 9)</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(2,244)</w:t>
            </w:r>
          </w:p>
        </w:tc>
        <w:tc>
          <w:tcPr>
            <w:tcW w:w="32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(2,244)</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13,578</w:t>
            </w:r>
          </w:p>
        </w:tc>
        <w:tc>
          <w:tcPr>
            <w:tcW w:w="36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13,578</w:t>
            </w:r>
          </w:p>
        </w:tc>
        <w:tc>
          <w:tcPr>
            <w:tcW w:w="0" w:type="dxa"/>
            <w:vAlign w:val="bottom"/>
          </w:tcPr>
          <w:p>
            <w:pPr>
              <w:spacing w:after="0"/>
              <w:rPr>
                <w:sz w:val="1"/>
                <w:szCs w:val="1"/>
                <w:color w:val="auto"/>
              </w:rPr>
            </w:pPr>
          </w:p>
        </w:tc>
      </w:tr>
      <w:tr>
        <w:trPr>
          <w:trHeight w:val="176"/>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January 31, 1999</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080" w:type="dxa"/>
            <w:vAlign w:val="bottom"/>
            <w:vMerge w:val="continue"/>
          </w:tcPr>
          <w:p>
            <w:pPr>
              <w:spacing w:after="0"/>
              <w:rPr>
                <w:sz w:val="22"/>
                <w:szCs w:val="22"/>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13,069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114,621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145,502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980"/>
          </w:cols>
          <w:pgMar w:left="240" w:top="266" w:right="6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7"/>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Courier New" w:cs="Courier New" w:eastAsia="Courier New" w:hAnsi="Courier New"/>
                <w:sz w:val="15"/>
                <w:szCs w:val="15"/>
                <w:color w:val="auto"/>
              </w:rPr>
              <w:t>DAVE &amp; BUSTER'S, INC.</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28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24"/>
                <w:szCs w:val="24"/>
                <w:color w:val="auto"/>
              </w:rPr>
            </w:pP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24"/>
                <w:szCs w:val="24"/>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448"/>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00" w:type="dxa"/>
            <w:vAlign w:val="bottom"/>
          </w:tcPr>
          <w:p>
            <w:pPr>
              <w:spacing w:after="0"/>
              <w:rPr>
                <w:sz w:val="24"/>
                <w:szCs w:val="24"/>
                <w:color w:val="auto"/>
              </w:rPr>
            </w:pPr>
          </w:p>
        </w:tc>
        <w:tc>
          <w:tcPr>
            <w:tcW w:w="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13,578</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8,897</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6,340</w:t>
            </w: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640"/>
              <w:spacing w:after="0"/>
              <w:rPr>
                <w:sz w:val="20"/>
                <w:szCs w:val="20"/>
                <w:color w:val="auto"/>
              </w:rPr>
            </w:pPr>
            <w:r>
              <w:rPr>
                <w:rFonts w:ascii="Courier New" w:cs="Courier New" w:eastAsia="Courier New" w:hAnsi="Courier New"/>
                <w:sz w:val="15"/>
                <w:szCs w:val="15"/>
                <w:color w:val="auto"/>
              </w:rPr>
              <w:t>provided by operating</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activities: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16,702</w:t>
            </w:r>
          </w:p>
        </w:tc>
        <w:tc>
          <w:tcPr>
            <w:tcW w:w="42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11,716</w:t>
            </w:r>
          </w:p>
        </w:tc>
        <w:tc>
          <w:tcPr>
            <w:tcW w:w="40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8,252</w:t>
            </w:r>
          </w:p>
        </w:tc>
        <w:tc>
          <w:tcPr>
            <w:tcW w:w="0" w:type="dxa"/>
            <w:vAlign w:val="bottom"/>
          </w:tcPr>
          <w:p>
            <w:pPr>
              <w:spacing w:after="0"/>
              <w:rPr>
                <w:sz w:val="1"/>
                <w:szCs w:val="1"/>
                <w:color w:val="auto"/>
              </w:rPr>
            </w:pPr>
          </w:p>
        </w:tc>
      </w:tr>
      <w:tr>
        <w:trPr>
          <w:trHeight w:val="176"/>
        </w:trPr>
        <w:tc>
          <w:tcPr>
            <w:tcW w:w="4760" w:type="dxa"/>
            <w:vAlign w:val="bottom"/>
          </w:tcPr>
          <w:p>
            <w:pPr>
              <w:ind w:left="1280"/>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1280"/>
              <w:spacing w:after="0"/>
              <w:rPr>
                <w:sz w:val="20"/>
                <w:szCs w:val="20"/>
                <w:color w:val="auto"/>
              </w:rPr>
            </w:pPr>
            <w:r>
              <w:rPr>
                <w:rFonts w:ascii="Courier New" w:cs="Courier New" w:eastAsia="Courier New" w:hAnsi="Courier New"/>
                <w:sz w:val="15"/>
                <w:szCs w:val="15"/>
                <w:color w:val="auto"/>
              </w:rPr>
              <w:t>Provision for deferred income taxes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4,159</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2,249</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1,241</w:t>
            </w:r>
          </w:p>
        </w:tc>
        <w:tc>
          <w:tcPr>
            <w:tcW w:w="0" w:type="dxa"/>
            <w:vAlign w:val="bottom"/>
          </w:tcPr>
          <w:p>
            <w:pPr>
              <w:spacing w:after="0"/>
              <w:rPr>
                <w:sz w:val="1"/>
                <w:szCs w:val="1"/>
                <w:color w:val="auto"/>
              </w:rPr>
            </w:pPr>
          </w:p>
        </w:tc>
      </w:tr>
      <w:tr>
        <w:trPr>
          <w:trHeight w:val="176"/>
        </w:trPr>
        <w:tc>
          <w:tcPr>
            <w:tcW w:w="4760" w:type="dxa"/>
            <w:vAlign w:val="bottom"/>
          </w:tcPr>
          <w:p>
            <w:pPr>
              <w:ind w:left="1280"/>
              <w:spacing w:after="0"/>
              <w:rPr>
                <w:sz w:val="20"/>
                <w:szCs w:val="20"/>
                <w:color w:val="auto"/>
              </w:rPr>
            </w:pPr>
            <w:r>
              <w:rPr>
                <w:rFonts w:ascii="Courier New" w:cs="Courier New" w:eastAsia="Courier New" w:hAnsi="Courier New"/>
                <w:sz w:val="15"/>
                <w:szCs w:val="15"/>
                <w:color w:val="auto"/>
              </w:rPr>
              <w:t>Changes in assets and liabilities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(4,589)</w:t>
            </w:r>
          </w:p>
        </w:tc>
        <w:tc>
          <w:tcPr>
            <w:tcW w:w="420" w:type="dxa"/>
            <w:vAlign w:val="bottom"/>
          </w:tcPr>
          <w:p>
            <w:pPr>
              <w:spacing w:after="0"/>
              <w:rPr>
                <w:sz w:val="15"/>
                <w:szCs w:val="15"/>
                <w:color w:val="auto"/>
              </w:rPr>
            </w:pPr>
          </w:p>
        </w:tc>
        <w:tc>
          <w:tcPr>
            <w:tcW w:w="10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(2,332)</w:t>
            </w:r>
          </w:p>
        </w:tc>
        <w:tc>
          <w:tcPr>
            <w:tcW w:w="4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(1,269)</w:t>
            </w:r>
          </w:p>
        </w:tc>
        <w:tc>
          <w:tcPr>
            <w:tcW w:w="0" w:type="dxa"/>
            <w:vAlign w:val="bottom"/>
          </w:tcPr>
          <w:p>
            <w:pPr>
              <w:spacing w:after="0"/>
              <w:rPr>
                <w:sz w:val="1"/>
                <w:szCs w:val="1"/>
                <w:color w:val="auto"/>
              </w:rPr>
            </w:pPr>
          </w:p>
        </w:tc>
      </w:tr>
      <w:tr>
        <w:trPr>
          <w:trHeight w:val="176"/>
        </w:trPr>
        <w:tc>
          <w:tcPr>
            <w:tcW w:w="4760" w:type="dxa"/>
            <w:vAlign w:val="bottom"/>
          </w:tcPr>
          <w:p>
            <w:pPr>
              <w:ind w:left="1640"/>
              <w:spacing w:after="0"/>
              <w:rPr>
                <w:sz w:val="20"/>
                <w:szCs w:val="20"/>
                <w:color w:val="auto"/>
              </w:rPr>
            </w:pPr>
            <w:r>
              <w:rPr>
                <w:rFonts w:ascii="Courier New" w:cs="Courier New" w:eastAsia="Courier New" w:hAnsi="Courier New"/>
                <w:sz w:val="15"/>
                <w:szCs w:val="15"/>
                <w:color w:val="auto"/>
              </w:rPr>
              <w:t>Inventories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1640"/>
              <w:spacing w:after="0"/>
              <w:rPr>
                <w:sz w:val="20"/>
                <w:szCs w:val="20"/>
                <w:color w:val="auto"/>
              </w:rPr>
            </w:pPr>
            <w:r>
              <w:rPr>
                <w:rFonts w:ascii="Courier New" w:cs="Courier New" w:eastAsia="Courier New" w:hAnsi="Courier New"/>
                <w:sz w:val="15"/>
                <w:szCs w:val="15"/>
                <w:color w:val="auto"/>
              </w:rPr>
              <w:t>Prepaid expenses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(509)</w:t>
            </w:r>
          </w:p>
        </w:tc>
        <w:tc>
          <w:tcPr>
            <w:tcW w:w="4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(353)</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c>
          <w:tcPr>
            <w:tcW w:w="0" w:type="dxa"/>
            <w:vAlign w:val="bottom"/>
          </w:tcPr>
          <w:p>
            <w:pPr>
              <w:spacing w:after="0"/>
              <w:rPr>
                <w:sz w:val="1"/>
                <w:szCs w:val="1"/>
                <w:color w:val="auto"/>
              </w:rPr>
            </w:pPr>
          </w:p>
        </w:tc>
      </w:tr>
      <w:tr>
        <w:trPr>
          <w:trHeight w:val="176"/>
        </w:trPr>
        <w:tc>
          <w:tcPr>
            <w:tcW w:w="4760" w:type="dxa"/>
            <w:vAlign w:val="bottom"/>
          </w:tcPr>
          <w:p>
            <w:pPr>
              <w:ind w:left="1640"/>
              <w:spacing w:after="0"/>
              <w:rPr>
                <w:sz w:val="20"/>
                <w:szCs w:val="20"/>
                <w:color w:val="auto"/>
              </w:rPr>
            </w:pPr>
            <w:r>
              <w:rPr>
                <w:rFonts w:ascii="Courier New" w:cs="Courier New" w:eastAsia="Courier New" w:hAnsi="Courier New"/>
                <w:sz w:val="15"/>
                <w:szCs w:val="15"/>
                <w:color w:val="auto"/>
              </w:rPr>
              <w:t>Preopening costs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(8,493)</w:t>
            </w:r>
          </w:p>
        </w:tc>
        <w:tc>
          <w:tcPr>
            <w:tcW w:w="4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(4,714)</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(2,606)</w:t>
            </w:r>
          </w:p>
        </w:tc>
        <w:tc>
          <w:tcPr>
            <w:tcW w:w="0" w:type="dxa"/>
            <w:vAlign w:val="bottom"/>
          </w:tcPr>
          <w:p>
            <w:pPr>
              <w:spacing w:after="0"/>
              <w:rPr>
                <w:sz w:val="1"/>
                <w:szCs w:val="1"/>
                <w:color w:val="auto"/>
              </w:rPr>
            </w:pPr>
          </w:p>
        </w:tc>
      </w:tr>
      <w:tr>
        <w:trPr>
          <w:trHeight w:val="176"/>
        </w:trPr>
        <w:tc>
          <w:tcPr>
            <w:tcW w:w="4760" w:type="dxa"/>
            <w:vAlign w:val="bottom"/>
          </w:tcPr>
          <w:p>
            <w:pPr>
              <w:ind w:left="1640"/>
              <w:spacing w:after="0"/>
              <w:rPr>
                <w:sz w:val="20"/>
                <w:szCs w:val="20"/>
                <w:color w:val="auto"/>
              </w:rPr>
            </w:pPr>
            <w:r>
              <w:rPr>
                <w:rFonts w:ascii="Courier New" w:cs="Courier New" w:eastAsia="Courier New" w:hAnsi="Courier New"/>
                <w:sz w:val="15"/>
                <w:szCs w:val="15"/>
                <w:color w:val="auto"/>
              </w:rPr>
              <w:t>Other assets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(3,401)</w:t>
            </w:r>
          </w:p>
        </w:tc>
        <w:tc>
          <w:tcPr>
            <w:tcW w:w="4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(1,311)</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c>
          <w:tcPr>
            <w:tcW w:w="0" w:type="dxa"/>
            <w:vAlign w:val="bottom"/>
          </w:tcPr>
          <w:p>
            <w:pPr>
              <w:spacing w:after="0"/>
              <w:rPr>
                <w:sz w:val="1"/>
                <w:szCs w:val="1"/>
                <w:color w:val="auto"/>
              </w:rPr>
            </w:pPr>
          </w:p>
        </w:tc>
      </w:tr>
      <w:tr>
        <w:trPr>
          <w:trHeight w:val="176"/>
        </w:trPr>
        <w:tc>
          <w:tcPr>
            <w:tcW w:w="4760" w:type="dxa"/>
            <w:vAlign w:val="bottom"/>
          </w:tcPr>
          <w:p>
            <w:pPr>
              <w:ind w:left="1640"/>
              <w:spacing w:after="0"/>
              <w:rPr>
                <w:sz w:val="20"/>
                <w:szCs w:val="20"/>
                <w:color w:val="auto"/>
              </w:rPr>
            </w:pPr>
            <w:r>
              <w:rPr>
                <w:rFonts w:ascii="Courier New" w:cs="Courier New" w:eastAsia="Courier New" w:hAnsi="Courier New"/>
                <w:sz w:val="15"/>
                <w:szCs w:val="15"/>
                <w:color w:val="auto"/>
              </w:rPr>
              <w:t>Accounts payable</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9,620</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901</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718</w:t>
            </w:r>
          </w:p>
        </w:tc>
        <w:tc>
          <w:tcPr>
            <w:tcW w:w="0" w:type="dxa"/>
            <w:vAlign w:val="bottom"/>
          </w:tcPr>
          <w:p>
            <w:pPr>
              <w:spacing w:after="0"/>
              <w:rPr>
                <w:sz w:val="1"/>
                <w:szCs w:val="1"/>
                <w:color w:val="auto"/>
              </w:rPr>
            </w:pPr>
          </w:p>
        </w:tc>
      </w:tr>
      <w:tr>
        <w:trPr>
          <w:trHeight w:val="176"/>
        </w:trPr>
        <w:tc>
          <w:tcPr>
            <w:tcW w:w="4760" w:type="dxa"/>
            <w:vAlign w:val="bottom"/>
          </w:tcPr>
          <w:p>
            <w:pPr>
              <w:ind w:left="1640"/>
              <w:spacing w:after="0"/>
              <w:rPr>
                <w:sz w:val="20"/>
                <w:szCs w:val="20"/>
                <w:color w:val="auto"/>
              </w:rPr>
            </w:pPr>
            <w:r>
              <w:rPr>
                <w:rFonts w:ascii="Courier New" w:cs="Courier New" w:eastAsia="Courier New" w:hAnsi="Courier New"/>
                <w:sz w:val="15"/>
                <w:szCs w:val="15"/>
                <w:color w:val="auto"/>
              </w:rPr>
              <w:t>Accrued liabilities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530</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1,508</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393</w:t>
            </w:r>
          </w:p>
        </w:tc>
        <w:tc>
          <w:tcPr>
            <w:tcW w:w="0" w:type="dxa"/>
            <w:vAlign w:val="bottom"/>
          </w:tcPr>
          <w:p>
            <w:pPr>
              <w:spacing w:after="0"/>
              <w:rPr>
                <w:sz w:val="1"/>
                <w:szCs w:val="1"/>
                <w:color w:val="auto"/>
              </w:rPr>
            </w:pPr>
          </w:p>
        </w:tc>
      </w:tr>
      <w:tr>
        <w:trPr>
          <w:trHeight w:val="176"/>
        </w:trPr>
        <w:tc>
          <w:tcPr>
            <w:tcW w:w="4760" w:type="dxa"/>
            <w:vAlign w:val="bottom"/>
          </w:tcPr>
          <w:p>
            <w:pPr>
              <w:ind w:left="1640"/>
              <w:spacing w:after="0"/>
              <w:rPr>
                <w:sz w:val="20"/>
                <w:szCs w:val="20"/>
                <w:color w:val="auto"/>
              </w:rPr>
            </w:pPr>
            <w:r>
              <w:rPr>
                <w:rFonts w:ascii="Courier New" w:cs="Courier New" w:eastAsia="Courier New" w:hAnsi="Courier New"/>
                <w:sz w:val="15"/>
                <w:szCs w:val="15"/>
                <w:color w:val="auto"/>
              </w:rPr>
              <w:t>Income taxes payable</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(924)</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924</w:t>
            </w:r>
          </w:p>
        </w:tc>
        <w:tc>
          <w:tcPr>
            <w:tcW w:w="0" w:type="dxa"/>
            <w:vAlign w:val="bottom"/>
          </w:tcPr>
          <w:p>
            <w:pPr>
              <w:spacing w:after="0"/>
              <w:rPr>
                <w:sz w:val="1"/>
                <w:szCs w:val="1"/>
                <w:color w:val="auto"/>
              </w:rPr>
            </w:pPr>
          </w:p>
        </w:tc>
      </w:tr>
      <w:tr>
        <w:trPr>
          <w:trHeight w:val="176"/>
        </w:trPr>
        <w:tc>
          <w:tcPr>
            <w:tcW w:w="4760" w:type="dxa"/>
            <w:vAlign w:val="bottom"/>
          </w:tcPr>
          <w:p>
            <w:pPr>
              <w:ind w:left="1640"/>
              <w:spacing w:after="0"/>
              <w:rPr>
                <w:sz w:val="20"/>
                <w:szCs w:val="20"/>
                <w:color w:val="auto"/>
              </w:rPr>
            </w:pPr>
            <w:r>
              <w:rPr>
                <w:rFonts w:ascii="Courier New" w:cs="Courier New" w:eastAsia="Courier New" w:hAnsi="Courier New"/>
                <w:sz w:val="15"/>
                <w:szCs w:val="15"/>
                <w:color w:val="auto"/>
              </w:rPr>
              <w:t>Other liabilities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649</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76"/>
        </w:trPr>
        <w:tc>
          <w:tcPr>
            <w:tcW w:w="47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0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28,246</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15,716</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13,125</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(75,621)</w:t>
            </w:r>
          </w:p>
        </w:tc>
        <w:tc>
          <w:tcPr>
            <w:tcW w:w="420" w:type="dxa"/>
            <w:vAlign w:val="bottom"/>
          </w:tcPr>
          <w:p>
            <w:pPr>
              <w:spacing w:after="0"/>
              <w:rPr>
                <w:sz w:val="15"/>
                <w:szCs w:val="15"/>
                <w:color w:val="auto"/>
              </w:rPr>
            </w:pPr>
          </w:p>
        </w:tc>
        <w:tc>
          <w:tcPr>
            <w:tcW w:w="10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(40,101)</w:t>
            </w:r>
          </w:p>
        </w:tc>
        <w:tc>
          <w:tcPr>
            <w:tcW w:w="4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(30,860)</w:t>
            </w: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Capital expenditures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Purchase of short-term investments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(8,507)</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Proceeds from sale of short-term investments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8,507</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7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10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(67,114)</w:t>
            </w:r>
          </w:p>
        </w:tc>
        <w:tc>
          <w:tcPr>
            <w:tcW w:w="4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(48,608)</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(30,860)</w:t>
            </w:r>
          </w:p>
        </w:tc>
        <w:tc>
          <w:tcPr>
            <w:tcW w:w="0" w:type="dxa"/>
            <w:vAlign w:val="bottom"/>
          </w:tcPr>
          <w:p>
            <w:pPr>
              <w:spacing w:after="0"/>
              <w:rPr>
                <w:sz w:val="1"/>
                <w:szCs w:val="1"/>
                <w:color w:val="auto"/>
              </w:rPr>
            </w:pPr>
          </w:p>
        </w:tc>
      </w:tr>
      <w:tr>
        <w:trPr>
          <w:trHeight w:val="257"/>
        </w:trPr>
        <w:tc>
          <w:tcPr>
            <w:tcW w:w="476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00" w:type="dxa"/>
            <w:vAlign w:val="bottom"/>
          </w:tcPr>
          <w:p>
            <w:pPr>
              <w:spacing w:after="0"/>
              <w:rPr>
                <w:sz w:val="22"/>
                <w:szCs w:val="22"/>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(2,244)</w:t>
            </w:r>
          </w:p>
        </w:tc>
        <w:tc>
          <w:tcPr>
            <w:tcW w:w="420" w:type="dxa"/>
            <w:vAlign w:val="bottom"/>
          </w:tcPr>
          <w:p>
            <w:pPr>
              <w:spacing w:after="0"/>
              <w:rPr>
                <w:sz w:val="8"/>
                <w:szCs w:val="8"/>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8"/>
                <w:szCs w:val="8"/>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Spin-off and related transactions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Borrowings under long-term debt</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33,500</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18,519</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16,450</w:t>
            </w: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Repayments of long-term debt</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(3,000)</w:t>
            </w:r>
          </w:p>
        </w:tc>
        <w:tc>
          <w:tcPr>
            <w:tcW w:w="4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(20,769)</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Proceeds from issuance of common stock, net</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812</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49,093</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6"/>
        </w:trPr>
        <w:tc>
          <w:tcPr>
            <w:tcW w:w="47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10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29,068</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46,843</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13,768</w:t>
            </w:r>
          </w:p>
        </w:tc>
        <w:tc>
          <w:tcPr>
            <w:tcW w:w="0" w:type="dxa"/>
            <w:vAlign w:val="bottom"/>
          </w:tcPr>
          <w:p>
            <w:pPr>
              <w:spacing w:after="0"/>
              <w:rPr>
                <w:sz w:val="1"/>
                <w:szCs w:val="1"/>
                <w:color w:val="auto"/>
              </w:rPr>
            </w:pPr>
          </w:p>
        </w:tc>
      </w:tr>
      <w:tr>
        <w:trPr>
          <w:trHeight w:val="176"/>
        </w:trPr>
        <w:tc>
          <w:tcPr>
            <w:tcW w:w="476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10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(9,800)</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13,951</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(3,967)</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14,309</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358</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4,325</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1100" w:type="dxa"/>
            <w:vAlign w:val="bottom"/>
          </w:tcPr>
          <w:p>
            <w:pPr>
              <w:spacing w:after="0"/>
              <w:rPr>
                <w:sz w:val="24"/>
                <w:szCs w:val="24"/>
                <w:color w:val="auto"/>
              </w:rPr>
            </w:pP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4,509</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14,309</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358</w:t>
            </w:r>
          </w:p>
        </w:tc>
        <w:tc>
          <w:tcPr>
            <w:tcW w:w="0" w:type="dxa"/>
            <w:vAlign w:val="bottom"/>
          </w:tcPr>
          <w:p>
            <w:pPr>
              <w:spacing w:after="0"/>
              <w:rPr>
                <w:sz w:val="1"/>
                <w:szCs w:val="1"/>
                <w:color w:val="auto"/>
              </w:rPr>
            </w:pPr>
          </w:p>
        </w:tc>
      </w:tr>
      <w:tr>
        <w:trPr>
          <w:trHeight w:val="2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100" w:type="dxa"/>
            <w:vAlign w:val="bottom"/>
          </w:tcPr>
          <w:p>
            <w:pPr>
              <w:spacing w:after="0"/>
              <w:rPr>
                <w:sz w:val="23"/>
                <w:szCs w:val="23"/>
                <w:color w:val="auto"/>
              </w:rPr>
            </w:pPr>
          </w:p>
        </w:tc>
        <w:tc>
          <w:tcPr>
            <w:tcW w:w="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5,674</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4,693</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1,815</w:t>
            </w:r>
          </w:p>
        </w:tc>
        <w:tc>
          <w:tcPr>
            <w:tcW w:w="0" w:type="dxa"/>
            <w:vAlign w:val="bottom"/>
          </w:tcPr>
          <w:p>
            <w:pPr>
              <w:spacing w:after="0"/>
              <w:rPr>
                <w:sz w:val="1"/>
                <w:szCs w:val="1"/>
                <w:color w:val="auto"/>
              </w:rPr>
            </w:pPr>
          </w:p>
        </w:tc>
      </w:tr>
      <w:tr>
        <w:trPr>
          <w:trHeight w:val="176"/>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Cash paid for income taxes</w:t>
            </w:r>
          </w:p>
        </w:tc>
        <w:tc>
          <w:tcPr>
            <w:tcW w:w="11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8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Cash paid for interest, net of amounts capitalized</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263</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727</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6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DAVE &amp; BUSTER'S, INC.</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8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BASIS OF PRESENTATION -- The consolidated financial statements include the accounts of Dave &amp; Buster's, Inc. and all wholly-owned subsidiaries (the "Company"). All material intercompany accounts and transactions have been eliminated in consolidation. The Company's one industry segment is the ownership and operation of restaurant/entertainment complexes (a "Complex" or "Store") under the name "Dave &amp; Buster's," which are located in Texas, Georgia, Pennsylvania, Illinois, Florida, Maryland, California, Ohio, Colorado, Michigan, and New York.</w:t>
      </w:r>
    </w:p>
    <w:p>
      <w:pPr>
        <w:spacing w:after="0" w:line="79"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SPIN-OFF TRANSACTION -- Prior to June 29, 1995, the Company was a subsidiary of Edison Brothers Stores, Inc. ("Edison Brothers"). On June 29, 1995, Edison Brothers distributed all of the outstanding shares of common stock of the Company owned by Edison Brothers to the holders of common stock of Edison Brothers (the "Distribution"). Edison Brothers provided certain general and administrative services to the Company prior and subsequent to the Distribution. Edison Brothers charged rent on certain of the Company's facilities.</w:t>
      </w:r>
    </w:p>
    <w:p>
      <w:pPr>
        <w:spacing w:after="0" w:line="76" w:lineRule="exact"/>
        <w:rPr>
          <w:sz w:val="20"/>
          <w:szCs w:val="20"/>
          <w:color w:val="auto"/>
        </w:rPr>
      </w:pPr>
    </w:p>
    <w:p>
      <w:pPr>
        <w:ind w:right="3079"/>
        <w:spacing w:after="0" w:line="279"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certain estimates and assumptions that affect the amounts reported in the financial statements and accompanying notes. Actual results could differ from those estimates.</w:t>
      </w:r>
    </w:p>
    <w:p>
      <w:pPr>
        <w:spacing w:after="0" w:line="69" w:lineRule="exact"/>
        <w:rPr>
          <w:sz w:val="20"/>
          <w:szCs w:val="20"/>
          <w:color w:val="auto"/>
        </w:rPr>
      </w:pPr>
    </w:p>
    <w:p>
      <w:pPr>
        <w:jc w:val="both"/>
        <w:ind w:right="3079"/>
        <w:spacing w:after="0" w:line="310" w:lineRule="auto"/>
        <w:rPr>
          <w:sz w:val="20"/>
          <w:szCs w:val="20"/>
          <w:color w:val="auto"/>
        </w:rPr>
      </w:pPr>
      <w:r>
        <w:rPr>
          <w:rFonts w:ascii="Courier New" w:cs="Courier New" w:eastAsia="Courier New" w:hAnsi="Courier New"/>
          <w:sz w:val="15"/>
          <w:szCs w:val="15"/>
          <w:color w:val="auto"/>
        </w:rPr>
        <w:t>FISCAL YEAR -- The Company's fiscal year ends on the Sunday after the Saturday closest to January 31. References to 1998, 1997, and 1996 are to the 52 weeks ended January 31, 1999, February 1, 1998, and February 2, 1997.</w:t>
      </w:r>
    </w:p>
    <w:p>
      <w:pPr>
        <w:spacing w:after="0" w:line="46" w:lineRule="exact"/>
        <w:rPr>
          <w:sz w:val="20"/>
          <w:szCs w:val="20"/>
          <w:color w:val="auto"/>
        </w:rPr>
      </w:pPr>
    </w:p>
    <w:p>
      <w:pPr>
        <w:jc w:val="both"/>
        <w:ind w:right="3079"/>
        <w:spacing w:after="0" w:line="372" w:lineRule="auto"/>
        <w:rPr>
          <w:sz w:val="20"/>
          <w:szCs w:val="20"/>
          <w:color w:val="auto"/>
        </w:rPr>
      </w:pPr>
      <w:r>
        <w:rPr>
          <w:rFonts w:ascii="Courier New" w:cs="Courier New" w:eastAsia="Courier New" w:hAnsi="Courier New"/>
          <w:sz w:val="15"/>
          <w:szCs w:val="15"/>
          <w:color w:val="auto"/>
        </w:rPr>
        <w:t>CASH AND CASH EQUIVALENTS -- Cash equivalents for 1997 consist of investments which are readily convertible to cash with maturities of three months or less.</w:t>
      </w:r>
    </w:p>
    <w:p>
      <w:pPr>
        <w:spacing w:after="0" w:line="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INVESTMENTS -- Investment securities with original maturities of more than three months and less than one year on their acquisition date are accounted for as short-term investments. The Company's investments consisted of a corporate bond as of February 1, 1998 (there was no difference between cost and estimated fair value).</w:t>
      </w:r>
    </w:p>
    <w:p>
      <w:pPr>
        <w:spacing w:after="0" w:line="69" w:lineRule="exact"/>
        <w:rPr>
          <w:sz w:val="20"/>
          <w:szCs w:val="20"/>
          <w:color w:val="auto"/>
        </w:rPr>
      </w:pPr>
    </w:p>
    <w:p>
      <w:pPr>
        <w:ind w:right="3179"/>
        <w:spacing w:after="0" w:line="310" w:lineRule="auto"/>
        <w:rPr>
          <w:sz w:val="20"/>
          <w:szCs w:val="20"/>
          <w:color w:val="auto"/>
        </w:rPr>
      </w:pPr>
      <w:r>
        <w:rPr>
          <w:rFonts w:ascii="Courier New" w:cs="Courier New" w:eastAsia="Courier New" w:hAnsi="Courier New"/>
          <w:sz w:val="15"/>
          <w:szCs w:val="15"/>
          <w:color w:val="auto"/>
        </w:rPr>
        <w:t>INVENTORIES -- Inventories, which consist of food, beverage, merchandise, and supplies, are reported at the lower of cost or market determined on the first-in, first-out method.</w:t>
      </w:r>
    </w:p>
    <w:p>
      <w:pPr>
        <w:spacing w:after="0" w:line="46" w:lineRule="exact"/>
        <w:rPr>
          <w:sz w:val="20"/>
          <w:szCs w:val="20"/>
          <w:color w:val="auto"/>
        </w:rPr>
      </w:pPr>
    </w:p>
    <w:p>
      <w:pPr>
        <w:ind w:right="3079"/>
        <w:spacing w:after="0" w:line="269" w:lineRule="auto"/>
        <w:rPr>
          <w:sz w:val="20"/>
          <w:szCs w:val="20"/>
          <w:color w:val="auto"/>
        </w:rPr>
      </w:pPr>
      <w:r>
        <w:rPr>
          <w:rFonts w:ascii="Courier New" w:cs="Courier New" w:eastAsia="Courier New" w:hAnsi="Courier New"/>
          <w:sz w:val="15"/>
          <w:szCs w:val="15"/>
          <w:color w:val="auto"/>
        </w:rPr>
        <w:t>PREOPENING COSTS -- Through January 31, 1999, the Company's capitalized preopening costs, consisting of promotional costs, direct costs related to hiring and training the initial workforce, and other direct costs associated with opening a Complex, were amortized over the one year period following the opening of the Complex. Beginning February 1, 1999, such cost will be required to be expensed as incurred to conform to new accounting standards. See Recent Accounting Pronouncements.</w:t>
      </w:r>
    </w:p>
    <w:p>
      <w:pPr>
        <w:spacing w:after="0" w:line="76"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PROPERTY AND EQUIPMENT -- Expenditures for new facilities and those which substantially increase the useful lives of the property, including interest during construction, are capitalized. Interest capitalized in 1998, 1997, and 1996 was $1,375, $851, and $377, respectively. Equipment purchases are capitalized at cost. Property and equipment lives are estimated as follows: buildings, 40 years; leasehold and building improvements, shorter of 20 years or lease life; furniture, fixtures and equipment, 5 to 10 years; games, 5 years.</w:t>
      </w:r>
    </w:p>
    <w:p>
      <w:pPr>
        <w:spacing w:after="0" w:line="76"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GOODWILL -- Goodwill of $8,952 is being amortized over 30 years. Whenever there is an indication of impairment, the Company evaluates the recoverability of goodwill using future undiscounted cash flows.</w:t>
      </w:r>
    </w:p>
    <w:p>
      <w:pPr>
        <w:spacing w:after="0" w:line="46"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DEPRECIATION AND AMORTIZATION -- Property and equipment, excluding most games, are depreciated on the straight-line method over the estimated useful lives of the assets. Games are generally depreciated on the 150%-double-declining-balance method over the estimated useful lives of the assets. Intangible assets are amortized on the straight-line method over estimated useful lives as follows: trademarks over statutory lives; lease rights over remaining lease terms.</w:t>
      </w:r>
    </w:p>
    <w:p>
      <w:pPr>
        <w:spacing w:after="0" w:line="25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6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82" w:lineRule="exact"/>
        <w:rPr>
          <w:sz w:val="20"/>
          <w:szCs w:val="20"/>
          <w:color w:val="auto"/>
        </w:rPr>
      </w:pPr>
    </w:p>
    <w:p>
      <w:pPr>
        <w:ind w:right="100"/>
        <w:spacing w:after="0" w:line="282" w:lineRule="auto"/>
        <w:rPr>
          <w:sz w:val="20"/>
          <w:szCs w:val="20"/>
          <w:color w:val="auto"/>
        </w:rPr>
      </w:pPr>
      <w:r>
        <w:rPr>
          <w:rFonts w:ascii="Courier New" w:cs="Courier New" w:eastAsia="Courier New" w:hAnsi="Courier New"/>
          <w:sz w:val="15"/>
          <w:szCs w:val="15"/>
          <w:color w:val="auto"/>
        </w:rPr>
        <w:t>INTEREST RATE SWAP AGREEMENTS -- The Company enters into interest rate swap agreements to effectively convert a portion of its variable-rate borrowings into fixed-rate obligations. The interest rate differential to be received or paid is recognized over the lives of the agreements as an adjustment to interest expense.</w:t>
      </w:r>
    </w:p>
    <w:p>
      <w:pPr>
        <w:spacing w:after="0" w:line="258" w:lineRule="exact"/>
        <w:rPr>
          <w:sz w:val="20"/>
          <w:szCs w:val="20"/>
          <w:color w:val="auto"/>
        </w:rPr>
      </w:pPr>
    </w:p>
    <w:p>
      <w:pPr>
        <w:ind w:right="180"/>
        <w:spacing w:after="0" w:line="273" w:lineRule="auto"/>
        <w:rPr>
          <w:sz w:val="20"/>
          <w:szCs w:val="20"/>
          <w:color w:val="auto"/>
        </w:rPr>
      </w:pPr>
      <w:r>
        <w:rPr>
          <w:rFonts w:ascii="Courier New" w:cs="Courier New" w:eastAsia="Courier New" w:hAnsi="Courier New"/>
          <w:sz w:val="15"/>
          <w:szCs w:val="15"/>
          <w:color w:val="auto"/>
        </w:rPr>
        <w:t>INCOME TAXES -- The Company uses the liability method which recognizes the amount of current and deferred taxes payable or refundable at the date of the financial statements as a result of all events that have been recognized in the financial statements and as measured by the provisions of enacted tax laws. Prior to June 29, 1995, the Company was included in the consolidated federal income tax return of Edison Brothers.</w:t>
      </w:r>
    </w:p>
    <w:p>
      <w:pPr>
        <w:spacing w:after="0" w:line="74" w:lineRule="exact"/>
        <w:rPr>
          <w:sz w:val="20"/>
          <w:szCs w:val="20"/>
          <w:color w:val="auto"/>
        </w:rPr>
      </w:pPr>
    </w:p>
    <w:p>
      <w:pPr>
        <w:ind w:right="100"/>
        <w:spacing w:after="0" w:line="264" w:lineRule="auto"/>
        <w:rPr>
          <w:sz w:val="20"/>
          <w:szCs w:val="20"/>
          <w:color w:val="auto"/>
        </w:rPr>
      </w:pPr>
      <w:r>
        <w:rPr>
          <w:rFonts w:ascii="Courier New" w:cs="Courier New" w:eastAsia="Courier New" w:hAnsi="Courier New"/>
          <w:sz w:val="15"/>
          <w:szCs w:val="15"/>
          <w:color w:val="auto"/>
        </w:rPr>
        <w:t>STOCK OPTION PLAN -- The Company has elected to follow Accounting Principles Board Opinion No. 25, "Accounting for Stock Issued to Employees" (APB 25) and related Interpretations in accounting for its employee stock options because the alternative fair value accounting provided for under SFAS No. 123, "Accounting for Stock-Based Compensation," requires use of option valuation models that were not developed for use in valuing employee stock options. Under APB 25, because the exercise price of the Company's employee stock options equals the market price of the underlying stock on the date of grant, no compensation expense is recognized.</w:t>
      </w:r>
    </w:p>
    <w:p>
      <w:pPr>
        <w:spacing w:after="0" w:line="80" w:lineRule="exact"/>
        <w:rPr>
          <w:sz w:val="20"/>
          <w:szCs w:val="20"/>
          <w:color w:val="auto"/>
        </w:rPr>
      </w:pPr>
    </w:p>
    <w:p>
      <w:pPr>
        <w:ind w:right="100"/>
        <w:spacing w:after="0" w:line="279" w:lineRule="auto"/>
        <w:rPr>
          <w:sz w:val="20"/>
          <w:szCs w:val="20"/>
          <w:color w:val="auto"/>
        </w:rPr>
      </w:pPr>
      <w:r>
        <w:rPr>
          <w:rFonts w:ascii="Courier New" w:cs="Courier New" w:eastAsia="Courier New" w:hAnsi="Courier New"/>
          <w:sz w:val="15"/>
          <w:szCs w:val="15"/>
          <w:color w:val="auto"/>
        </w:rPr>
        <w:t>REVENUE RECOGNITION -- Foreign license revenues are deferred until the Company fulfills its obligations under license agreements, which is upon the opening of the Complex. The license agreements provide for continuing royalty fees based on percentage of gross revenues and are recognized when assured. Food, beverage, and amusement revenues are recorded at point of sale.</w:t>
      </w:r>
    </w:p>
    <w:p>
      <w:pPr>
        <w:spacing w:after="0" w:line="69" w:lineRule="exact"/>
        <w:rPr>
          <w:sz w:val="20"/>
          <w:szCs w:val="20"/>
          <w:color w:val="auto"/>
        </w:rPr>
      </w:pPr>
    </w:p>
    <w:p>
      <w:pPr>
        <w:ind w:right="100"/>
        <w:spacing w:after="0" w:line="259" w:lineRule="auto"/>
        <w:rPr>
          <w:sz w:val="20"/>
          <w:szCs w:val="20"/>
          <w:color w:val="auto"/>
        </w:rPr>
      </w:pPr>
      <w:r>
        <w:rPr>
          <w:rFonts w:ascii="Courier New" w:cs="Courier New" w:eastAsia="Courier New" w:hAnsi="Courier New"/>
          <w:sz w:val="15"/>
          <w:szCs w:val="15"/>
          <w:color w:val="auto"/>
        </w:rPr>
        <w:t>RECENT ACCOUNTING PRONOUNCEMENTS -- In April 1998, the Accounting Standards Executive Committee of the American Institute of Certified Public Accountants issued Statement of Position ("SOP") 98-5 entitled "Reporting on the Costs of Start-Up Activities." The SOP, which is effective for fiscal years beginning after December 15, 1998, requires entities to expense as incurred all start-up and preopening costs that are not otherwise capitalizable as long-lived assets. Restatement of previously issued annual financial statements is not permitted by the SOP, and entities are not permitted to report the pro forma effects of the retroactive application of the new accounting standard. The Company's adoption of the new accounting standard will involve the recognition of the cumulative effect of the change in accounting principle required by the SOP as a one-time charge against earnings, net of any related income tax benefit in the first quarter of fiscal 1999 in the amount of $4,441 or $.34 per diluted share.</w:t>
      </w:r>
    </w:p>
    <w:p>
      <w:pPr>
        <w:spacing w:after="0" w:line="83" w:lineRule="exact"/>
        <w:rPr>
          <w:sz w:val="20"/>
          <w:szCs w:val="20"/>
          <w:color w:val="auto"/>
        </w:rPr>
      </w:pPr>
    </w:p>
    <w:p>
      <w:pPr>
        <w:ind w:right="280"/>
        <w:spacing w:after="0" w:line="372" w:lineRule="auto"/>
        <w:rPr>
          <w:sz w:val="20"/>
          <w:szCs w:val="20"/>
          <w:color w:val="auto"/>
        </w:rPr>
      </w:pPr>
      <w:r>
        <w:rPr>
          <w:rFonts w:ascii="Courier New" w:cs="Courier New" w:eastAsia="Courier New" w:hAnsi="Courier New"/>
          <w:sz w:val="15"/>
          <w:szCs w:val="15"/>
          <w:color w:val="auto"/>
        </w:rPr>
        <w:t>RECLASSIFICATION -- Certain amounts for 1997 have been reclassified to conform to 1998 presentations.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 ............................................................................</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Buildings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Leasehold and building improvements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Games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Furniture, fixtures, and equipment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Construction in progress ........................................................</w:t>
      </w:r>
    </w:p>
    <w:p>
      <w:pPr>
        <w:spacing w:after="0" w:line="15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Total cost .................................................................</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depreciation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r>
      <w:tr>
        <w:trPr>
          <w:trHeight w:val="271"/>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   8,192</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8,192</w:t>
            </w:r>
          </w:p>
        </w:tc>
      </w:tr>
      <w:tr>
        <w:trPr>
          <w:trHeight w:val="176"/>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42,686</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35,250</w:t>
            </w:r>
          </w:p>
        </w:tc>
      </w:tr>
      <w:tr>
        <w:trPr>
          <w:trHeight w:val="176"/>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54,370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37,030</w:t>
            </w:r>
          </w:p>
        </w:tc>
      </w:tr>
      <w:tr>
        <w:trPr>
          <w:trHeight w:val="176"/>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36,283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26,233</w:t>
            </w:r>
          </w:p>
        </w:tc>
      </w:tr>
      <w:tr>
        <w:trPr>
          <w:trHeight w:val="176"/>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38,179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23,375</w:t>
            </w:r>
          </w:p>
        </w:tc>
      </w:tr>
      <w:tr>
        <w:trPr>
          <w:trHeight w:val="176"/>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32,707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6,716</w:t>
            </w:r>
          </w:p>
        </w:tc>
      </w:tr>
      <w:tr>
        <w:trPr>
          <w:trHeight w:val="176"/>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212,417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136,796</w:t>
            </w:r>
          </w:p>
        </w:tc>
      </w:tr>
      <w:tr>
        <w:trPr>
          <w:trHeight w:val="176"/>
        </w:trPr>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(34,507)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(22,736)</w:t>
            </w:r>
          </w:p>
        </w:tc>
      </w:tr>
      <w:tr>
        <w:trPr>
          <w:trHeight w:val="176"/>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257"/>
        </w:trPr>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$ 177,910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$ 114,060</w:t>
            </w:r>
          </w:p>
        </w:tc>
      </w:tr>
    </w:tbl>
    <w:p>
      <w:pPr>
        <w:sectPr>
          <w:pgSz w:w="11900" w:h="16838" w:orient="portrait"/>
          <w:cols w:equalWidth="0" w:num="2">
            <w:col w:w="7420" w:space="460"/>
            <w:col w:w="2339"/>
          </w:cols>
          <w:pgMar w:left="240" w:top="26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ACCRUED LIABILITIES</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liabilities consist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Payroll .................</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865</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686</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Sales and use tax .......</w:t>
            </w:r>
          </w:p>
        </w:tc>
        <w:tc>
          <w:tcPr>
            <w:tcW w:w="5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1,046</w:t>
            </w: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1,031</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Real estate tax .........</w:t>
            </w:r>
          </w:p>
        </w:tc>
        <w:tc>
          <w:tcPr>
            <w:tcW w:w="5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674</w:t>
            </w: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Other ...................</w:t>
            </w:r>
          </w:p>
        </w:tc>
        <w:tc>
          <w:tcPr>
            <w:tcW w:w="5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1,200</w:t>
            </w: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993</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500" w:type="dxa"/>
            <w:vAlign w:val="bottom"/>
            <w:vMerge w:val="restart"/>
          </w:tcPr>
          <w:p>
            <w:pPr>
              <w:ind w:left="220"/>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6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7"/>
              </w:rPr>
              <w:t>3,785</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2520" w:type="dxa"/>
            <w:vAlign w:val="bottom"/>
          </w:tcPr>
          <w:p>
            <w:pPr>
              <w:spacing w:after="0"/>
              <w:rPr>
                <w:sz w:val="23"/>
                <w:szCs w:val="23"/>
                <w:color w:val="auto"/>
              </w:rPr>
            </w:pPr>
          </w:p>
        </w:tc>
        <w:tc>
          <w:tcPr>
            <w:tcW w:w="50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LONG-TERM DEBT</w:t>
      </w:r>
    </w:p>
    <w:p>
      <w:pPr>
        <w:spacing w:after="0" w:line="182" w:lineRule="exact"/>
        <w:rPr>
          <w:sz w:val="20"/>
          <w:szCs w:val="20"/>
          <w:color w:val="auto"/>
        </w:rPr>
      </w:pPr>
    </w:p>
    <w:p>
      <w:pPr>
        <w:ind w:right="3120"/>
        <w:spacing w:after="0" w:line="261" w:lineRule="auto"/>
        <w:rPr>
          <w:sz w:val="20"/>
          <w:szCs w:val="20"/>
          <w:color w:val="auto"/>
        </w:rPr>
      </w:pPr>
      <w:r>
        <w:rPr>
          <w:rFonts w:ascii="Courier New" w:cs="Courier New" w:eastAsia="Courier New" w:hAnsi="Courier New"/>
          <w:sz w:val="15"/>
          <w:szCs w:val="15"/>
          <w:color w:val="auto"/>
        </w:rPr>
        <w:t>The Company has a secured revolving line of credit which permits borrowing up to a maximum of $100,000. At January 31, 1999, $57,100 was available under this facility. Borrowings under this facility bear interest at a floating rate based on LIBOR or, at the Company's option, the bank's prime rate plus in each case a margin based upon financial performance (7.3% at January 31, 1999) and is secured by all capital stock or equity interest in the stock of the Company's subsidiaries. The facility, which matures in May 2001, has certain financial covenants including a minimum consolidated tangible net worth level, a maximum leverage ratio, minimum fixed charge coverage and maximum level of capital expenditures on new stores. The fair value of the Company's long-term debt approximates its carrying value.</w:t>
      </w:r>
    </w:p>
    <w:p>
      <w:pPr>
        <w:spacing w:after="0" w:line="82" w:lineRule="exact"/>
        <w:rPr>
          <w:sz w:val="20"/>
          <w:szCs w:val="20"/>
          <w:color w:val="auto"/>
        </w:rPr>
      </w:pPr>
    </w:p>
    <w:p>
      <w:pPr>
        <w:ind w:right="3120"/>
        <w:spacing w:after="0" w:line="266" w:lineRule="auto"/>
        <w:rPr>
          <w:sz w:val="20"/>
          <w:szCs w:val="20"/>
          <w:color w:val="auto"/>
        </w:rPr>
      </w:pPr>
      <w:r>
        <w:rPr>
          <w:rFonts w:ascii="Courier New" w:cs="Courier New" w:eastAsia="Courier New" w:hAnsi="Courier New"/>
          <w:sz w:val="15"/>
          <w:szCs w:val="15"/>
          <w:color w:val="auto"/>
        </w:rPr>
        <w:t>The Company has entered into an agreement that expires in 1999, to fix its variable-rate debt to fixed-rate debt (6.75% at January 31, 1999) on notional amounts aggregating $35,000. The market risks associated with the agreement are mitigated because increased interest payments under the agreement resulting from a decrease in LIBOR are effectively offset by decreased payments under the debt obligation. The Company is exposed to credit losses for periodic settlements of amounts due under the agreements. Such amounts were not material at January 31, 1999.</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INCOME TAXES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22"/>
                <w:szCs w:val="22"/>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22"/>
                <w:szCs w:val="22"/>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4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3,188</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2,802</w:t>
            </w:r>
          </w:p>
        </w:tc>
        <w:tc>
          <w:tcPr>
            <w:tcW w:w="4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2,296</w:t>
            </w:r>
          </w:p>
        </w:tc>
        <w:tc>
          <w:tcPr>
            <w:tcW w:w="0" w:type="dxa"/>
            <w:vAlign w:val="bottom"/>
          </w:tcPr>
          <w:p>
            <w:pPr>
              <w:spacing w:after="0"/>
              <w:rPr>
                <w:sz w:val="1"/>
                <w:szCs w:val="1"/>
                <w:color w:val="auto"/>
              </w:rPr>
            </w:pPr>
          </w:p>
        </w:tc>
      </w:tr>
      <w:tr>
        <w:trPr>
          <w:trHeight w:val="176"/>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Federal ...........................................................</w:t>
            </w:r>
          </w:p>
        </w:tc>
        <w:tc>
          <w:tcPr>
            <w:tcW w:w="4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State and local ...................................................</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622</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363</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806</w:t>
            </w:r>
          </w:p>
        </w:tc>
        <w:tc>
          <w:tcPr>
            <w:tcW w:w="0" w:type="dxa"/>
            <w:vAlign w:val="bottom"/>
          </w:tcPr>
          <w:p>
            <w:pPr>
              <w:spacing w:after="0"/>
              <w:rPr>
                <w:sz w:val="1"/>
                <w:szCs w:val="1"/>
                <w:color w:val="auto"/>
              </w:rPr>
            </w:pPr>
          </w:p>
        </w:tc>
      </w:tr>
      <w:tr>
        <w:trPr>
          <w:trHeight w:val="176"/>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Deferred tax expense ...................................................</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4,159</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2,249</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1,241</w:t>
            </w:r>
          </w:p>
        </w:tc>
        <w:tc>
          <w:tcPr>
            <w:tcW w:w="0" w:type="dxa"/>
            <w:vAlign w:val="bottom"/>
          </w:tcPr>
          <w:p>
            <w:pPr>
              <w:spacing w:after="0"/>
              <w:rPr>
                <w:sz w:val="1"/>
                <w:szCs w:val="1"/>
                <w:color w:val="auto"/>
              </w:rPr>
            </w:pPr>
          </w:p>
        </w:tc>
      </w:tr>
      <w:tr>
        <w:trPr>
          <w:trHeight w:val="176"/>
        </w:trPr>
        <w:tc>
          <w:tcPr>
            <w:tcW w:w="6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provision for income taxes ..................................</w:t>
            </w:r>
          </w:p>
        </w:tc>
        <w:tc>
          <w:tcPr>
            <w:tcW w:w="42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7,969</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6820" w:type="dxa"/>
            <w:vAlign w:val="bottom"/>
            <w:vMerge w:val="continue"/>
          </w:tcPr>
          <w:p>
            <w:pPr>
              <w:spacing w:after="0"/>
              <w:rPr>
                <w:sz w:val="23"/>
                <w:szCs w:val="23"/>
                <w:color w:val="auto"/>
              </w:rPr>
            </w:pPr>
          </w:p>
        </w:tc>
        <w:tc>
          <w:tcPr>
            <w:tcW w:w="4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5,414</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4,343</w:t>
            </w:r>
          </w:p>
        </w:tc>
        <w:tc>
          <w:tcPr>
            <w:tcW w:w="0" w:type="dxa"/>
            <w:vAlign w:val="bottom"/>
          </w:tcPr>
          <w:p>
            <w:pPr>
              <w:spacing w:after="0"/>
              <w:rPr>
                <w:sz w:val="1"/>
                <w:szCs w:val="1"/>
                <w:color w:val="auto"/>
              </w:rPr>
            </w:pPr>
          </w:p>
        </w:tc>
      </w:tr>
      <w:tr>
        <w:trPr>
          <w:trHeight w:val="433"/>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Significant components of the deferred tax liabilities and assets in the</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2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are as follows:</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5"/>
        </w:trPr>
        <w:tc>
          <w:tcPr>
            <w:tcW w:w="6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24"/>
                <w:szCs w:val="24"/>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448"/>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Accelerated depreciation ...............................................</w:t>
            </w:r>
          </w:p>
        </w:tc>
        <w:tc>
          <w:tcPr>
            <w:tcW w:w="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6,215</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3,893</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2,464</w:t>
            </w:r>
          </w:p>
        </w:tc>
        <w:tc>
          <w:tcPr>
            <w:tcW w:w="0" w:type="dxa"/>
            <w:vAlign w:val="bottom"/>
          </w:tcPr>
          <w:p>
            <w:pPr>
              <w:spacing w:after="0"/>
              <w:rPr>
                <w:sz w:val="1"/>
                <w:szCs w:val="1"/>
                <w:color w:val="auto"/>
              </w:rPr>
            </w:pPr>
          </w:p>
        </w:tc>
      </w:tr>
      <w:tr>
        <w:trPr>
          <w:trHeight w:val="176"/>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Preopening costs .......................................................</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2,928</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1,411</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813</w:t>
            </w:r>
          </w:p>
        </w:tc>
        <w:tc>
          <w:tcPr>
            <w:tcW w:w="0" w:type="dxa"/>
            <w:vAlign w:val="bottom"/>
          </w:tcPr>
          <w:p>
            <w:pPr>
              <w:spacing w:after="0"/>
              <w:rPr>
                <w:sz w:val="1"/>
                <w:szCs w:val="1"/>
                <w:color w:val="auto"/>
              </w:rPr>
            </w:pPr>
          </w:p>
        </w:tc>
      </w:tr>
      <w:tr>
        <w:trPr>
          <w:trHeight w:val="176"/>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Prepaid expenses .......................................................</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131</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112</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76"/>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Capitalized interest costs .............................................</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1,022</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463</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76"/>
        </w:trPr>
        <w:tc>
          <w:tcPr>
            <w:tcW w:w="6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deferred tax liabilities ....................................</w:t>
            </w:r>
          </w:p>
        </w:tc>
        <w:tc>
          <w:tcPr>
            <w:tcW w:w="420" w:type="dxa"/>
            <w:vAlign w:val="bottom"/>
          </w:tcPr>
          <w:p>
            <w:pPr>
              <w:ind w:left="220"/>
              <w:spacing w:after="0"/>
              <w:rPr>
                <w:sz w:val="20"/>
                <w:szCs w:val="20"/>
                <w:color w:val="auto"/>
              </w:rPr>
            </w:pPr>
            <w:r>
              <w:rPr>
                <w:rFonts w:ascii="Courier New" w:cs="Courier New" w:eastAsia="Courier New" w:hAnsi="Courier New"/>
                <w:sz w:val="5"/>
                <w:szCs w:val="5"/>
                <w:color w:val="auto"/>
                <w:w w:val="74"/>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6"/>
              </w:rPr>
              <w:t>10,296</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682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5,879</w:t>
            </w:r>
          </w:p>
        </w:tc>
        <w:tc>
          <w:tcPr>
            <w:tcW w:w="420" w:type="dxa"/>
            <w:vAlign w:val="bottom"/>
          </w:tcPr>
          <w:p>
            <w:pPr>
              <w:spacing w:after="0"/>
              <w:rPr>
                <w:sz w:val="22"/>
                <w:szCs w:val="22"/>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3,662</w:t>
            </w:r>
          </w:p>
        </w:tc>
        <w:tc>
          <w:tcPr>
            <w:tcW w:w="0" w:type="dxa"/>
            <w:vAlign w:val="bottom"/>
          </w:tcPr>
          <w:p>
            <w:pPr>
              <w:spacing w:after="0"/>
              <w:rPr>
                <w:sz w:val="1"/>
                <w:szCs w:val="1"/>
                <w:color w:val="auto"/>
              </w:rPr>
            </w:pPr>
          </w:p>
        </w:tc>
      </w:tr>
      <w:tr>
        <w:trPr>
          <w:trHeight w:val="271"/>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Workers' compensation ..................................................</w:t>
            </w:r>
          </w:p>
        </w:tc>
        <w:tc>
          <w:tcPr>
            <w:tcW w:w="420" w:type="dxa"/>
            <w:vAlign w:val="bottom"/>
          </w:tcPr>
          <w:p>
            <w:pPr>
              <w:spacing w:after="0"/>
              <w:rPr>
                <w:sz w:val="23"/>
                <w:szCs w:val="23"/>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183</w:t>
            </w:r>
          </w:p>
        </w:tc>
        <w:tc>
          <w:tcPr>
            <w:tcW w:w="420" w:type="dxa"/>
            <w:vAlign w:val="bottom"/>
          </w:tcPr>
          <w:p>
            <w:pPr>
              <w:spacing w:after="0"/>
              <w:rPr>
                <w:sz w:val="23"/>
                <w:szCs w:val="23"/>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168</w:t>
            </w:r>
          </w:p>
        </w:tc>
        <w:tc>
          <w:tcPr>
            <w:tcW w:w="42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235</w:t>
            </w:r>
          </w:p>
        </w:tc>
        <w:tc>
          <w:tcPr>
            <w:tcW w:w="0" w:type="dxa"/>
            <w:vAlign w:val="bottom"/>
          </w:tcPr>
          <w:p>
            <w:pPr>
              <w:spacing w:after="0"/>
              <w:rPr>
                <w:sz w:val="1"/>
                <w:szCs w:val="1"/>
                <w:color w:val="auto"/>
              </w:rPr>
            </w:pPr>
          </w:p>
        </w:tc>
      </w:tr>
      <w:tr>
        <w:trPr>
          <w:trHeight w:val="176"/>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Net asset basis difference at acquisition ..............................</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76"/>
        </w:trPr>
        <w:tc>
          <w:tcPr>
            <w:tcW w:w="6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 ..................................................................</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457</w:t>
            </w: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189</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6"/>
        </w:trPr>
        <w:tc>
          <w:tcPr>
            <w:tcW w:w="6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deferred tax assets .........................................</w:t>
            </w:r>
          </w:p>
        </w:tc>
        <w:tc>
          <w:tcPr>
            <w:tcW w:w="420" w:type="dxa"/>
            <w:vAlign w:val="bottom"/>
          </w:tcPr>
          <w:p>
            <w:pPr>
              <w:ind w:left="220"/>
              <w:spacing w:after="0"/>
              <w:rPr>
                <w:sz w:val="20"/>
                <w:szCs w:val="20"/>
                <w:color w:val="auto"/>
              </w:rPr>
            </w:pPr>
            <w:r>
              <w:rPr>
                <w:rFonts w:ascii="Courier New" w:cs="Courier New" w:eastAsia="Courier New" w:hAnsi="Courier New"/>
                <w:sz w:val="5"/>
                <w:szCs w:val="5"/>
                <w:color w:val="auto"/>
                <w:w w:val="74"/>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640</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8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382</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414</w:t>
            </w:r>
          </w:p>
        </w:tc>
        <w:tc>
          <w:tcPr>
            <w:tcW w:w="0" w:type="dxa"/>
            <w:vAlign w:val="bottom"/>
          </w:tcPr>
          <w:p>
            <w:pPr>
              <w:spacing w:after="0"/>
              <w:rPr>
                <w:sz w:val="1"/>
                <w:szCs w:val="1"/>
                <w:color w:val="auto"/>
              </w:rPr>
            </w:pPr>
          </w:p>
        </w:tc>
      </w:tr>
      <w:tr>
        <w:trPr>
          <w:trHeight w:val="176"/>
        </w:trPr>
        <w:tc>
          <w:tcPr>
            <w:tcW w:w="6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Net deferred tax liability .............................................</w:t>
            </w:r>
          </w:p>
        </w:tc>
        <w:tc>
          <w:tcPr>
            <w:tcW w:w="42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8"/>
              </w:rPr>
              <w:t>(9,656)</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6820" w:type="dxa"/>
            <w:vAlign w:val="bottom"/>
            <w:vMerge w:val="continue"/>
          </w:tcPr>
          <w:p>
            <w:pPr>
              <w:spacing w:after="0"/>
              <w:rPr>
                <w:sz w:val="23"/>
                <w:szCs w:val="23"/>
                <w:color w:val="auto"/>
              </w:rPr>
            </w:pPr>
          </w:p>
        </w:tc>
        <w:tc>
          <w:tcPr>
            <w:tcW w:w="4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(5,497)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(3,248)</w:t>
            </w:r>
          </w:p>
        </w:tc>
        <w:tc>
          <w:tcPr>
            <w:tcW w:w="0" w:type="dxa"/>
            <w:vAlign w:val="bottom"/>
          </w:tcPr>
          <w:p>
            <w:pPr>
              <w:spacing w:after="0"/>
              <w:rPr>
                <w:sz w:val="1"/>
                <w:szCs w:val="1"/>
                <w:color w:val="auto"/>
              </w:rPr>
            </w:pPr>
          </w:p>
        </w:tc>
      </w:tr>
      <w:tr>
        <w:trPr>
          <w:trHeight w:val="690"/>
        </w:trPr>
        <w:tc>
          <w:tcPr>
            <w:tcW w:w="6820" w:type="dxa"/>
            <w:vAlign w:val="bottom"/>
          </w:tcPr>
          <w:p>
            <w:pPr>
              <w:jc w:val="right"/>
              <w:ind w:right="2904"/>
              <w:spacing w:after="0"/>
              <w:rPr>
                <w:sz w:val="20"/>
                <w:szCs w:val="20"/>
                <w:color w:val="auto"/>
              </w:rPr>
            </w:pPr>
            <w:r>
              <w:rPr>
                <w:rFonts w:ascii="Courier New" w:cs="Courier New" w:eastAsia="Courier New" w:hAnsi="Courier New"/>
                <w:sz w:val="15"/>
                <w:szCs w:val="15"/>
                <w:color w:val="auto"/>
              </w:rPr>
              <w:t>F-7</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240" w:top="266" w:right="1219"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Reconciliation of federal statutory rates to effective income tax rates: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40" w:type="dxa"/>
            <w:vAlign w:val="bottom"/>
          </w:tcPr>
          <w:p>
            <w:pPr>
              <w:spacing w:after="0"/>
              <w:rPr>
                <w:sz w:val="22"/>
                <w:szCs w:val="22"/>
                <w:color w:val="auto"/>
              </w:rPr>
            </w:pPr>
          </w:p>
        </w:tc>
        <w:tc>
          <w:tcPr>
            <w:tcW w:w="138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448"/>
        </w:trPr>
        <w:tc>
          <w:tcPr>
            <w:tcW w:w="4440" w:type="dxa"/>
            <w:vAlign w:val="bottom"/>
          </w:tcPr>
          <w:p>
            <w:pPr>
              <w:spacing w:after="0"/>
              <w:rPr>
                <w:sz w:val="20"/>
                <w:szCs w:val="20"/>
                <w:color w:val="auto"/>
              </w:rPr>
            </w:pPr>
            <w:r>
              <w:rPr>
                <w:rFonts w:ascii="Courier New" w:cs="Courier New" w:eastAsia="Courier New" w:hAnsi="Courier New"/>
                <w:sz w:val="15"/>
                <w:szCs w:val="15"/>
                <w:color w:val="auto"/>
              </w:rPr>
              <w:t>Federal corporate statutory rate ............</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34.0%</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State and local income taxes, net</w:t>
            </w:r>
          </w:p>
        </w:tc>
        <w:tc>
          <w:tcPr>
            <w:tcW w:w="13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1.9%</w:t>
            </w:r>
          </w:p>
        </w:tc>
        <w:tc>
          <w:tcPr>
            <w:tcW w:w="13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1.6%</w:t>
            </w:r>
          </w:p>
        </w:tc>
        <w:tc>
          <w:tcPr>
            <w:tcW w:w="10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6"/>
        </w:trPr>
        <w:tc>
          <w:tcPr>
            <w:tcW w:w="4440" w:type="dxa"/>
            <w:vAlign w:val="bottom"/>
          </w:tcPr>
          <w:p>
            <w:pPr>
              <w:ind w:left="460"/>
              <w:spacing w:after="0"/>
              <w:rPr>
                <w:sz w:val="20"/>
                <w:szCs w:val="20"/>
                <w:color w:val="auto"/>
              </w:rPr>
            </w:pPr>
            <w:r>
              <w:rPr>
                <w:rFonts w:ascii="Courier New" w:cs="Courier New" w:eastAsia="Courier New" w:hAnsi="Courier New"/>
                <w:sz w:val="15"/>
                <w:szCs w:val="15"/>
                <w:color w:val="auto"/>
              </w:rPr>
              <w:t>of federal income tax benefit ..........</w:t>
            </w:r>
          </w:p>
        </w:tc>
        <w:tc>
          <w:tcPr>
            <w:tcW w:w="13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Goodwill amortization and other</w:t>
            </w:r>
          </w:p>
        </w:tc>
        <w:tc>
          <w:tcPr>
            <w:tcW w:w="13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1.5%</w:t>
            </w:r>
          </w:p>
        </w:tc>
        <w:tc>
          <w:tcPr>
            <w:tcW w:w="13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1.8%</w:t>
            </w:r>
          </w:p>
        </w:tc>
        <w:tc>
          <w:tcPr>
            <w:tcW w:w="10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6"/>
        </w:trPr>
        <w:tc>
          <w:tcPr>
            <w:tcW w:w="4440" w:type="dxa"/>
            <w:vAlign w:val="bottom"/>
          </w:tcPr>
          <w:p>
            <w:pPr>
              <w:ind w:left="460"/>
              <w:spacing w:after="0"/>
              <w:rPr>
                <w:sz w:val="20"/>
                <w:szCs w:val="20"/>
                <w:color w:val="auto"/>
              </w:rPr>
            </w:pPr>
            <w:r>
              <w:rPr>
                <w:rFonts w:ascii="Courier New" w:cs="Courier New" w:eastAsia="Courier New" w:hAnsi="Courier New"/>
                <w:sz w:val="15"/>
                <w:szCs w:val="15"/>
                <w:color w:val="auto"/>
              </w:rPr>
              <w:t>nondeductible expenses .................</w:t>
            </w:r>
          </w:p>
        </w:tc>
        <w:tc>
          <w:tcPr>
            <w:tcW w:w="13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Tax credits .................................</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Effect of change in deferred tax rate .......</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Other .......................................</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6"/>
        </w:trPr>
        <w:tc>
          <w:tcPr>
            <w:tcW w:w="444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tax rate ..........................</w:t>
            </w:r>
          </w:p>
        </w:tc>
        <w:tc>
          <w:tcPr>
            <w:tcW w:w="13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82"/>
              </w:rPr>
              <w:t>------</w:t>
            </w:r>
            <w:r>
              <w:rPr>
                <w:rFonts w:ascii="Courier New" w:cs="Courier New" w:eastAsia="Courier New" w:hAnsi="Courier New"/>
                <w:sz w:val="30"/>
                <w:szCs w:val="30"/>
                <w:color w:val="auto"/>
                <w:w w:val="82"/>
                <w:vertAlign w:val="subscript"/>
              </w:rPr>
              <w:t>37.0%</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4440" w:type="dxa"/>
            <w:vAlign w:val="bottom"/>
            <w:vMerge w:val="continue"/>
          </w:tcPr>
          <w:p>
            <w:pPr>
              <w:spacing w:after="0"/>
              <w:rPr>
                <w:sz w:val="23"/>
                <w:szCs w:val="23"/>
                <w:color w:val="auto"/>
              </w:rPr>
            </w:pPr>
          </w:p>
        </w:tc>
        <w:tc>
          <w:tcPr>
            <w:tcW w:w="1380" w:type="dxa"/>
            <w:vAlign w:val="bottom"/>
            <w:vMerge w:val="continue"/>
          </w:tcPr>
          <w:p>
            <w:pPr>
              <w:spacing w:after="0"/>
              <w:rPr>
                <w:sz w:val="23"/>
                <w:szCs w:val="23"/>
                <w:color w:val="auto"/>
              </w:rPr>
            </w:pP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40.7%</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LEASES</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Company leases certain properties and equipment under operating leases. Some of the leases include options for renewal or extension on various terms. All leases require the Company to pay property taxes, insurance and maintenance of the leased assets. Some leases have provisions for additional percentage rentals based on revenues; however, payments of percentage rent were minimal during the three-year period ended January 31, 1999. For 1998, 1997, and 1996, rent expense for operating leases was $8,267, $5,404, and $2,751, respectively. At January 31, 1999, future minimum lease payments required under operating leases are $9,047, 1999; $8,329, 2000; $7,939, 2001; $7,873, 2002; $7,389, 2003; and $114,045, total.</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COMMON STOCK</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In 1995, the Company adopted the Dave &amp; Buster's, Inc. 1995 Stock Option Plan (the "Plan") covering 675 shares of common stock. In 1997, the Company increased the shares of common stock covered by the Plan to 1,350. The Plan provides that incentive stock options may be granted at option prices not less than fair market value at date of grant (110% in the case of an incentive stock option granted to any person who owns more than 10% of the total combined voting power of all classes of stock of the Company). Non-qualified stock options may not be granted for less than 85% of the fair market value of the common stock at the time of grant and are exercisable 20% per year after one year from the date of grant.</w:t>
      </w:r>
    </w:p>
    <w:p>
      <w:pPr>
        <w:spacing w:after="0" w:line="269"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In connection with the Distribution, the Company granted on the date of the Distribution, non-qualified stock options to certain minority shareholders entitling them to purchase Company common stock equal to 2% of the total Company common stock outstanding immediately prior to the Distribution (approximately</w:t>
      </w:r>
    </w:p>
    <w:p>
      <w:pPr>
        <w:spacing w:after="0" w:line="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156 shares). The per share exercise price for each such option is $10.00. Twenty percent of such options were exercisable seven months after the public offering by the Company of its common stock, which was completed in October 1995.</w:t>
      </w:r>
    </w:p>
    <w:p>
      <w:pPr>
        <w:spacing w:after="0" w:line="2" w:lineRule="exact"/>
        <w:rPr>
          <w:sz w:val="20"/>
          <w:szCs w:val="20"/>
          <w:color w:val="auto"/>
        </w:rPr>
      </w:pPr>
    </w:p>
    <w:p>
      <w:pPr>
        <w:ind w:right="2979"/>
        <w:spacing w:after="0" w:line="332" w:lineRule="auto"/>
        <w:rPr>
          <w:sz w:val="20"/>
          <w:szCs w:val="20"/>
          <w:color w:val="auto"/>
        </w:rPr>
      </w:pPr>
      <w:r>
        <w:rPr>
          <w:rFonts w:ascii="Courier New" w:cs="Courier New" w:eastAsia="Courier New" w:hAnsi="Courier New"/>
          <w:sz w:val="15"/>
          <w:szCs w:val="15"/>
          <w:color w:val="auto"/>
        </w:rPr>
        <w:t>Thereafter, 20% of such options become exercisable on the second, third, fourth and fifth anniversary of the Distribution.</w:t>
      </w:r>
    </w:p>
    <w:p>
      <w:pPr>
        <w:spacing w:after="0" w:line="30"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In 1996, the Company adopted a stock option plan for outside directors (the "Directors Plan"). A total of 150 shares of common stock are subject to the Directors Plan. The options granted under the Directors Plan vest ratably over a three year period.</w:t>
      </w:r>
    </w:p>
    <w:p>
      <w:pPr>
        <w:spacing w:after="0" w:line="62" w:lineRule="exact"/>
        <w:rPr>
          <w:sz w:val="20"/>
          <w:szCs w:val="20"/>
          <w:color w:val="auto"/>
        </w:rPr>
      </w:pPr>
    </w:p>
    <w:p>
      <w:pPr>
        <w:ind w:right="2979"/>
        <w:spacing w:after="0" w:line="264" w:lineRule="auto"/>
        <w:rPr>
          <w:sz w:val="20"/>
          <w:szCs w:val="20"/>
          <w:color w:val="auto"/>
        </w:rPr>
      </w:pPr>
      <w:r>
        <w:rPr>
          <w:rFonts w:ascii="Courier New" w:cs="Courier New" w:eastAsia="Courier New" w:hAnsi="Courier New"/>
          <w:sz w:val="15"/>
          <w:szCs w:val="15"/>
          <w:color w:val="auto"/>
        </w:rPr>
        <w:t>Pro forma information regarding net income and earnings per common share is required by SFAS 123, and has been determined as if the Company had accounted for its employee stock options under the fair value method. The fair value for these options was estimated at the date of grant using a Black-Scholes option pricing model with the following weighted-average assumptions for 1998, 1997, and 1996, respectively: risk-free interest rates of 5.36%, 6.09%, and 5.75%; dividend yields of 0.0%; volatility factors of the expected market price of the Company's common stock of .386, .363, and .344; and a weighted-average life of the option of 4.8, 4.4, and 4.2 years.</w:t>
      </w:r>
    </w:p>
    <w:p>
      <w:pPr>
        <w:spacing w:after="0" w:line="25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6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82" w:lineRule="exact"/>
        <w:rPr>
          <w:sz w:val="20"/>
          <w:szCs w:val="20"/>
          <w:color w:val="auto"/>
        </w:rPr>
      </w:pPr>
    </w:p>
    <w:p>
      <w:pPr>
        <w:ind w:right="4200"/>
        <w:spacing w:after="0" w:line="264" w:lineRule="auto"/>
        <w:rPr>
          <w:sz w:val="20"/>
          <w:szCs w:val="20"/>
          <w:color w:val="auto"/>
        </w:rPr>
      </w:pPr>
      <w:r>
        <w:rPr>
          <w:rFonts w:ascii="Courier New" w:cs="Courier New" w:eastAsia="Courier New" w:hAnsi="Courier New"/>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80" w:lineRule="exact"/>
        <w:rPr>
          <w:sz w:val="20"/>
          <w:szCs w:val="20"/>
          <w:color w:val="auto"/>
        </w:rPr>
      </w:pPr>
    </w:p>
    <w:p>
      <w:pPr>
        <w:ind w:right="4380"/>
        <w:spacing w:after="0" w:line="273" w:lineRule="auto"/>
        <w:rPr>
          <w:sz w:val="20"/>
          <w:szCs w:val="20"/>
          <w:color w:val="auto"/>
        </w:rPr>
      </w:pPr>
      <w:r>
        <w:rPr>
          <w:rFonts w:ascii="Courier New" w:cs="Courier New" w:eastAsia="Courier New" w:hAnsi="Courier New"/>
          <w:sz w:val="15"/>
          <w:szCs w:val="15"/>
          <w:color w:val="auto"/>
        </w:rPr>
        <w:t>For purposes of pro forma disclosures, the estimated fair value of the options is amortized to expense over the option's vesting period. Because SFAS 123 requires compensation expense to be recognized over the vesting period, the impact on pro forma net income and pro forma earnings per common share as reported below may not be representative of pro forma compensation expense in future years. The Company's pro forma information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22"/>
                <w:szCs w:val="22"/>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22"/>
                <w:szCs w:val="22"/>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2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 as reported .....................</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13,578</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8,897</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6,340</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 forma net income ........................</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12,699</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8,353</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6,057</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Basic net income per share, as reported .....</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.77</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 forma basic net income per share ........</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Diluted net income per share, as reported ...</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257"/>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 forma diluted net income per share ......</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bl>
    <w:p>
      <w:pPr>
        <w:spacing w:after="0" w:line="271" w:lineRule="exact"/>
        <w:rPr>
          <w:sz w:val="20"/>
          <w:szCs w:val="20"/>
          <w:color w:val="auto"/>
        </w:rPr>
      </w:pPr>
    </w:p>
    <w:p>
      <w:pPr>
        <w:ind w:right="4280"/>
        <w:spacing w:after="0" w:line="372" w:lineRule="auto"/>
        <w:rPr>
          <w:sz w:val="20"/>
          <w:szCs w:val="20"/>
          <w:color w:val="auto"/>
        </w:rPr>
      </w:pPr>
      <w:r>
        <w:rPr>
          <w:rFonts w:ascii="Courier New" w:cs="Courier New" w:eastAsia="Courier New" w:hAnsi="Courier New"/>
          <w:sz w:val="15"/>
          <w:szCs w:val="15"/>
          <w:color w:val="auto"/>
        </w:rPr>
        <w:t>A summary of the Company's stock option activity, and related information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7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Options</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Weighted-Average</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Options</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Weighted-Average</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Options</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Weighted-Average</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Exercise Price</w:t>
            </w:r>
          </w:p>
        </w:tc>
        <w:tc>
          <w:tcPr>
            <w:tcW w:w="920" w:type="dxa"/>
            <w:vAlign w:val="bottom"/>
            <w:vMerge w:val="continue"/>
          </w:tcPr>
          <w:p>
            <w:pPr>
              <w:spacing w:after="0"/>
              <w:rPr>
                <w:sz w:val="22"/>
                <w:szCs w:val="22"/>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Exercise Price</w:t>
            </w:r>
          </w:p>
        </w:tc>
        <w:tc>
          <w:tcPr>
            <w:tcW w:w="920" w:type="dxa"/>
            <w:vAlign w:val="bottom"/>
            <w:vMerge w:val="continue"/>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448"/>
        </w:trPr>
        <w:tc>
          <w:tcPr>
            <w:tcW w:w="3880" w:type="dxa"/>
            <w:vAlign w:val="bottom"/>
          </w:tcPr>
          <w:p>
            <w:pPr>
              <w:spacing w:after="0"/>
              <w:rPr>
                <w:sz w:val="20"/>
                <w:szCs w:val="20"/>
                <w:color w:val="auto"/>
              </w:rPr>
            </w:pPr>
            <w:r>
              <w:rPr>
                <w:rFonts w:ascii="Courier New" w:cs="Courier New" w:eastAsia="Courier New" w:hAnsi="Courier New"/>
                <w:sz w:val="15"/>
                <w:szCs w:val="15"/>
                <w:color w:val="auto"/>
              </w:rPr>
              <w:t>Outstanding - beginning of year...........</w:t>
            </w: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949</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$14.88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11.11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11.29</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395</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$20.89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19.41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10.74</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$11.88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11.91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12.17</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$16.92</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11.59</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Outstanding - end of year.................</w:t>
            </w: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1,145</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$16.82</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14.88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11.11</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332</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$13.59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11.06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11.27</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Weighted-average fair value of options</w:t>
            </w:r>
          </w:p>
        </w:tc>
        <w:tc>
          <w:tcPr>
            <w:tcW w:w="780" w:type="dxa"/>
            <w:vAlign w:val="bottom"/>
          </w:tcPr>
          <w:p>
            <w:pPr>
              <w:spacing w:after="0"/>
              <w:rPr>
                <w:sz w:val="15"/>
                <w:szCs w:val="15"/>
                <w:color w:val="auto"/>
              </w:rPr>
            </w:pPr>
          </w:p>
        </w:tc>
        <w:tc>
          <w:tcPr>
            <w:tcW w:w="1740" w:type="dxa"/>
            <w:vAlign w:val="bottom"/>
            <w:vMerge w:val="restart"/>
          </w:tcPr>
          <w:p>
            <w:pPr>
              <w:jc w:val="center"/>
              <w:ind w:right="4"/>
              <w:spacing w:after="0"/>
              <w:rPr>
                <w:sz w:val="20"/>
                <w:szCs w:val="20"/>
                <w:color w:val="auto"/>
              </w:rPr>
            </w:pPr>
            <w:r>
              <w:rPr>
                <w:rFonts w:ascii="Courier New" w:cs="Courier New" w:eastAsia="Courier New" w:hAnsi="Courier New"/>
                <w:sz w:val="15"/>
                <w:szCs w:val="15"/>
                <w:color w:val="auto"/>
                <w:w w:val="99"/>
              </w:rPr>
              <w:t>$ 8.56</w:t>
            </w:r>
          </w:p>
        </w:tc>
        <w:tc>
          <w:tcPr>
            <w:tcW w:w="9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7.48</w:t>
            </w:r>
          </w:p>
        </w:tc>
        <w:tc>
          <w:tcPr>
            <w:tcW w:w="9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3.89</w:t>
            </w:r>
          </w:p>
        </w:tc>
        <w:tc>
          <w:tcPr>
            <w:tcW w:w="0" w:type="dxa"/>
            <w:vAlign w:val="bottom"/>
          </w:tcPr>
          <w:p>
            <w:pPr>
              <w:spacing w:after="0"/>
              <w:rPr>
                <w:sz w:val="1"/>
                <w:szCs w:val="1"/>
                <w:color w:val="auto"/>
              </w:rPr>
            </w:pPr>
          </w:p>
        </w:tc>
      </w:tr>
      <w:tr>
        <w:trPr>
          <w:trHeight w:val="257"/>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granted during the year...............</w:t>
            </w:r>
          </w:p>
        </w:tc>
        <w:tc>
          <w:tcPr>
            <w:tcW w:w="78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ind w:right="4380"/>
        <w:spacing w:after="0" w:line="310" w:lineRule="auto"/>
        <w:rPr>
          <w:sz w:val="20"/>
          <w:szCs w:val="20"/>
          <w:color w:val="auto"/>
        </w:rPr>
      </w:pPr>
      <w:r>
        <w:rPr>
          <w:rFonts w:ascii="Courier New" w:cs="Courier New" w:eastAsia="Courier New" w:hAnsi="Courier New"/>
          <w:sz w:val="15"/>
          <w:szCs w:val="15"/>
          <w:color w:val="auto"/>
        </w:rPr>
        <w:t>As of January 31, 1999, exercise prices for 658 options and 487 options ranged from $10.00 to $15.50 and $18.50 to $24.91, respectively. The weighted-average remaining contractual life of the options is 8.0 years.</w:t>
      </w:r>
    </w:p>
    <w:p>
      <w:pPr>
        <w:spacing w:after="0" w:line="46" w:lineRule="exact"/>
        <w:rPr>
          <w:sz w:val="20"/>
          <w:szCs w:val="20"/>
          <w:color w:val="auto"/>
        </w:rPr>
      </w:pPr>
    </w:p>
    <w:p>
      <w:pPr>
        <w:ind w:right="4200"/>
        <w:spacing w:after="0" w:line="257" w:lineRule="auto"/>
        <w:rPr>
          <w:sz w:val="20"/>
          <w:szCs w:val="20"/>
          <w:color w:val="auto"/>
        </w:rPr>
      </w:pPr>
      <w:r>
        <w:rPr>
          <w:rFonts w:ascii="Courier New" w:cs="Courier New" w:eastAsia="Courier New" w:hAnsi="Courier New"/>
          <w:sz w:val="15"/>
          <w:szCs w:val="15"/>
          <w:color w:val="auto"/>
        </w:rPr>
        <w:t>Under a Shareholder Protection Rights Plan adopted by the Company, each share of outstanding common stock includes a right which entitles the holder to purchase one one-hundredth of a share of Series A Junior Participating Preferred Stock for seventy five dollars. Rights attach to all new shares of common stock whether newly issued or issued from treasury stock and become exercisable only under certain conditions involving actual or potential acquisitions of the Company's common stock. Depending on the circumstances, all holders except the acquiring person may be entitled to 1) acquire such number of shares of Company common stock as have a market value at the time of twice the exercise price of each right, or 2) exchange a right for one share of Company common stock or one-hundredth of a share of the Series A Junior Participating Preferred Stock, or 3) receive shares of the acquiring company's common stock having a market value equal to twice the exercise price of each right. The rights remain in existence until ten years after the Distribution, unless they are redeemed (at one cent per right).</w:t>
      </w:r>
    </w:p>
    <w:p>
      <w:pPr>
        <w:spacing w:after="0" w:line="26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1520"/>
          </w:cols>
          <w:pgMar w:left="240" w:top="266" w:right="139"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EARNINGS PER SHARE</w:t>
      </w:r>
    </w:p>
    <w:p>
      <w:pPr>
        <w:spacing w:after="0" w:line="154" w:lineRule="exact"/>
        <w:rPr>
          <w:sz w:val="20"/>
          <w:szCs w:val="20"/>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2"/>
                <w:szCs w:val="22"/>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22"/>
                <w:szCs w:val="22"/>
                <w:color w:val="auto"/>
              </w:rPr>
            </w:pP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Numerator-Net Income</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$ 13,578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6,340</w:t>
            </w:r>
          </w:p>
        </w:tc>
        <w:tc>
          <w:tcPr>
            <w:tcW w:w="0" w:type="dxa"/>
            <w:vAlign w:val="bottom"/>
          </w:tcPr>
          <w:p>
            <w:pPr>
              <w:spacing w:after="0"/>
              <w:rPr>
                <w:sz w:val="1"/>
                <w:szCs w:val="1"/>
                <w:color w:val="auto"/>
              </w:rPr>
            </w:pPr>
          </w:p>
        </w:tc>
      </w:tr>
      <w:tr>
        <w:trPr>
          <w:trHeight w:val="257"/>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54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net income per share -</w:t>
            </w:r>
          </w:p>
        </w:tc>
        <w:tc>
          <w:tcPr>
            <w:tcW w:w="640" w:type="dxa"/>
            <w:vAlign w:val="bottom"/>
          </w:tcPr>
          <w:p>
            <w:pPr>
              <w:spacing w:after="0"/>
              <w:rPr>
                <w:sz w:val="15"/>
                <w:szCs w:val="15"/>
                <w:color w:val="auto"/>
              </w:rPr>
            </w:pPr>
          </w:p>
        </w:tc>
        <w:tc>
          <w:tcPr>
            <w:tcW w:w="8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13,053</w:t>
            </w:r>
          </w:p>
        </w:tc>
        <w:tc>
          <w:tcPr>
            <w:tcW w:w="360" w:type="dxa"/>
            <w:vAlign w:val="bottom"/>
          </w:tcPr>
          <w:p>
            <w:pPr>
              <w:spacing w:after="0"/>
              <w:rPr>
                <w:sz w:val="15"/>
                <w:szCs w:val="15"/>
                <w:color w:val="auto"/>
              </w:rPr>
            </w:pP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11,532</w:t>
            </w:r>
          </w:p>
        </w:tc>
        <w:tc>
          <w:tcPr>
            <w:tcW w:w="3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10,901</w:t>
            </w:r>
          </w:p>
        </w:tc>
        <w:tc>
          <w:tcPr>
            <w:tcW w:w="0" w:type="dxa"/>
            <w:vAlign w:val="bottom"/>
          </w:tcPr>
          <w:p>
            <w:pPr>
              <w:spacing w:after="0"/>
              <w:rPr>
                <w:sz w:val="1"/>
                <w:szCs w:val="1"/>
                <w:color w:val="auto"/>
              </w:rPr>
            </w:pPr>
          </w:p>
        </w:tc>
      </w:tr>
      <w:tr>
        <w:trPr>
          <w:trHeight w:val="176"/>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shares</w:t>
            </w:r>
          </w:p>
        </w:tc>
        <w:tc>
          <w:tcPr>
            <w:tcW w:w="6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 - employee stock options</w:t>
            </w:r>
          </w:p>
        </w:tc>
        <w:tc>
          <w:tcPr>
            <w:tcW w:w="640" w:type="dxa"/>
            <w:vAlign w:val="bottom"/>
          </w:tcPr>
          <w:p>
            <w:pPr>
              <w:spacing w:after="0"/>
              <w:rPr>
                <w:sz w:val="15"/>
                <w:szCs w:val="15"/>
                <w:color w:val="auto"/>
              </w:rPr>
            </w:pP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193</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179</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257"/>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 for diluted earnings per share - adjusted</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54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13,246</w:t>
            </w:r>
          </w:p>
        </w:tc>
        <w:tc>
          <w:tcPr>
            <w:tcW w:w="360" w:type="dxa"/>
            <w:vAlign w:val="bottom"/>
          </w:tcPr>
          <w:p>
            <w:pPr>
              <w:spacing w:after="0"/>
              <w:rPr>
                <w:sz w:val="8"/>
                <w:szCs w:val="8"/>
                <w:color w:val="auto"/>
              </w:rPr>
            </w:pP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11,711</w:t>
            </w:r>
          </w:p>
        </w:tc>
        <w:tc>
          <w:tcPr>
            <w:tcW w:w="3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10,969</w:t>
            </w: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6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Options to purchase 210 shares of common stock at prices ranging from $23.63 to $24.75 were outstanding during the second half of 1997, but were not included in the computation of diluted net income per share because the options would be antidilutive. Options to purchase 178 and 262 shares of common stock at prices ranging from $24.75 to $24.91 and $21.19 to $23.75, respectively, were outstanding during all of 1998, but were not included in the computation of diluted net income per share for the whole year and second half of the year, respectively, because the options would be antidilutive.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RELATED PARTY ACTIVITY</w:t>
      </w:r>
    </w:p>
    <w:p>
      <w:pPr>
        <w:spacing w:after="0" w:line="18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In April 1998, a limited liability litigation corporation owned by the creditors of Edison Brothers filed a lawsuit against the Company and related parties, seeking recovery in connection with the Distribution and certain related transactions. In August 1998, the Company settled the litigation with the limited liability litigation corporation. In full and final settlement of all claims, the Company paid $2,244 and charged such amount to paid in capital because all alleged claims were associated with the spin-off transactions.</w:t>
      </w:r>
    </w:p>
    <w:p>
      <w:pPr>
        <w:spacing w:after="0" w:line="76" w:lineRule="exact"/>
        <w:rPr>
          <w:sz w:val="20"/>
          <w:szCs w:val="20"/>
          <w:color w:val="auto"/>
        </w:rPr>
      </w:pPr>
    </w:p>
    <w:p>
      <w:pPr>
        <w:ind w:right="2979"/>
        <w:spacing w:after="0" w:line="269" w:lineRule="auto"/>
        <w:rPr>
          <w:sz w:val="20"/>
          <w:szCs w:val="20"/>
          <w:color w:val="auto"/>
        </w:rPr>
      </w:pPr>
      <w:r>
        <w:rPr>
          <w:rFonts w:ascii="Courier New" w:cs="Courier New" w:eastAsia="Courier New" w:hAnsi="Courier New"/>
          <w:sz w:val="15"/>
          <w:szCs w:val="15"/>
          <w:color w:val="auto"/>
        </w:rPr>
        <w:t>The Company is party to a consulting agreement with Sandell Investments ("Sandell"), a partnership whose controlling partner is a director of the Company. Sandell advises the Company with respect to expansion and site selection, market analysis, improvement and enhancement of the Dave &amp; Buster's concept and other similar and related activities. Annual fees of $125 were paid to Sandell in 1998, 1997, and 1996, the maximum fee provided for under the agreement.</w:t>
      </w:r>
    </w:p>
    <w:p>
      <w:pPr>
        <w:spacing w:after="0" w:line="76" w:lineRule="exact"/>
        <w:rPr>
          <w:sz w:val="20"/>
          <w:szCs w:val="20"/>
          <w:color w:val="auto"/>
        </w:rPr>
      </w:pPr>
    </w:p>
    <w:p>
      <w:pPr>
        <w:ind w:right="2979"/>
        <w:spacing w:after="0" w:line="289" w:lineRule="auto"/>
        <w:rPr>
          <w:sz w:val="20"/>
          <w:szCs w:val="20"/>
          <w:color w:val="auto"/>
        </w:rPr>
      </w:pPr>
      <w:r>
        <w:rPr>
          <w:rFonts w:ascii="Courier New" w:cs="Courier New" w:eastAsia="Courier New" w:hAnsi="Courier New"/>
          <w:sz w:val="15"/>
          <w:szCs w:val="15"/>
          <w:color w:val="auto"/>
        </w:rPr>
        <w:t>The Company is party to a lease agreement with CE San Antonio Investment Trust ("Trust") for its San Antonio, Texas location. A director of the Company is the managing trustee of CE San Antonio Investment Trust. Payments to Trust in 1998 were $110.</w:t>
      </w:r>
    </w:p>
    <w:p>
      <w:pPr>
        <w:spacing w:after="0" w:line="200" w:lineRule="exact"/>
        <w:rPr>
          <w:sz w:val="20"/>
          <w:szCs w:val="20"/>
          <w:color w:val="auto"/>
        </w:rPr>
      </w:pPr>
    </w:p>
    <w:p>
      <w:pPr>
        <w:spacing w:after="0" w:line="21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6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EMPLOYEE BENEFIT PLAN</w:t>
      </w:r>
    </w:p>
    <w:p>
      <w:pPr>
        <w:spacing w:after="0" w:line="18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The Company sponsors a plan to provide retirement benefits under the provision of Section 401(k) of the Internal Revenue Code (the 401(k) Plan) for all employees who have completed a specified term of service. Company contributions may range from 0% to 100% of employee contributions, up to a maximum of 6% of eligible employee compensation, as defined. Employees may elect to contribute up to 20% of their eligible compensation on a pretax basis. Benefits under the 401(k) Plan are limited to the assets of the 401(k) Plan.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CONTINGENCIES</w:t>
      </w:r>
    </w:p>
    <w:p>
      <w:pPr>
        <w:spacing w:after="0" w:line="18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The Company is subject to certain legal proceedings and claims that arise in the ordinary course of its business. In the opinion of management, based on discussions with and the advice of legal counsel, the amount of ultimate liability with respect to all actions will not materially affect the consolidated results of operations or financial condition of the Company.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NOTE 12: QUARTERLY FINANCIAL INFORMATION (UNAUDITED)</w:t>
            </w: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40" w:type="dxa"/>
            <w:vAlign w:val="bottom"/>
          </w:tcPr>
          <w:p>
            <w:pPr>
              <w:spacing w:after="0"/>
              <w:rPr>
                <w:sz w:val="24"/>
                <w:szCs w:val="24"/>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First</w:t>
            </w:r>
          </w:p>
        </w:tc>
        <w:tc>
          <w:tcPr>
            <w:tcW w:w="320" w:type="dxa"/>
            <w:vAlign w:val="bottom"/>
          </w:tcPr>
          <w:p>
            <w:pPr>
              <w:spacing w:after="0"/>
              <w:rPr>
                <w:sz w:val="24"/>
                <w:szCs w:val="24"/>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Second</w:t>
            </w:r>
          </w:p>
        </w:tc>
        <w:tc>
          <w:tcPr>
            <w:tcW w:w="360" w:type="dxa"/>
            <w:vAlign w:val="bottom"/>
          </w:tcPr>
          <w:p>
            <w:pPr>
              <w:spacing w:after="0"/>
              <w:rPr>
                <w:sz w:val="24"/>
                <w:szCs w:val="24"/>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Third</w:t>
            </w:r>
          </w:p>
        </w:tc>
        <w:tc>
          <w:tcPr>
            <w:tcW w:w="32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Fourth</w:t>
            </w:r>
          </w:p>
        </w:tc>
        <w:tc>
          <w:tcPr>
            <w:tcW w:w="0" w:type="dxa"/>
            <w:vAlign w:val="bottom"/>
          </w:tcPr>
          <w:p>
            <w:pPr>
              <w:spacing w:after="0"/>
              <w:rPr>
                <w:sz w:val="1"/>
                <w:szCs w:val="1"/>
                <w:color w:val="auto"/>
              </w:rPr>
            </w:pPr>
          </w:p>
        </w:tc>
      </w:tr>
      <w:tr>
        <w:trPr>
          <w:trHeight w:val="2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revenues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38,917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40,691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45,409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57,267</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Operating income ..............................</w:t>
            </w:r>
          </w:p>
        </w:tc>
        <w:tc>
          <w:tcPr>
            <w:tcW w:w="14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4,318</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4,380</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4,388</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8,267</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2,866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2,801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2,734</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5,177</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 net income per share ....................</w:t>
            </w:r>
          </w:p>
        </w:tc>
        <w:tc>
          <w:tcPr>
            <w:tcW w:w="140" w:type="dxa"/>
            <w:vAlign w:val="bottom"/>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w:t>
            </w:r>
          </w:p>
        </w:tc>
        <w:tc>
          <w:tcPr>
            <w:tcW w:w="320" w:type="dxa"/>
            <w:vAlign w:val="bottom"/>
            <w:vMerge w:val="continue"/>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w:t>
            </w:r>
          </w:p>
        </w:tc>
        <w:tc>
          <w:tcPr>
            <w:tcW w:w="360" w:type="dxa"/>
            <w:vAlign w:val="bottom"/>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w:t>
            </w:r>
          </w:p>
        </w:tc>
        <w:tc>
          <w:tcPr>
            <w:tcW w:w="32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 weighted average shares outstanding .....</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13,031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13,052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13,062</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13,068</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 net income per share ..................</w:t>
            </w:r>
          </w:p>
        </w:tc>
        <w:tc>
          <w:tcPr>
            <w:tcW w:w="140" w:type="dxa"/>
            <w:vAlign w:val="bottom"/>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w:t>
            </w:r>
          </w:p>
        </w:tc>
        <w:tc>
          <w:tcPr>
            <w:tcW w:w="320" w:type="dxa"/>
            <w:vAlign w:val="bottom"/>
            <w:vMerge w:val="continue"/>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w:t>
            </w:r>
          </w:p>
        </w:tc>
        <w:tc>
          <w:tcPr>
            <w:tcW w:w="360" w:type="dxa"/>
            <w:vAlign w:val="bottom"/>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w:t>
            </w:r>
          </w:p>
        </w:tc>
        <w:tc>
          <w:tcPr>
            <w:tcW w:w="32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 outstanding ...</w:t>
            </w:r>
          </w:p>
        </w:tc>
        <w:tc>
          <w:tcPr>
            <w:tcW w:w="140" w:type="dxa"/>
            <w:vAlign w:val="bottom"/>
          </w:tcPr>
          <w:p>
            <w:pPr>
              <w:spacing w:after="0"/>
              <w:rPr>
                <w:sz w:val="22"/>
                <w:szCs w:val="22"/>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13,274</w:t>
            </w:r>
          </w:p>
        </w:tc>
        <w:tc>
          <w:tcPr>
            <w:tcW w:w="320" w:type="dxa"/>
            <w:vAlign w:val="bottom"/>
          </w:tcPr>
          <w:p>
            <w:pPr>
              <w:spacing w:after="0"/>
              <w:rPr>
                <w:sz w:val="22"/>
                <w:szCs w:val="22"/>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13,272</w:t>
            </w:r>
          </w:p>
        </w:tc>
        <w:tc>
          <w:tcPr>
            <w:tcW w:w="360" w:type="dxa"/>
            <w:vAlign w:val="bottom"/>
          </w:tcPr>
          <w:p>
            <w:pPr>
              <w:spacing w:after="0"/>
              <w:rPr>
                <w:sz w:val="22"/>
                <w:szCs w:val="22"/>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13,183</w:t>
            </w:r>
          </w:p>
        </w:tc>
        <w:tc>
          <w:tcPr>
            <w:tcW w:w="3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13,253</w:t>
            </w:r>
          </w:p>
        </w:tc>
        <w:tc>
          <w:tcPr>
            <w:tcW w:w="0" w:type="dxa"/>
            <w:vAlign w:val="bottom"/>
          </w:tcPr>
          <w:p>
            <w:pPr>
              <w:spacing w:after="0"/>
              <w:rPr>
                <w:sz w:val="1"/>
                <w:szCs w:val="1"/>
                <w:color w:val="auto"/>
              </w:rPr>
            </w:pPr>
          </w:p>
        </w:tc>
      </w:tr>
      <w:tr>
        <w:trPr>
          <w:trHeight w:val="1057"/>
        </w:trPr>
        <w:tc>
          <w:tcPr>
            <w:tcW w:w="476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140" w:type="dxa"/>
            <w:vAlign w:val="bottom"/>
          </w:tcPr>
          <w:p>
            <w:pPr>
              <w:spacing w:after="0"/>
              <w:rPr>
                <w:sz w:val="24"/>
                <w:szCs w:val="24"/>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First</w:t>
            </w:r>
          </w:p>
        </w:tc>
        <w:tc>
          <w:tcPr>
            <w:tcW w:w="320" w:type="dxa"/>
            <w:vAlign w:val="bottom"/>
          </w:tcPr>
          <w:p>
            <w:pPr>
              <w:spacing w:after="0"/>
              <w:rPr>
                <w:sz w:val="24"/>
                <w:szCs w:val="24"/>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Second</w:t>
            </w:r>
          </w:p>
        </w:tc>
        <w:tc>
          <w:tcPr>
            <w:tcW w:w="360" w:type="dxa"/>
            <w:vAlign w:val="bottom"/>
          </w:tcPr>
          <w:p>
            <w:pPr>
              <w:spacing w:after="0"/>
              <w:rPr>
                <w:sz w:val="24"/>
                <w:szCs w:val="24"/>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Third</w:t>
            </w:r>
          </w:p>
        </w:tc>
        <w:tc>
          <w:tcPr>
            <w:tcW w:w="32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Fourth</w:t>
            </w:r>
          </w:p>
        </w:tc>
        <w:tc>
          <w:tcPr>
            <w:tcW w:w="0" w:type="dxa"/>
            <w:vAlign w:val="bottom"/>
          </w:tcPr>
          <w:p>
            <w:pPr>
              <w:spacing w:after="0"/>
              <w:rPr>
                <w:sz w:val="1"/>
                <w:szCs w:val="1"/>
                <w:color w:val="auto"/>
              </w:rPr>
            </w:pPr>
          </w:p>
        </w:tc>
      </w:tr>
      <w:tr>
        <w:trPr>
          <w:trHeight w:val="2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revenues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28,632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29,671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30,840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39,361</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Operating income ..............................</w:t>
            </w:r>
          </w:p>
        </w:tc>
        <w:tc>
          <w:tcPr>
            <w:tcW w:w="14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3,476</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3,216</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2,655</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5,143</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1,789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1,535</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3,572</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 net income per share ....................</w:t>
            </w:r>
          </w:p>
        </w:tc>
        <w:tc>
          <w:tcPr>
            <w:tcW w:w="140" w:type="dxa"/>
            <w:vAlign w:val="bottom"/>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w:t>
            </w:r>
          </w:p>
        </w:tc>
        <w:tc>
          <w:tcPr>
            <w:tcW w:w="320" w:type="dxa"/>
            <w:vAlign w:val="bottom"/>
            <w:vMerge w:val="continue"/>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w:t>
            </w:r>
          </w:p>
        </w:tc>
        <w:tc>
          <w:tcPr>
            <w:tcW w:w="360" w:type="dxa"/>
            <w:vAlign w:val="bottom"/>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w:t>
            </w:r>
          </w:p>
        </w:tc>
        <w:tc>
          <w:tcPr>
            <w:tcW w:w="32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 weighted average shares outstanding .....</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10,902</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10,907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11,300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13,018</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 net income per share ..................</w:t>
            </w:r>
          </w:p>
        </w:tc>
        <w:tc>
          <w:tcPr>
            <w:tcW w:w="140" w:type="dxa"/>
            <w:vAlign w:val="bottom"/>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w:t>
            </w:r>
          </w:p>
        </w:tc>
        <w:tc>
          <w:tcPr>
            <w:tcW w:w="320" w:type="dxa"/>
            <w:vAlign w:val="bottom"/>
            <w:vMerge w:val="continue"/>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w:t>
            </w:r>
          </w:p>
        </w:tc>
        <w:tc>
          <w:tcPr>
            <w:tcW w:w="360" w:type="dxa"/>
            <w:vAlign w:val="bottom"/>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w:t>
            </w:r>
          </w:p>
        </w:tc>
        <w:tc>
          <w:tcPr>
            <w:tcW w:w="32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 outstanding ...</w:t>
            </w:r>
          </w:p>
        </w:tc>
        <w:tc>
          <w:tcPr>
            <w:tcW w:w="140" w:type="dxa"/>
            <w:vAlign w:val="bottom"/>
          </w:tcPr>
          <w:p>
            <w:pPr>
              <w:spacing w:after="0"/>
              <w:rPr>
                <w:sz w:val="22"/>
                <w:szCs w:val="22"/>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10,994</w:t>
            </w:r>
          </w:p>
        </w:tc>
        <w:tc>
          <w:tcPr>
            <w:tcW w:w="320" w:type="dxa"/>
            <w:vAlign w:val="bottom"/>
          </w:tcPr>
          <w:p>
            <w:pPr>
              <w:spacing w:after="0"/>
              <w:rPr>
                <w:sz w:val="22"/>
                <w:szCs w:val="22"/>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11,061</w:t>
            </w:r>
          </w:p>
        </w:tc>
        <w:tc>
          <w:tcPr>
            <w:tcW w:w="360" w:type="dxa"/>
            <w:vAlign w:val="bottom"/>
          </w:tcPr>
          <w:p>
            <w:pPr>
              <w:spacing w:after="0"/>
              <w:rPr>
                <w:sz w:val="22"/>
                <w:szCs w:val="22"/>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11,541</w:t>
            </w:r>
          </w:p>
        </w:tc>
        <w:tc>
          <w:tcPr>
            <w:tcW w:w="3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13,249</w:t>
            </w:r>
          </w:p>
        </w:tc>
        <w:tc>
          <w:tcPr>
            <w:tcW w:w="0" w:type="dxa"/>
            <w:vAlign w:val="bottom"/>
          </w:tcPr>
          <w:p>
            <w:pPr>
              <w:spacing w:after="0"/>
              <w:rPr>
                <w:sz w:val="1"/>
                <w:szCs w:val="1"/>
                <w:color w:val="auto"/>
              </w:rPr>
            </w:pPr>
          </w:p>
        </w:tc>
      </w:tr>
      <w:tr>
        <w:trPr>
          <w:trHeight w:val="881"/>
        </w:trPr>
        <w:tc>
          <w:tcPr>
            <w:tcW w:w="4760" w:type="dxa"/>
            <w:vAlign w:val="bottom"/>
          </w:tcPr>
          <w:p>
            <w:pPr>
              <w:ind w:left="3480"/>
              <w:spacing w:after="0"/>
              <w:rPr>
                <w:sz w:val="20"/>
                <w:szCs w:val="20"/>
                <w:color w:val="auto"/>
              </w:rPr>
            </w:pPr>
            <w:r>
              <w:rPr>
                <w:rFonts w:ascii="Courier New" w:cs="Courier New" w:eastAsia="Courier New" w:hAnsi="Courier New"/>
                <w:sz w:val="15"/>
                <w:szCs w:val="15"/>
                <w:color w:val="auto"/>
              </w:rPr>
              <w:t>F-11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DAVE &amp; BUSTER'S, INC.</w:t>
      </w:r>
    </w:p>
    <w:p>
      <w:pPr>
        <w:spacing w:after="0" w:line="331"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We have audited the accompanying consolidated balance sheets of Dave &amp; Buster's, Inc. as of January 31, 1999 and February 1, 1998, and the related consolidated statements of income, stockholders' equity and cash flows for each of the three years in the period ended January 31, 1999. These financial statements are the responsibility of the company's management. Our responsibility is to express an opinion on these financial statements based on our audits.</w:t>
      </w:r>
    </w:p>
    <w:p>
      <w:pPr>
        <w:spacing w:after="0" w:line="74"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9"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Dave &amp; Buster's, Inc. at January 31, 1999 and February 1, 1998 and the consolidated results of its operations and its cash flows for each of the three years in the period ended January 31, 1999, in conformity with generally accepted accounting principles.</w:t>
      </w:r>
    </w:p>
    <w:p>
      <w:pPr>
        <w:spacing w:after="0" w:line="74"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66" w:right="1440" w:bottom="1440" w:gutter="0" w:footer="0" w:header="0"/>
        </w:sectPr>
      </w:pPr>
    </w:p>
    <w:bookmarkStart w:id="42" w:name="page43"/>
    <w:bookmarkEnd w:id="42"/>
    <w:p>
      <w:pPr>
        <w:ind w:left="266"/>
        <w:spacing w:after="0"/>
        <w:rPr>
          <w:sz w:val="20"/>
          <w:szCs w:val="20"/>
          <w:color w:val="auto"/>
        </w:rPr>
      </w:pPr>
      <w:r>
        <w:rPr>
          <w:rFonts w:ascii="Courier New" w:cs="Courier New" w:eastAsia="Courier New" w:hAnsi="Courier New"/>
          <w:sz w:val="15"/>
          <w:szCs w:val="15"/>
          <w:color w:val="auto"/>
        </w:rPr>
        <w:t>43</w:t>
      </w:r>
    </w:p>
    <w:p>
      <w:pPr>
        <w:spacing w:after="0" w:line="359"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35"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Exhibit</w:t>
      </w:r>
    </w:p>
    <w:p>
      <w:pPr>
        <w:spacing w:after="0" w:line="34"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w:t>
      </w:r>
    </w:p>
    <w:p>
      <w:pPr>
        <w:spacing w:after="0" w:line="331" w:lineRule="exact"/>
        <w:rPr>
          <w:sz w:val="20"/>
          <w:szCs w:val="20"/>
          <w:color w:val="auto"/>
        </w:rPr>
      </w:pPr>
    </w:p>
    <w:p>
      <w:pPr>
        <w:ind w:left="826"/>
        <w:spacing w:after="0"/>
        <w:tabs>
          <w:tab w:leader="none" w:pos="162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Articles of Incorporation of the Company. (1)</w:t>
      </w:r>
    </w:p>
    <w:p>
      <w:pPr>
        <w:spacing w:after="0" w:line="182" w:lineRule="exact"/>
        <w:rPr>
          <w:sz w:val="20"/>
          <w:szCs w:val="20"/>
          <w:color w:val="auto"/>
        </w:rPr>
      </w:pPr>
    </w:p>
    <w:p>
      <w:pPr>
        <w:ind w:left="826"/>
        <w:spacing w:after="0"/>
        <w:tabs>
          <w:tab w:leader="none" w:pos="162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Bylaws of the Company. (1)</w:t>
      </w:r>
    </w:p>
    <w:p>
      <w:pPr>
        <w:spacing w:after="0" w:line="182" w:lineRule="exact"/>
        <w:rPr>
          <w:sz w:val="20"/>
          <w:szCs w:val="20"/>
          <w:color w:val="auto"/>
        </w:rPr>
      </w:pPr>
    </w:p>
    <w:p>
      <w:pPr>
        <w:ind w:left="1646" w:right="3079" w:hanging="824"/>
        <w:spacing w:after="0" w:line="372" w:lineRule="auto"/>
        <w:tabs>
          <w:tab w:leader="none" w:pos="162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Rights Agreement between the Company and Rights Agent, dated June 16, 1995 (1)</w:t>
      </w:r>
    </w:p>
    <w:p>
      <w:pPr>
        <w:spacing w:after="0" w:line="2" w:lineRule="exact"/>
        <w:rPr>
          <w:sz w:val="20"/>
          <w:szCs w:val="20"/>
          <w:color w:val="auto"/>
        </w:rPr>
      </w:pPr>
    </w:p>
    <w:p>
      <w:pPr>
        <w:ind w:left="826"/>
        <w:spacing w:after="0"/>
        <w:tabs>
          <w:tab w:leader="none" w:pos="162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1995 Stock Option Plan. (2)</w:t>
      </w:r>
    </w:p>
    <w:p>
      <w:pPr>
        <w:spacing w:after="0" w:line="182" w:lineRule="exact"/>
        <w:rPr>
          <w:sz w:val="20"/>
          <w:szCs w:val="20"/>
          <w:color w:val="auto"/>
        </w:rPr>
      </w:pPr>
    </w:p>
    <w:p>
      <w:pPr>
        <w:ind w:left="826"/>
        <w:spacing w:after="0"/>
        <w:tabs>
          <w:tab w:leader="none" w:pos="1626"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Stock Option Plan for Outside Directors (4)</w:t>
      </w:r>
    </w:p>
    <w:p>
      <w:pPr>
        <w:spacing w:after="0" w:line="182" w:lineRule="exact"/>
        <w:rPr>
          <w:sz w:val="20"/>
          <w:szCs w:val="20"/>
          <w:color w:val="auto"/>
        </w:rPr>
      </w:pPr>
    </w:p>
    <w:p>
      <w:pPr>
        <w:ind w:left="1646" w:right="3179" w:hanging="824"/>
        <w:spacing w:after="0" w:line="372" w:lineRule="auto"/>
        <w:tabs>
          <w:tab w:leader="none" w:pos="1626"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Employment Agreement for Co-Chief Executive Officers, dated June 16, 1995 (1)</w:t>
      </w:r>
    </w:p>
    <w:p>
      <w:pPr>
        <w:spacing w:after="0" w:line="2" w:lineRule="exact"/>
        <w:rPr>
          <w:sz w:val="20"/>
          <w:szCs w:val="20"/>
          <w:color w:val="auto"/>
        </w:rPr>
      </w:pPr>
    </w:p>
    <w:p>
      <w:pPr>
        <w:ind w:left="1646" w:right="3439" w:hanging="824"/>
        <w:spacing w:after="0" w:line="372" w:lineRule="auto"/>
        <w:tabs>
          <w:tab w:leader="none" w:pos="1626"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Form of Indemnity Agreements with Executive Officers and Directors (2)</w:t>
      </w:r>
    </w:p>
    <w:p>
      <w:pPr>
        <w:spacing w:after="0" w:line="2" w:lineRule="exact"/>
        <w:rPr>
          <w:sz w:val="20"/>
          <w:szCs w:val="20"/>
          <w:color w:val="auto"/>
        </w:rPr>
      </w:pPr>
    </w:p>
    <w:p>
      <w:pPr>
        <w:ind w:left="826"/>
        <w:spacing w:after="0"/>
        <w:tabs>
          <w:tab w:leader="none" w:pos="1626"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Subsidiaries of the Company. (3)</w:t>
      </w:r>
    </w:p>
    <w:p>
      <w:pPr>
        <w:spacing w:after="0" w:line="182" w:lineRule="exact"/>
        <w:rPr>
          <w:sz w:val="20"/>
          <w:szCs w:val="20"/>
          <w:color w:val="auto"/>
        </w:rPr>
      </w:pPr>
    </w:p>
    <w:p>
      <w:pPr>
        <w:ind w:left="1646" w:hanging="822"/>
        <w:spacing w:after="0"/>
        <w:tabs>
          <w:tab w:leader="none" w:pos="164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 (3)</w:t>
      </w:r>
    </w:p>
    <w:p>
      <w:pPr>
        <w:spacing w:after="0" w:line="182" w:lineRule="exact"/>
        <w:rPr>
          <w:rFonts w:ascii="Courier New" w:cs="Courier New" w:eastAsia="Courier New" w:hAnsi="Courier New"/>
          <w:sz w:val="15"/>
          <w:szCs w:val="15"/>
          <w:color w:val="auto"/>
        </w:rPr>
      </w:pPr>
    </w:p>
    <w:p>
      <w:pPr>
        <w:ind w:left="1646" w:hanging="822"/>
        <w:spacing w:after="0"/>
        <w:tabs>
          <w:tab w:leader="none" w:pos="1646"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(3)</w:t>
      </w:r>
    </w:p>
    <w:p>
      <w:pPr>
        <w:spacing w:after="0" w:line="182" w:lineRule="exact"/>
        <w:rPr>
          <w:rFonts w:ascii="Courier New" w:cs="Courier New" w:eastAsia="Courier New" w:hAnsi="Courier New"/>
          <w:sz w:val="15"/>
          <w:szCs w:val="15"/>
          <w:color w:val="auto"/>
        </w:rPr>
      </w:pPr>
    </w:p>
    <w:p>
      <w:pPr>
        <w:ind w:left="1646" w:hanging="822"/>
        <w:spacing w:after="0"/>
        <w:tabs>
          <w:tab w:leader="none" w:pos="164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dated May 10,1999. (5)</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left="826" w:right="3439" w:hanging="826"/>
        <w:spacing w:after="0" w:line="372" w:lineRule="auto"/>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to the registrant's Form 10-Q for the 13-week period ended April 30, 1995 and incorporated herein by reference.</w:t>
      </w:r>
    </w:p>
    <w:p>
      <w:pPr>
        <w:spacing w:after="0" w:line="1" w:lineRule="exact"/>
        <w:rPr>
          <w:rFonts w:ascii="Courier New" w:cs="Courier New" w:eastAsia="Courier New" w:hAnsi="Courier New"/>
          <w:sz w:val="15"/>
          <w:szCs w:val="15"/>
          <w:color w:val="auto"/>
        </w:rPr>
      </w:pPr>
    </w:p>
    <w:p>
      <w:pPr>
        <w:ind w:left="826" w:right="3179" w:hanging="826"/>
        <w:spacing w:after="0" w:line="372" w:lineRule="auto"/>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to the registrant's Form 10 filed April 11, 1995 and incorporated herein by reference.</w:t>
      </w:r>
    </w:p>
    <w:p>
      <w:pPr>
        <w:spacing w:after="0" w:line="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82" w:lineRule="exact"/>
        <w:rPr>
          <w:rFonts w:ascii="Courier New" w:cs="Courier New" w:eastAsia="Courier New" w:hAnsi="Courier New"/>
          <w:sz w:val="15"/>
          <w:szCs w:val="15"/>
          <w:color w:val="auto"/>
        </w:rPr>
      </w:pPr>
    </w:p>
    <w:p>
      <w:pPr>
        <w:ind w:left="826" w:right="3259" w:hanging="826"/>
        <w:spacing w:after="0" w:line="372" w:lineRule="auto"/>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to the registrant's Form 10-K for the 52 week period ended February 1, 1997 and incorporated herein by reference.</w:t>
      </w:r>
    </w:p>
    <w:p>
      <w:pPr>
        <w:spacing w:after="0" w:line="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with the Commission on or before May 10, 1999.</w:t>
      </w:r>
    </w:p>
    <w:p>
      <w:pPr>
        <w:sectPr>
          <w:pgSz w:w="11900" w:h="16838" w:orient="portrait"/>
          <w:cols w:equalWidth="0" w:num="1">
            <w:col w:w="10225"/>
          </w:cols>
          <w:pgMar w:left="234" w:top="266" w:right="1440" w:bottom="1440" w:gutter="0" w:footer="0" w:header="0"/>
        </w:sectPr>
      </w:pPr>
    </w:p>
    <w:bookmarkStart w:id="43" w:name="page44"/>
    <w:bookmarkEnd w:id="43"/>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EXHIBIT 21.1</w:t>
      </w:r>
    </w:p>
    <w:p>
      <w:pPr>
        <w:spacing w:after="0" w:line="34"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SUBSIDIARIES OF THE COMPANY</w:t>
      </w:r>
    </w:p>
    <w:p>
      <w:pPr>
        <w:spacing w:after="0" w:line="331" w:lineRule="exact"/>
        <w:rPr>
          <w:sz w:val="20"/>
          <w:szCs w:val="20"/>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of Illinois, Inc., an Illinois corporation</w:t>
      </w:r>
    </w:p>
    <w:p>
      <w:pPr>
        <w:spacing w:after="0" w:line="34"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of Georgia, Inc., a Georgia corporation</w:t>
      </w:r>
    </w:p>
    <w:p>
      <w:pPr>
        <w:spacing w:after="0" w:line="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of Pennsylvania, Inc., a Pennsylvania corporation</w:t>
      </w:r>
    </w:p>
    <w:p>
      <w:pPr>
        <w:spacing w:after="0" w:line="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DANB Texas, Inc., a Texas corporation</w:t>
      </w:r>
    </w:p>
    <w:p>
      <w:pPr>
        <w:spacing w:after="0" w:line="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of Maryland, Inc., a Maryland corporation</w:t>
      </w:r>
    </w:p>
    <w:p>
      <w:pPr>
        <w:spacing w:after="0" w:line="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of California, Inc., a California corporation</w:t>
      </w:r>
    </w:p>
    <w:p>
      <w:pPr>
        <w:spacing w:after="0" w:line="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of Colorado, Inc., a Colorado corporation</w:t>
      </w:r>
    </w:p>
    <w:p>
      <w:pPr>
        <w:spacing w:after="0" w:line="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of New York, Inc., a New York corporation</w:t>
      </w:r>
    </w:p>
    <w:p>
      <w:pPr>
        <w:spacing w:after="0" w:line="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of Florida, Inc., a Florida corporation</w:t>
      </w:r>
    </w:p>
    <w:p>
      <w:pPr>
        <w:sectPr>
          <w:pgSz w:w="11900" w:h="16838" w:orient="portrait"/>
          <w:cols w:equalWidth="0" w:num="1">
            <w:col w:w="10225"/>
          </w:cols>
          <w:pgMar w:left="234" w:top="11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w:t>
      </w:r>
    </w:p>
    <w:p>
      <w:pPr>
        <w:spacing w:after="0" w:line="15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No. 33-80537) pertaining to the Dave &amp; Buster's, Inc. 1995 Stock Option Plan of our report dated March 29, 1999 with respect to the consolidated financial statements of Dave &amp; Buster's, Inc. included in the Annual Report (Form 10-K) for the year ended January 31, 1999.</w:t>
      </w: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/s/ 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30, 1999</w:t>
      </w:r>
    </w:p>
    <w:p>
      <w:pPr>
        <w:sectPr>
          <w:pgSz w:w="11900" w:h="16838" w:orient="portrait"/>
          <w:cols w:equalWidth="0" w:num="1">
            <w:col w:w="10219"/>
          </w:cols>
          <w:pgMar w:left="240" w:top="11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12-MOS</w:t>
      </w:r>
    </w:p>
    <w:p>
      <w:pPr>
        <w:spacing w:after="0" w:line="3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JAN-31-1999</w:t>
      </w:r>
    </w:p>
    <w:p>
      <w:pPr>
        <w:spacing w:after="0" w:line="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JAN-31-1999</w:t>
      </w:r>
    </w:p>
    <w:p>
      <w:pPr>
        <w:spacing w:after="0" w:line="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4,509</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10,811</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29,718</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212,417</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34,507</w:t>
      </w:r>
    </w:p>
    <w:p>
      <w:pPr>
        <w:spacing w:after="0" w:line="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216,592</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21,498</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42,500</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131</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145,371</w:t>
      </w:r>
    </w:p>
    <w:p>
      <w:pPr>
        <w:spacing w:after="0" w:line="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216,592</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182,284</w:t>
      </w:r>
    </w:p>
    <w:p>
      <w:pPr>
        <w:spacing w:after="0" w:line="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182,284</w:t>
      </w:r>
    </w:p>
    <w:p>
      <w:pPr>
        <w:spacing w:after="0" w:line="6" w:lineRule="exact"/>
        <w:rPr>
          <w:sz w:val="20"/>
          <w:szCs w:val="20"/>
          <w:color w:val="auto"/>
        </w:rPr>
      </w:pPr>
    </w:p>
    <w:p>
      <w:pPr>
        <w:jc w:val="right"/>
        <w:ind w:right="5739"/>
        <w:spacing w:after="0"/>
        <w:rPr>
          <w:sz w:val="20"/>
          <w:szCs w:val="20"/>
          <w:color w:val="auto"/>
        </w:rPr>
      </w:pPr>
      <w:r>
        <w:rPr>
          <w:rFonts w:ascii="Courier New" w:cs="Courier New" w:eastAsia="Courier New" w:hAnsi="Courier New"/>
          <w:sz w:val="15"/>
          <w:szCs w:val="15"/>
          <w:color w:val="auto"/>
        </w:rPr>
        <w:t>35,582</w:t>
      </w:r>
    </w:p>
    <w:p>
      <w:pPr>
        <w:spacing w:after="0" w:line="6"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160,931</w:t>
      </w:r>
    </w:p>
    <w:p>
      <w:pPr>
        <w:spacing w:after="0" w:line="6"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(194)</w:t>
      </w:r>
    </w:p>
    <w:p>
      <w:pPr>
        <w:spacing w:after="0" w:line="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21,547</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7,969</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13,578</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13,578</w:t>
      </w:r>
    </w:p>
    <w:p>
      <w:pPr>
        <w:spacing w:after="0" w:line="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1.04</w:t>
      </w:r>
    </w:p>
    <w:p>
      <w:pPr>
        <w:spacing w:after="0" w:line="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1.03</w:t>
      </w:r>
    </w:p>
    <w:sectPr>
      <w:pgSz w:w="11900" w:h="16838" w:orient="portrait"/>
      <w:cols w:equalWidth="0" w:num="1">
        <w:col w:w="10139"/>
      </w:cols>
      <w:pgMar w:left="320" w:top="4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2"/>
    </w:lvl>
  </w:abstractNum>
  <w:abstractNum w:abstractNumId="6">
    <w:nsid w:val="1F16E9E8"/>
    <w:multiLevelType w:val="hybridMultilevel"/>
    <w:lvl w:ilvl="0">
      <w:lvlJc w:val="left"/>
      <w:lvlText w:val="%1"/>
      <w:numFmt w:val="decimal"/>
      <w:start w:val="23"/>
    </w:lvl>
  </w:abstractNum>
  <w:abstractNum w:abstractNumId="7">
    <w:nsid w:val="1190CDE7"/>
    <w:multiLevelType w:val="hybridMultilevel"/>
    <w:lvl w:ilvl="0">
      <w:lvlJc w:val="left"/>
      <w:lvlText w:val="%1"/>
      <w:numFmt w:val="decimal"/>
      <w:start w:val="27"/>
    </w:lvl>
  </w:abstractNum>
  <w:abstractNum w:abstractNumId="8">
    <w:nsid w:val="66EF438D"/>
    <w:multiLevelType w:val="hybridMultilevel"/>
    <w:lvl w:ilvl="0">
      <w:lvlJc w:val="left"/>
      <w:lvlText w:val="%1"/>
      <w:numFmt w:val="decimal"/>
      <w:start w:val="99"/>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2"/>
      <w:numFmt w:val="decimal"/>
      <w:start w:val="23"/>
    </w:lvl>
  </w:abstractNum>
  <w:abstractNum w:abstractNumId="11">
    <w:nsid w:val="109CF92E"/>
    <w:multiLevelType w:val="hybridMultilevel"/>
    <w:lvl w:ilvl="0">
      <w:lvlJc w:val="left"/>
      <w:lvlText w:val="-"/>
      <w:numFmt w:val="bullet"/>
      <w:start w:val="1"/>
    </w:lvl>
    <w:lvl w:ilvl="1">
      <w:lvlJc w:val="left"/>
      <w:lvlText w:val="%2"/>
      <w:numFmt w:val="decimal"/>
      <w:start w:val="27"/>
    </w:lvl>
  </w:abstractNum>
  <w:abstractNum w:abstractNumId="12">
    <w:nsid w:val="DED7263"/>
    <w:multiLevelType w:val="hybridMultilevel"/>
    <w:lvl w:ilvl="0">
      <w:lvlJc w:val="left"/>
      <w:lvlText w:val="-"/>
      <w:numFmt w:val="bullet"/>
      <w:start w:val="1"/>
    </w:lvl>
    <w:lvl w:ilvl="1">
      <w:lvlJc w:val="left"/>
      <w:lvlText w:val="%2"/>
      <w:numFmt w:val="decimal"/>
      <w:start w:val="99"/>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2020-02-22T12:36:18Z</dcterms:created>
  <dcterms:modified xsi:type="dcterms:W3CDTF">2020-02-22T12:36:18Z</dcterms:modified>
</cp:coreProperties>
</file>