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4731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47313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Morgan Rachel</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00" w:type="dxa"/>
            <w:vAlign w:val="bottom"/>
          </w:tcPr>
          <w:p>
            <w:pPr>
              <w:ind w:left="40"/>
              <w:spacing w:after="0"/>
              <w:rPr>
                <w:sz w:val="20"/>
                <w:szCs w:val="20"/>
                <w:color w:val="auto"/>
              </w:rPr>
            </w:pPr>
            <w:r>
              <w:rPr>
                <w:rFonts w:ascii="Arial" w:cs="Arial" w:eastAsia="Arial" w:hAnsi="Arial"/>
                <w:sz w:val="13"/>
                <w:szCs w:val="13"/>
                <w:color w:val="auto"/>
              </w:rPr>
              <w:t>(Last)</w:t>
            </w:r>
          </w:p>
        </w:tc>
        <w:tc>
          <w:tcPr>
            <w:tcW w:w="1060" w:type="dxa"/>
            <w:vAlign w:val="bottom"/>
          </w:tcPr>
          <w:p>
            <w:pPr>
              <w:ind w:left="26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2"/>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1221 S. BELT LINE RD., SUITE 500</w:t>
            </w:r>
          </w:p>
        </w:tc>
      </w:tr>
      <w:tr>
        <w:trPr>
          <w:trHeight w:val="469"/>
        </w:trPr>
        <w:tc>
          <w:tcPr>
            <w:tcW w:w="100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4"/>
        </w:trPr>
        <w:tc>
          <w:tcPr>
            <w:tcW w:w="10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COPPELL</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TX</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75019</w:t>
            </w:r>
          </w:p>
        </w:tc>
      </w:tr>
      <w:tr>
        <w:trPr>
          <w:trHeight w:val="456"/>
        </w:trPr>
        <w:tc>
          <w:tcPr>
            <w:tcW w:w="1000" w:type="dxa"/>
            <w:vAlign w:val="bottom"/>
          </w:tcPr>
          <w:p>
            <w:pPr>
              <w:ind w:left="4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07"/>
        </w:trPr>
        <w:tc>
          <w:tcPr>
            <w:tcW w:w="60" w:type="dxa"/>
            <w:vAlign w:val="bottom"/>
          </w:tcPr>
          <w:p>
            <w:pPr>
              <w:spacing w:after="0"/>
              <w:rPr>
                <w:sz w:val="17"/>
                <w:szCs w:val="17"/>
                <w:color w:val="auto"/>
              </w:rPr>
            </w:pPr>
          </w:p>
        </w:tc>
        <w:tc>
          <w:tcPr>
            <w:tcW w:w="3780" w:type="dxa"/>
            <w:vAlign w:val="bottom"/>
            <w:gridSpan w:val="3"/>
          </w:tcPr>
          <w:p>
            <w:pPr>
              <w:spacing w:after="0" w:line="202"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Dave &amp; Buster's Entertainment,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PLAY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r>
      <w:tr>
        <w:trPr>
          <w:trHeight w:val="141"/>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8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16"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line="116" w:lineRule="exact"/>
              <w:rPr>
                <w:sz w:val="20"/>
                <w:szCs w:val="20"/>
                <w:color w:val="auto"/>
              </w:rPr>
            </w:pPr>
            <w:r>
              <w:rPr>
                <w:rFonts w:ascii="Arial" w:cs="Arial" w:eastAsia="Arial" w:hAnsi="Arial"/>
                <w:sz w:val="13"/>
                <w:szCs w:val="13"/>
                <w:color w:val="auto"/>
              </w:rPr>
              <w:t>Other (specify</w:t>
            </w:r>
          </w:p>
        </w:tc>
      </w:tr>
      <w:tr>
        <w:trPr>
          <w:trHeight w:val="17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r>
      <w:tr>
        <w:trPr>
          <w:trHeight w:val="239"/>
        </w:trPr>
        <w:tc>
          <w:tcPr>
            <w:tcW w:w="30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06/22/2026</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Chief Legal Officer, Corp Sec</w:t>
            </w:r>
          </w:p>
        </w:tc>
      </w:tr>
      <w:tr>
        <w:trPr>
          <w:trHeight w:val="233"/>
        </w:trPr>
        <w:tc>
          <w:tcPr>
            <w:tcW w:w="6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280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2"/>
          </w:tcPr>
          <w:p>
            <w:pPr>
              <w:spacing w:after="0"/>
              <w:rPr>
                <w:sz w:val="20"/>
                <w:szCs w:val="20"/>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91" w:lineRule="exact"/>
        <w:rPr>
          <w:sz w:val="24"/>
          <w:szCs w:val="24"/>
          <w:color w:val="auto"/>
        </w:rPr>
      </w:pPr>
    </w:p>
    <w:p>
      <w:pPr>
        <w:sectPr>
          <w:pgSz w:w="11900" w:h="16838" w:orient="portrait"/>
          <w:cols w:equalWidth="0" w:num="2">
            <w:col w:w="3120" w:space="7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6"/>
                <w:szCs w:val="16"/>
                <w:color w:val="0000FF"/>
              </w:rPr>
              <w:t>06/22/2026</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6"/>
                <w:szCs w:val="16"/>
                <w:color w:val="0000FF"/>
                <w:w w:val="94"/>
              </w:rPr>
              <w:t>126,050</w:t>
            </w:r>
            <w:r>
              <w:rPr>
                <w:rFonts w:ascii="Times New Roman" w:cs="Times New Roman" w:eastAsia="Times New Roman" w:hAnsi="Times New Roman"/>
                <w:sz w:val="20"/>
                <w:szCs w:val="20"/>
                <w:color w:val="008000"/>
                <w:w w:val="94"/>
                <w:vertAlign w:val="superscript"/>
              </w:rPr>
              <w:t>(1)</w:t>
            </w: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126,050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10.9</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13"/>
                <w:szCs w:val="13"/>
                <w:color w:val="0000FF"/>
              </w:rPr>
              <w:t>06/22/2026</w:t>
            </w:r>
          </w:p>
        </w:tc>
        <w:tc>
          <w:tcPr>
            <w:tcW w:w="1100" w:type="dxa"/>
            <w:vAlign w:val="bottom"/>
          </w:tcPr>
          <w:p>
            <w:pPr>
              <w:spacing w:after="0"/>
              <w:rPr>
                <w:sz w:val="17"/>
                <w:szCs w:val="17"/>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jc w:val="right"/>
              <w:ind w:right="62"/>
              <w:spacing w:after="0"/>
              <w:rPr>
                <w:sz w:val="20"/>
                <w:szCs w:val="20"/>
                <w:color w:val="auto"/>
              </w:rPr>
            </w:pPr>
            <w:r>
              <w:rPr>
                <w:rFonts w:ascii="Times New Roman" w:cs="Times New Roman" w:eastAsia="Times New Roman" w:hAnsi="Times New Roman"/>
                <w:sz w:val="13"/>
                <w:szCs w:val="13"/>
                <w:color w:val="0000FF"/>
              </w:rPr>
              <w:t>122,249</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w w:val="94"/>
              </w:rPr>
              <w:t>06/23/2036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122,249</w:t>
            </w:r>
          </w:p>
        </w:tc>
        <w:tc>
          <w:tcPr>
            <w:tcW w:w="720" w:type="dxa"/>
            <w:vAlign w:val="bottom"/>
            <w:gridSpan w:val="2"/>
          </w:tcPr>
          <w:p>
            <w:pPr>
              <w:jc w:val="center"/>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10.9</w:t>
            </w:r>
          </w:p>
        </w:tc>
        <w:tc>
          <w:tcPr>
            <w:tcW w:w="860" w:type="dxa"/>
            <w:vAlign w:val="bottom"/>
            <w:gridSpan w:val="2"/>
          </w:tcPr>
          <w:p>
            <w:pPr>
              <w:jc w:val="right"/>
              <w:ind w:right="183"/>
              <w:spacing w:after="0"/>
              <w:rPr>
                <w:sz w:val="20"/>
                <w:szCs w:val="20"/>
                <w:color w:val="auto"/>
              </w:rPr>
            </w:pPr>
            <w:r>
              <w:rPr>
                <w:rFonts w:ascii="Times New Roman" w:cs="Times New Roman" w:eastAsia="Times New Roman" w:hAnsi="Times New Roman"/>
                <w:sz w:val="13"/>
                <w:szCs w:val="13"/>
                <w:color w:val="0000FF"/>
              </w:rPr>
              <w:t>122,249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ind w:right="2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20" w:type="dxa"/>
            <w:vAlign w:val="bottom"/>
            <w:vMerge w:val="restart"/>
          </w:tcPr>
          <w:p>
            <w:pPr>
              <w:jc w:val="right"/>
              <w:ind w:right="141"/>
              <w:spacing w:after="0"/>
              <w:rPr>
                <w:sz w:val="20"/>
                <w:szCs w:val="20"/>
                <w:color w:val="auto"/>
              </w:rPr>
            </w:pPr>
            <w:r>
              <w:rPr>
                <w:rFonts w:ascii="Times New Roman" w:cs="Times New Roman" w:eastAsia="Times New Roman" w:hAnsi="Times New Roman"/>
                <w:sz w:val="13"/>
                <w:szCs w:val="13"/>
                <w:color w:val="0000FF"/>
              </w:rPr>
              <w:t>06/22/2026</w:t>
            </w:r>
          </w:p>
        </w:tc>
        <w:tc>
          <w:tcPr>
            <w:tcW w:w="1100" w:type="dxa"/>
            <w:vAlign w:val="bottom"/>
          </w:tcPr>
          <w:p>
            <w:pPr>
              <w:spacing w:after="0"/>
              <w:rPr>
                <w:sz w:val="15"/>
                <w:szCs w:val="15"/>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restart"/>
          </w:tcPr>
          <w:p>
            <w:pPr>
              <w:jc w:val="right"/>
              <w:ind w:right="102"/>
              <w:spacing w:after="0"/>
              <w:rPr>
                <w:sz w:val="20"/>
                <w:szCs w:val="20"/>
                <w:color w:val="auto"/>
              </w:rPr>
            </w:pPr>
            <w:r>
              <w:rPr>
                <w:rFonts w:ascii="Times New Roman" w:cs="Times New Roman" w:eastAsia="Times New Roman" w:hAnsi="Times New Roman"/>
                <w:sz w:val="13"/>
                <w:szCs w:val="13"/>
                <w:color w:val="0000FF"/>
              </w:rPr>
              <w:t>84,034</w:t>
            </w: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right"/>
              <w:ind w:right="22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4"/>
              <w:spacing w:after="0"/>
              <w:rPr>
                <w:sz w:val="20"/>
                <w:szCs w:val="20"/>
                <w:color w:val="auto"/>
              </w:rPr>
            </w:pPr>
            <w:r>
              <w:rPr>
                <w:rFonts w:ascii="Times New Roman" w:cs="Times New Roman" w:eastAsia="Times New Roman" w:hAnsi="Times New Roman"/>
                <w:sz w:val="16"/>
                <w:szCs w:val="16"/>
                <w:color w:val="0000FF"/>
              </w:rPr>
              <w:t>84,034</w:t>
            </w:r>
          </w:p>
        </w:tc>
        <w:tc>
          <w:tcPr>
            <w:tcW w:w="720" w:type="dxa"/>
            <w:vAlign w:val="bottom"/>
            <w:gridSpan w:val="2"/>
            <w:vMerge w:val="restart"/>
          </w:tcPr>
          <w:p>
            <w:pPr>
              <w:jc w:val="center"/>
              <w:ind w:right="2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203"/>
              <w:spacing w:after="0"/>
              <w:rPr>
                <w:sz w:val="20"/>
                <w:szCs w:val="20"/>
                <w:color w:val="auto"/>
              </w:rPr>
            </w:pPr>
            <w:r>
              <w:rPr>
                <w:rFonts w:ascii="Times New Roman" w:cs="Times New Roman" w:eastAsia="Times New Roman" w:hAnsi="Times New Roman"/>
                <w:sz w:val="13"/>
                <w:szCs w:val="13"/>
                <w:color w:val="0000FF"/>
              </w:rPr>
              <w:t>84,034</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 SSS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-2068830</wp:posOffset>
            </wp:positionV>
            <wp:extent cx="28575" cy="2074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7454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RSU's that will vest in three installments of 42,017 shares on June 22, 2027, 42,017 shares on June 22, 2028 and 42,016 shares on June 22, 2029.</w:t>
      </w:r>
    </w:p>
    <w:p>
      <w:pPr>
        <w:spacing w:after="0" w:line="39" w:lineRule="exact"/>
        <w:rPr>
          <w:rFonts w:ascii="Times New Roman" w:cs="Times New Roman" w:eastAsia="Times New Roman" w:hAnsi="Times New Roman"/>
          <w:sz w:val="13"/>
          <w:szCs w:val="13"/>
          <w:color w:val="008000"/>
        </w:rPr>
      </w:pPr>
    </w:p>
    <w:p>
      <w:pPr>
        <w:ind w:left="40" w:right="4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to the reporting person under the Inducement Plan. The shares underlying these stock options will vest and become exercisable in substantially three equal installments on the Initial Price Achievement Date.</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performance-based stock units ("PSUs") under the Issuer's Inducement Plan.</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Sherri M. Smith,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06/24/2026</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291" TargetMode="External"/><Relationship Id="rId14" Type="http://schemas.openxmlformats.org/officeDocument/2006/relationships/hyperlink" Target="http://www.sec.gov/cgi-bin/browse-edgar?action=getcompany&amp;CIK=0001525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2026-06-24T16:53:31Z</dcterms:created>
  <dcterms:modified xsi:type="dcterms:W3CDTF">2026-06-24T16:53:31Z</dcterms:modified>
</cp:coreProperties>
</file>