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FORM 8-K</w:t>
      </w:r>
    </w:p>
    <w:p>
      <w:pPr>
        <w:pStyle w:val="TextBody"/>
        <w:bidi w:val="0"/>
        <w:spacing w:lineRule="auto" w:line="288" w:before="240" w:after="283"/>
        <w:jc w:val="center"/>
        <w:rPr/>
      </w:pPr>
      <w:r>
        <w:rPr>
          <w:rFonts w:ascii="Times New Roman;sans-serif" w:hAnsi="Times New Roman;sans-serif"/>
          <w:b/>
          <w:color w:val="000000"/>
          <w:sz w:val="20"/>
        </w:rPr>
        <w:t>Current Report</w:t>
      </w:r>
      <w:r>
        <w:rPr>
          <w:color w:val="000000"/>
        </w:rPr>
        <w:t xml:space="preserve"> </w:t>
      </w:r>
      <w:r>
        <w:rPr>
          <w:rFonts w:ascii="Times New Roman;sans-serif" w:hAnsi="Times New Roman;sans-serif"/>
          <w:b/>
          <w:color w:val="000000"/>
          <w:sz w:val="20"/>
        </w:rPr>
        <w:t>Pursuant to Section 13 or 15(d)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Securities Exchange Act of 1934</w:t>
      </w:r>
    </w:p>
    <w:p>
      <w:pPr>
        <w:pStyle w:val="TextBody"/>
        <w:bidi w:val="0"/>
        <w:spacing w:lineRule="auto" w:line="288" w:before="240" w:after="283"/>
        <w:jc w:val="center"/>
        <w:rPr/>
      </w:pPr>
      <w:r>
        <w:rPr>
          <w:rFonts w:ascii="Times New Roman;sans-serif" w:hAnsi="Times New Roman;sans-serif"/>
          <w:b/>
          <w:color w:val="000000"/>
          <w:sz w:val="20"/>
        </w:rPr>
        <w:t xml:space="preserve">Date of Report (Date of earliest event reported): </w:t>
      </w:r>
      <w:r>
        <w:rPr>
          <w:rFonts w:ascii="Times New Roman;sans-serif" w:hAnsi="Times New Roman;sans-serif"/>
          <w:b w:val="false"/>
          <w:color w:val="000000"/>
          <w:sz w:val="20"/>
        </w:rPr>
        <w:t>June 13, 2025</w:t>
      </w:r>
    </w:p>
    <w:p>
      <w:pPr>
        <w:pStyle w:val="TextBody"/>
        <w:bidi w:val="0"/>
        <w:spacing w:lineRule="auto" w:line="288" w:before="240" w:after="283"/>
        <w:jc w:val="center"/>
        <w:rPr>
          <w:rFonts w:ascii="Times New Roman;sans-serif" w:hAnsi="Times New Roman;sans-serif"/>
          <w:b/>
          <w:color w:val="000000"/>
          <w:sz w:val="28"/>
        </w:rPr>
      </w:pPr>
      <w:r>
        <w:rPr>
          <w:rFonts w:ascii="Times New Roman;sans-serif" w:hAnsi="Times New Roman;sans-serif"/>
          <w:b/>
          <w:color w:val="000000"/>
          <w:sz w:val="28"/>
        </w:rPr>
        <w:t>DAVE &amp; BUSTER’S ENTERTAINMENT,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4888" w:type="dxa"/>
        <w:jc w:val="left"/>
        <w:tblInd w:w="0" w:type="dxa"/>
        <w:tblLayout w:type="fixed"/>
        <w:tblCellMar>
          <w:top w:w="28" w:type="dxa"/>
          <w:left w:w="28" w:type="dxa"/>
          <w:bottom w:w="28" w:type="dxa"/>
          <w:right w:w="28" w:type="dxa"/>
        </w:tblCellMar>
      </w:tblPr>
      <w:tblGrid>
        <w:gridCol w:w="466"/>
        <w:gridCol w:w="410"/>
        <w:gridCol w:w="414"/>
        <w:gridCol w:w="528"/>
        <w:gridCol w:w="528"/>
        <w:gridCol w:w="533"/>
        <w:gridCol w:w="586"/>
        <w:gridCol w:w="586"/>
        <w:gridCol w:w="837"/>
      </w:tblGrid>
      <w:tr>
        <w:trPr/>
        <w:tc>
          <w:tcPr>
            <w:tcW w:w="4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5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001-35664</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35-2382255</w:t>
            </w:r>
          </w:p>
        </w:tc>
      </w:tr>
      <w:tr>
        <w:trPr/>
        <w:tc>
          <w:tcPr>
            <w:tcW w:w="129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of</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w:t>
            </w:r>
          </w:p>
        </w:tc>
        <w:tc>
          <w:tcPr>
            <w:tcW w:w="158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 File </w:t>
            </w:r>
          </w:p>
          <w:p>
            <w:pPr>
              <w:pStyle w:val="TableContents"/>
              <w:bidi w:val="0"/>
              <w:spacing w:lineRule="auto" w:line="276" w:before="0" w:after="0"/>
              <w:jc w:val="center"/>
              <w:rPr>
                <w:color w:val="000000"/>
              </w:rPr>
            </w:pPr>
            <w:r>
              <w:rPr>
                <w:color w:val="000000"/>
              </w:rPr>
              <w:t> </w:t>
            </w:r>
            <w:r>
              <w:rPr>
                <w:rFonts w:ascii="Times New Roman;sans-serif" w:hAnsi="Times New Roman;sans-serif"/>
                <w:b w:val="false"/>
                <w:color w:val="000000"/>
                <w:sz w:val="20"/>
              </w:rPr>
              <w:t>Number)</w:t>
            </w:r>
          </w:p>
        </w:tc>
        <w:tc>
          <w:tcPr>
            <w:tcW w:w="200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Number)</w:t>
            </w:r>
          </w:p>
        </w:tc>
      </w:tr>
    </w:tbl>
    <w:tbl>
      <w:tblPr>
        <w:tblW w:w="3344" w:type="dxa"/>
        <w:jc w:val="left"/>
        <w:tblInd w:w="0" w:type="dxa"/>
        <w:tblLayout w:type="fixed"/>
        <w:tblCellMar>
          <w:top w:w="28" w:type="dxa"/>
          <w:left w:w="28" w:type="dxa"/>
          <w:bottom w:w="28" w:type="dxa"/>
          <w:right w:w="28" w:type="dxa"/>
        </w:tblCellMar>
      </w:tblPr>
      <w:tblGrid>
        <w:gridCol w:w="1071"/>
        <w:gridCol w:w="941"/>
        <w:gridCol w:w="1332"/>
      </w:tblGrid>
      <w:tr>
        <w:trPr/>
        <w:tc>
          <w:tcPr>
            <w:tcW w:w="107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1221 S. Belt Line Rd., Suite 500</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Coppell, TX 75019</w:t>
            </w:r>
          </w:p>
        </w:tc>
      </w:tr>
      <w:tr>
        <w:trPr/>
        <w:tc>
          <w:tcPr>
            <w:tcW w:w="33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r>
    </w:tbl>
    <w:p>
      <w:pPr>
        <w:pStyle w:val="TextBody"/>
        <w:bidi w:val="0"/>
        <w:spacing w:lineRule="auto" w:line="288" w:before="240" w:after="283"/>
        <w:jc w:val="left"/>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(214) 357-9588</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if the Form 8-K filing is intended to simultaneously satisfy the reporting obligation of the registrant under any of the following provisions:</w:t>
      </w:r>
    </w:p>
    <w:tbl>
      <w:tblPr>
        <w:tblW w:w="6855" w:type="dxa"/>
        <w:jc w:val="left"/>
        <w:tblInd w:w="0" w:type="dxa"/>
        <w:tblLayout w:type="fixed"/>
        <w:tblCellMar>
          <w:top w:w="28" w:type="dxa"/>
          <w:left w:w="28" w:type="dxa"/>
          <w:bottom w:w="28" w:type="dxa"/>
          <w:right w:w="28" w:type="dxa"/>
        </w:tblCellMar>
      </w:tblPr>
      <w:tblGrid>
        <w:gridCol w:w="141"/>
        <w:gridCol w:w="124"/>
        <w:gridCol w:w="126"/>
        <w:gridCol w:w="1890"/>
        <w:gridCol w:w="1890"/>
        <w:gridCol w:w="268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120" w:after="60"/>
              <w:jc w:val="both"/>
              <w:rPr>
                <w:color w:val="000000"/>
              </w:rPr>
            </w:pPr>
            <w:r>
              <w:rPr>
                <w:color w:val="000000"/>
              </w:rPr>
              <w:t> ☐</w:t>
            </w:r>
          </w:p>
        </w:tc>
        <w:tc>
          <w:tcPr>
            <w:tcW w:w="64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w:t>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120" w:after="60"/>
              <w:jc w:val="both"/>
              <w:rPr>
                <w:color w:val="000000"/>
              </w:rPr>
            </w:pPr>
            <w:r>
              <w:rPr>
                <w:color w:val="000000"/>
              </w:rPr>
              <w:t> ☐</w:t>
            </w:r>
          </w:p>
        </w:tc>
        <w:tc>
          <w:tcPr>
            <w:tcW w:w="64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of the Exchange Act</w:t>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120" w:after="60"/>
              <w:jc w:val="both"/>
              <w:rPr>
                <w:color w:val="000000"/>
              </w:rPr>
            </w:pPr>
            <w:r>
              <w:rPr>
                <w:color w:val="000000"/>
              </w:rPr>
              <w:t> ☐</w:t>
            </w:r>
          </w:p>
        </w:tc>
        <w:tc>
          <w:tcPr>
            <w:tcW w:w="64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Exchange Act</w:t>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120" w:after="60"/>
              <w:jc w:val="both"/>
              <w:rPr>
                <w:color w:val="000000"/>
              </w:rPr>
            </w:pPr>
            <w:r>
              <w:rPr>
                <w:color w:val="000000"/>
              </w:rPr>
              <w:t> ☐</w:t>
            </w:r>
          </w:p>
        </w:tc>
        <w:tc>
          <w:tcPr>
            <w:tcW w:w="64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Exchange Act</w:t>
            </w:r>
          </w:p>
        </w:tc>
      </w:tr>
    </w:tbl>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662" w:type="dxa"/>
        <w:jc w:val="left"/>
        <w:tblInd w:w="0" w:type="dxa"/>
        <w:tblLayout w:type="fixed"/>
        <w:tblCellMar>
          <w:top w:w="28" w:type="dxa"/>
          <w:left w:w="28" w:type="dxa"/>
          <w:bottom w:w="28" w:type="dxa"/>
          <w:right w:w="28" w:type="dxa"/>
        </w:tblCellMar>
      </w:tblPr>
      <w:tblGrid>
        <w:gridCol w:w="972"/>
        <w:gridCol w:w="851"/>
        <w:gridCol w:w="861"/>
        <w:gridCol w:w="109"/>
        <w:gridCol w:w="109"/>
        <w:gridCol w:w="109"/>
        <w:gridCol w:w="539"/>
        <w:gridCol w:w="539"/>
        <w:gridCol w:w="541"/>
        <w:gridCol w:w="109"/>
        <w:gridCol w:w="109"/>
        <w:gridCol w:w="109"/>
        <w:gridCol w:w="1085"/>
        <w:gridCol w:w="1085"/>
        <w:gridCol w:w="1535"/>
      </w:tblGrid>
      <w:tr>
        <w:trPr/>
        <w:tc>
          <w:tcPr>
            <w:tcW w:w="97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PLAY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Stock Market LLC</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40" w:after="283"/>
        <w:jc w:val="left"/>
        <w:rPr/>
      </w:pPr>
      <w:r>
        <w:rPr>
          <w:rFonts w:ascii="Times New Roman;sans-serif" w:hAnsi="Times New Roman;sans-serif"/>
          <w:b w:val="false"/>
          <w:color w:val="000000"/>
          <w:sz w:val="20"/>
        </w:rPr>
        <w:t xml:space="preserve">Emerging growth company </w:t>
      </w:r>
      <w:r>
        <w:rPr>
          <w:color w:val="000000"/>
        </w:rPr>
        <w:t>☐</w:t>
      </w:r>
    </w:p>
    <w:p>
      <w:pPr>
        <w:pStyle w:val="TextBody"/>
        <w:bidi w:val="0"/>
        <w:spacing w:lineRule="auto" w:line="288" w:before="240" w:after="283"/>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Section 5 -– Corporate Governance and Management</w:t>
      </w:r>
    </w:p>
    <w:p>
      <w:pPr>
        <w:pStyle w:val="TextBody"/>
        <w:bidi w:val="0"/>
        <w:spacing w:before="0" w:after="0"/>
        <w:jc w:val="both"/>
        <w:rPr/>
      </w:pPr>
      <w:r>
        <w:rPr/>
      </w:r>
    </w:p>
    <w:p>
      <w:pPr>
        <w:pStyle w:val="TextBody"/>
        <w:bidi w:val="0"/>
        <w:spacing w:lineRule="auto" w:line="288" w:before="60" w:after="283"/>
        <w:jc w:val="both"/>
        <w:rPr>
          <w:rFonts w:ascii="Times New Roman;sans-serif" w:hAnsi="Times New Roman;sans-serif"/>
          <w:b/>
          <w:color w:val="000000"/>
          <w:sz w:val="20"/>
        </w:rPr>
      </w:pPr>
      <w:r>
        <w:rPr>
          <w:rFonts w:ascii="Times New Roman;sans-serif" w:hAnsi="Times New Roman;sans-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June 13, 2025, Dave &amp; Buster’s Entertainment, Inc. (the “Company”) announced the retirement of John Mulleady, Chief Development Officer and a named executive officer. Mr. Mulleady will retire effective as of the close of business on October 23, 2025. Effective as of June 30, 2025, Mr. Mulleady will transition to the role of Senior Advisor and will provide advisory services to the Company to ensure a smooth transition until the effective date of his retirement. The Company and Mr. Mulleady have further agreed that he will provide consulting services to the Company from the effective date of his retirement until January 31, 2026 (such period, the “Consulting Period”).</w:t>
      </w:r>
    </w:p>
    <w:p>
      <w:pPr>
        <w:pStyle w:val="TextBody"/>
        <w:bidi w:val="0"/>
        <w:spacing w:lineRule="auto" w:line="288" w:before="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Mr. Mulleady’s planned transition and retirement, Mr. Mulleady, the Company and Dave &amp; Buster’s Management Corporation, Inc., an affiliate of the Company, entered into an amendment to Mr. Mulleady’s existing employment agreement (the “Amended Agreement”). Pursuant to the Amended Agreement, Mr. Mulleady will receive a weekly consulting fee during the Consulting Period of $8,706.73. Additionally, he will receive two supplemental payments, consisting of: (1) a lump-sum payment of $67,912.50 that will be payable within thirty (30) days following July 31, 2025, and (2) a lump-sum payment of $67,912.50 that will be payable within thirty (30) days following January 31, 2026. Mr. Mulleady’s retirement will be deemed as a retirement (as applicable) for purposes of his then-outstanding equity awards under the Company’s equity incentive plans. </w:t>
      </w:r>
    </w:p>
    <w:p>
      <w:pPr>
        <w:pStyle w:val="TextBody"/>
        <w:bidi w:val="0"/>
        <w:spacing w:lineRule="auto" w:line="288" w:before="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payments and benefits are subject to Mr. Mulleady’s compliance with his obligations under the Amended Agreement and the terms and conditions thereunder, including his compliance with certain non-compete, non-solicitation and non-hire covenants during his employment, and in the case of the non-solicitation and non-hire covenants, for two (2) years thereafter, and his execution, delivery and non-revocation of a release of claims for the benefit of the Company and its affiliates.</w:t>
      </w:r>
    </w:p>
    <w:p>
      <w:pPr>
        <w:pStyle w:val="TextBody"/>
        <w:bidi w:val="0"/>
        <w:spacing w:lineRule="auto" w:line="288" w:before="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June 13, 2025, the Company issued a press release announcing Mr. Mulleady’s transition. A copy of this Press Release is attached hereto as Exhibit 99.1.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Section 9 – Financial Statements and Exhibits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(d)Exhibits.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2753"/>
        <w:gridCol w:w="2737"/>
        <w:gridCol w:w="39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9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play-leslehnercdoex991.htm">
              <w:r>
                <w:rPr>
                  <w:rStyle w:val="InternetLink"/>
                  <w:rFonts w:ascii="Times New Roman;sans-serif" w:hAnsi="Times New Roman;sans-serif"/>
                  <w:b w:val="false"/>
                  <w:color w:val="0000FF"/>
                  <w:sz w:val="20"/>
                  <w:u w:val="single"/>
                </w:rPr>
                <w:t>99.1</w:t>
              </w:r>
            </w:hyperlink>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ay-leslehnercdoex991.htm">
              <w:r>
                <w:rPr>
                  <w:rStyle w:val="InternetLink"/>
                  <w:rFonts w:ascii="Times New Roman;sans-serif" w:hAnsi="Times New Roman;sans-serif"/>
                  <w:b w:val="false"/>
                  <w:color w:val="000080"/>
                  <w:sz w:val="20"/>
                  <w:u w:val="single"/>
                </w:rPr>
                <w:t xml:space="preserve">Press release </w:t>
              </w:r>
            </w:hyperlink>
            <w:hyperlink w:anchor="play-leslehnercdoex991.htm">
              <w:r>
                <w:rPr>
                  <w:rStyle w:val="InternetLink"/>
                  <w:rFonts w:ascii="Times New Roman;sans-serif" w:hAnsi="Times New Roman;sans-serif"/>
                  <w:b w:val="false"/>
                  <w:color w:val="000080"/>
                  <w:sz w:val="20"/>
                  <w:u w:val="single"/>
                </w:rPr>
                <w:t>issued</w:t>
              </w:r>
            </w:hyperlink>
            <w:hyperlink w:anchor="play-leslehnercdoex991.htm">
              <w:r>
                <w:rPr>
                  <w:rStyle w:val="InternetLink"/>
                  <w:rFonts w:ascii="Times New Roman;sans-serif" w:hAnsi="Times New Roman;sans-serif"/>
                  <w:b w:val="false"/>
                  <w:color w:val="000080"/>
                  <w:sz w:val="20"/>
                  <w:u w:val="single"/>
                </w:rPr>
                <w:t xml:space="preserve"> June 13, 2025</w:t>
              </w:r>
            </w:hyperlink>
            <w:hyperlink w:anchor="play-leslehnercdoex991.htm">
              <w:r>
                <w:rPr>
                  <w:rStyle w:val="InternetLink"/>
                  <w:rFonts w:ascii="Times New Roman;sans-serif" w:hAnsi="Times New Roman;sans-serif"/>
                  <w:b w:val="false"/>
                  <w:color w:val="000080"/>
                  <w:sz w:val="20"/>
                  <w:u w:val="single"/>
                </w:rPr>
                <w:t>.</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(the Cover Page Interactive Data File is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6417" w:type="dxa"/>
        <w:jc w:val="left"/>
        <w:tblInd w:w="0" w:type="dxa"/>
        <w:tblLayout w:type="fixed"/>
        <w:tblCellMar>
          <w:top w:w="28" w:type="dxa"/>
          <w:left w:w="28" w:type="dxa"/>
          <w:bottom w:w="28" w:type="dxa"/>
          <w:right w:w="28" w:type="dxa"/>
        </w:tblCellMar>
      </w:tblPr>
      <w:tblGrid>
        <w:gridCol w:w="629"/>
        <w:gridCol w:w="554"/>
        <w:gridCol w:w="557"/>
        <w:gridCol w:w="707"/>
        <w:gridCol w:w="707"/>
        <w:gridCol w:w="707"/>
        <w:gridCol w:w="746"/>
        <w:gridCol w:w="746"/>
        <w:gridCol w:w="106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DAVE &amp; BUSTER’S ENTERTAINMENT,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June 13, 2025</w:t>
            </w:r>
          </w:p>
        </w:tc>
        <w:tc>
          <w:tcPr>
            <w:tcW w:w="2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Rodolfo Rodriguez, Jr.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Rodolfo Rodriguez, Jr.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Legal Officer and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99.1</w:t>
      </w:r>
    </w:p>
    <w:p>
      <w:pPr>
        <w:pStyle w:val="TextBody"/>
        <w:bidi w:val="0"/>
        <w:spacing w:before="240" w:after="283"/>
        <w:ind w:left="0" w:right="0" w:firstLine="180"/>
        <w:jc w:val="left"/>
        <w:rPr/>
      </w:pPr>
      <w:r>
        <w:rPr/>
        <w:drawing>
          <wp:inline distT="0" distB="0" distL="0" distR="0">
            <wp:extent cx="1333500" cy="10287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333500" cy="10287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60" w:after="283"/>
        <w:jc w:val="center"/>
        <w:rPr>
          <w:rFonts w:ascii="Times New Roman;sans-serif" w:hAnsi="Times New Roman;sans-serif"/>
          <w:b/>
          <w:color w:val="000000"/>
          <w:sz w:val="21"/>
        </w:rPr>
      </w:pPr>
      <w:r>
        <w:rPr>
          <w:rFonts w:ascii="Times New Roman;sans-serif" w:hAnsi="Times New Roman;sans-serif"/>
          <w:b/>
          <w:color w:val="000000"/>
          <w:sz w:val="21"/>
        </w:rPr>
        <w:t xml:space="preserve">Dave &amp; Buster’s Announces Promotion of Les Lehner to Chief Development Officer </w:t>
      </w:r>
    </w:p>
    <w:p>
      <w:pPr>
        <w:pStyle w:val="TextBody"/>
        <w:bidi w:val="0"/>
        <w:spacing w:lineRule="auto" w:line="288" w:before="120" w:after="283"/>
        <w:jc w:val="both"/>
        <w:rPr/>
      </w:pPr>
      <w:r>
        <w:rPr>
          <w:rFonts w:ascii="Times New Roman;sans-serif" w:hAnsi="Times New Roman;sans-serif"/>
          <w:b w:val="false"/>
          <w:color w:val="333333"/>
          <w:sz w:val="20"/>
        </w:rPr>
        <w:t xml:space="preserve">DALLAS, </w:t>
      </w:r>
      <w:r>
        <w:rPr>
          <w:rFonts w:ascii="Times New Roman;sans-serif" w:hAnsi="Times New Roman;sans-serif"/>
          <w:b w:val="false"/>
          <w:color w:val="000000"/>
          <w:sz w:val="20"/>
        </w:rPr>
        <w:t xml:space="preserve">June 13, </w:t>
      </w:r>
      <w:r>
        <w:rPr>
          <w:rFonts w:ascii="Times New Roman;sans-serif" w:hAnsi="Times New Roman;sans-serif"/>
          <w:b w:val="false"/>
          <w:color w:val="333333"/>
          <w:sz w:val="20"/>
        </w:rPr>
        <w:t>2025 (GLOBE NEWSWIRE) -- Dave &amp; Buster's Entertainment, Inc., (NASDAQ: PLAY), ("Dave &amp; Buster's" or "the Company") today announced that it has promoted Les Lehner to the position of Chief Development Officer. Mr. Lehner most recently served as Chief Procurement Officer and Head of Main Event Development</w:t>
      </w:r>
      <w:r>
        <w:rPr>
          <w:rFonts w:ascii="Times New Roman;sans-serif" w:hAnsi="Times New Roman;sans-serif"/>
          <w:b w:val="false"/>
          <w:color w:val="000000"/>
          <w:sz w:val="20"/>
        </w:rPr>
        <w:t xml:space="preserv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this promotion, the Company announced that John Mulleady, current Chief Development Officer, will retire effective as of the close of business on October 23, 2025. Effective as of June 30, 2025, Mr. Mulleady will transition to an advisory role at the Company to ensure a smooth transition until the effective date of his retirement. The Company and Mr. Mulleady have further agreed that he will provide consulting services to the Company from the effective date of his retirement until January 31, 2026.</w:t>
      </w:r>
    </w:p>
    <w:p>
      <w:pPr>
        <w:pStyle w:val="TextBody"/>
        <w:bidi w:val="0"/>
        <w:spacing w:lineRule="auto" w:line="288" w:before="120" w:after="283"/>
        <w:jc w:val="both"/>
        <w:rPr/>
      </w:pPr>
      <w:r>
        <w:rPr>
          <w:color w:val="333333"/>
        </w:rPr>
        <w:t>“</w:t>
      </w:r>
      <w:r>
        <w:rPr>
          <w:rFonts w:ascii="Times New Roman;sans-serif" w:hAnsi="Times New Roman;sans-serif"/>
          <w:b w:val="false"/>
          <w:color w:val="000000"/>
          <w:sz w:val="20"/>
        </w:rPr>
        <w:t>I want to express my sincere gratitude to John for his nearly 15 years of dedicated service to Dave &amp; Buster’s. During his tenure, he achieved remarkable results, leading the successful construction of over 100 new stores and consistently demonstrating best-in-class development prowess</w:t>
      </w:r>
      <w:r>
        <w:rPr>
          <w:color w:val="333333"/>
        </w:rPr>
        <w:t xml:space="preserve">” </w:t>
      </w:r>
      <w:r>
        <w:rPr>
          <w:rFonts w:ascii="Times New Roman;sans-serif" w:hAnsi="Times New Roman;sans-serif"/>
          <w:b w:val="false"/>
          <w:color w:val="333333"/>
          <w:sz w:val="20"/>
        </w:rPr>
        <w:t xml:space="preserve">said Kevin Sheehan, Board Chair and Interim Chief Executive Officer. “While John will undoubtedly be missed when he steps away in 2026, we are fortunate to be transitioning leadership of our development efforts to Les – an exceptionally capable leader within our executive team. Les has been a versatile and highly effective contributor to our organization, overseeing procurement, cost optimization, and Main Event development. I have full confidence that he will excel as our new Chief Development Officer, bringing deep industry knowledge and a proven track record of development expertise to the role. Lastly, we have an existing, well developed pipeline of approximately 40 stores we expect to open over the next three years and look forward to Les leading the Company’s ongoing growth in this area.” </w:t>
      </w:r>
    </w:p>
    <w:p>
      <w:pPr>
        <w:pStyle w:val="TextBody"/>
        <w:bidi w:val="0"/>
        <w:spacing w:lineRule="auto" w:line="288" w:before="120" w:after="120"/>
        <w:jc w:val="both"/>
        <w:rPr>
          <w:rFonts w:ascii="Times New Roman;sans-serif" w:hAnsi="Times New Roman;sans-serif"/>
          <w:b/>
          <w:color w:val="333333"/>
          <w:sz w:val="20"/>
          <w:shd w:fill="FFFFFF" w:val="clear"/>
        </w:rPr>
      </w:pPr>
      <w:r>
        <w:rPr>
          <w:rFonts w:ascii="Times New Roman;sans-serif" w:hAnsi="Times New Roman;sans-serif"/>
          <w:b/>
          <w:color w:val="333333"/>
          <w:sz w:val="20"/>
          <w:shd w:fill="FFFFFF" w:val="clear"/>
        </w:rPr>
        <w:t>About Les Lehner</w:t>
      </w:r>
    </w:p>
    <w:p>
      <w:pPr>
        <w:pStyle w:val="TextBody"/>
        <w:bidi w:val="0"/>
        <w:spacing w:lineRule="auto" w:line="288" w:before="120" w:after="120"/>
        <w:jc w:val="both"/>
        <w:rPr>
          <w:rFonts w:ascii="Times New Roman;sans-serif" w:hAnsi="Times New Roman;sans-serif"/>
          <w:b w:val="false"/>
          <w:color w:val="333333"/>
          <w:sz w:val="20"/>
          <w:shd w:fill="FFFFFF" w:val="clear"/>
        </w:rPr>
      </w:pPr>
      <w:r>
        <w:rPr>
          <w:rFonts w:ascii="Times New Roman;sans-serif" w:hAnsi="Times New Roman;sans-serif"/>
          <w:b w:val="false"/>
          <w:color w:val="333333"/>
          <w:sz w:val="20"/>
          <w:shd w:fill="FFFFFF" w:val="clear"/>
        </w:rPr>
        <w:t>Mr. Lehner served as Chief Procurement Officer and Head of Main Event Development since August 2022. Previously he was Executive Vice President, Chief Development and Procurement Officer at Main Event Entertainment from 2018 through July 2022, and Senior Vice President, Chief Development and Procurement Officer at Red Robin Gourmet Burgers, Inc. from 2015 through 2018. Prior to that he was with CEC Entertainment from 2000 through 2015 in various roles including Senior Vice President, Development and Procurement.</w:t>
      </w:r>
    </w:p>
    <w:p>
      <w:pPr>
        <w:pStyle w:val="TextBody"/>
        <w:bidi w:val="0"/>
        <w:spacing w:lineRule="auto" w:line="288" w:before="120" w:after="120"/>
        <w:jc w:val="both"/>
        <w:rPr>
          <w:rFonts w:ascii="Times New Roman;sans-serif" w:hAnsi="Times New Roman;sans-serif"/>
          <w:b/>
          <w:color w:val="333333"/>
          <w:sz w:val="20"/>
          <w:shd w:fill="FFFFFF" w:val="clear"/>
        </w:rPr>
      </w:pPr>
      <w:r>
        <w:rPr>
          <w:rFonts w:ascii="Times New Roman;sans-serif" w:hAnsi="Times New Roman;sans-serif"/>
          <w:b/>
          <w:color w:val="333333"/>
          <w:sz w:val="20"/>
          <w:shd w:fill="FFFFFF" w:val="clear"/>
        </w:rPr>
        <w:t>About Dave &amp; Buster’s Entertainment, Inc.</w:t>
      </w:r>
    </w:p>
    <w:p>
      <w:pPr>
        <w:pStyle w:val="TextBody"/>
        <w:bidi w:val="0"/>
        <w:spacing w:lineRule="auto" w:line="288" w:before="120" w:after="283"/>
        <w:jc w:val="both"/>
        <w:rPr>
          <w:rFonts w:ascii="Times New Roman;sans-serif" w:hAnsi="Times New Roman;sans-serif"/>
          <w:b w:val="false"/>
          <w:color w:val="333333"/>
          <w:sz w:val="20"/>
        </w:rPr>
      </w:pPr>
      <w:r>
        <w:rPr>
          <w:rFonts w:ascii="Times New Roman;sans-serif" w:hAnsi="Times New Roman;sans-serif"/>
          <w:b w:val="false"/>
          <w:color w:val="333333"/>
          <w:sz w:val="20"/>
        </w:rPr>
        <w:t>Founded in 1982 and headquartered in Coppell, Texas, Dave &amp; Buster's Entertainment, Inc., is the owner and operator of 236 venues in North America that offer premier entertainment and dining experiences to guests through two distinct brands: Dave &amp; Buster’s and Main Event. The Company has 175 Dave &amp; Buster’s branded stores in 43 states, Puerto Rico, and Canada and offers guests the opportunity to "Eat Drink Play and Watch," all in one location. Each store offers a full menu of entrées and appetizers, a complete selection of alcoholic and non-alcoholic beverages, and an extensive assortment of entertainment attractions centered around playing games and watching live sports and other televised events. The Company also operates 61 Main Event branded stores in 22 states across the country, and offers state-of-the-art bowling, laser tag, hundreds of arcade games and virtual reality, making it the perfect place for families to connect and make memories. For more information about each brand, visit daveandbusters.com and mainevent.com.</w:t>
      </w:r>
    </w:p>
    <w:p>
      <w:pPr>
        <w:pStyle w:val="TextBody"/>
        <w:bidi w:val="0"/>
        <w:spacing w:lineRule="auto" w:line="288" w:before="120" w:after="283"/>
        <w:jc w:val="both"/>
        <w:rPr>
          <w:rFonts w:ascii="Times New Roman;sans-serif" w:hAnsi="Times New Roman;sans-serif"/>
          <w:b/>
          <w:color w:val="333333"/>
          <w:sz w:val="20"/>
        </w:rPr>
      </w:pPr>
      <w:r>
        <w:rPr>
          <w:rFonts w:ascii="Times New Roman;sans-serif" w:hAnsi="Times New Roman;sans-serif"/>
          <w:b/>
          <w:color w:val="333333"/>
          <w:sz w:val="20"/>
        </w:rPr>
        <w:t>For Investor Relations Inquiries:</w:t>
      </w:r>
    </w:p>
    <w:p>
      <w:pPr>
        <w:pStyle w:val="TextBody"/>
        <w:bidi w:val="0"/>
        <w:spacing w:lineRule="auto" w:line="288" w:before="60" w:after="283"/>
        <w:jc w:val="both"/>
        <w:rPr>
          <w:rFonts w:ascii="Times New Roman;sans-serif" w:hAnsi="Times New Roman;sans-serif"/>
          <w:b w:val="false"/>
          <w:color w:val="333333"/>
          <w:sz w:val="20"/>
        </w:rPr>
      </w:pPr>
      <w:r>
        <w:rPr>
          <w:rFonts w:ascii="Times New Roman;sans-serif" w:hAnsi="Times New Roman;sans-serif"/>
          <w:b w:val="false"/>
          <w:color w:val="333333"/>
          <w:sz w:val="20"/>
        </w:rPr>
        <w:t>Cory Hatton, Head of Entertainment Finance, Investor Relations &amp; Treasurer</w:t>
      </w:r>
    </w:p>
    <w:p>
      <w:pPr>
        <w:pStyle w:val="TextBody"/>
        <w:bidi w:val="0"/>
        <w:spacing w:lineRule="auto" w:line="288" w:before="60" w:after="283"/>
        <w:jc w:val="both"/>
        <w:rPr>
          <w:rFonts w:ascii="Times New Roman;sans-serif" w:hAnsi="Times New Roman;sans-serif"/>
          <w:b w:val="false"/>
          <w:color w:val="333333"/>
          <w:sz w:val="20"/>
        </w:rPr>
      </w:pPr>
      <w:r>
        <w:rPr>
          <w:rFonts w:ascii="Times New Roman;sans-serif" w:hAnsi="Times New Roman;sans-serif"/>
          <w:b w:val="false"/>
          <w:color w:val="333333"/>
          <w:sz w:val="20"/>
        </w:rPr>
        <w:t>Dave &amp; Buster’s Entertainment, Inc.</w:t>
      </w:r>
    </w:p>
    <w:p>
      <w:pPr>
        <w:pStyle w:val="TextBody"/>
        <w:bidi w:val="0"/>
        <w:spacing w:lineRule="auto" w:line="288" w:before="60" w:after="283"/>
        <w:jc w:val="both"/>
        <w:rPr>
          <w:rFonts w:ascii="Times New Roman;sans-serif" w:hAnsi="Times New Roman;sans-serif"/>
          <w:b w:val="false"/>
          <w:color w:val="333333"/>
          <w:sz w:val="20"/>
        </w:rPr>
      </w:pPr>
      <w:r>
        <w:rPr>
          <w:rFonts w:ascii="Times New Roman;sans-serif" w:hAnsi="Times New Roman;sans-serif"/>
          <w:b w:val="false"/>
          <w:color w:val="333333"/>
          <w:sz w:val="20"/>
        </w:rPr>
        <w:t>Cory.Hatton@daveandbusters.com</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1310</Words>
  <Characters>7300</Characters>
  <CharactersWithSpaces>8554</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