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tbl>
      <w:tblPr>
        <w:tblW w:w="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288" w:before="200" w:after="283"/>
        <w:jc w:val="center"/>
        <w:rPr>
          <w:rFonts w:ascii="Times New Roman;serif" w:hAnsi="Times New Roman;serif"/>
          <w:b/>
          <w:color w:val="000000"/>
          <w:sz w:val="36"/>
        </w:rPr>
      </w:pPr>
      <w:r>
        <w:rPr>
          <w:rFonts w:ascii="Times New Roman;serif" w:hAnsi="Times New Roman;serif"/>
          <w:b/>
          <w:color w:val="000000"/>
          <w:sz w:val="36"/>
        </w:rPr>
        <w:t>UNITED STATES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36"/>
        </w:rPr>
      </w:pPr>
      <w:r>
        <w:rPr>
          <w:rFonts w:ascii="Times New Roman;serif" w:hAnsi="Times New Roman;serif"/>
          <w:b/>
          <w:color w:val="000000"/>
          <w:sz w:val="36"/>
        </w:rPr>
        <w:t>SECURITIES AND EXCHANGE COMMISSION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>Washington, D.C. 20549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___________________________</w:t>
      </w:r>
    </w:p>
    <w:p>
      <w:pPr>
        <w:pStyle w:val="TextBody"/>
        <w:bidi w:val="0"/>
        <w:spacing w:lineRule="auto" w:line="288" w:before="200" w:after="283"/>
        <w:jc w:val="center"/>
        <w:rPr>
          <w:rFonts w:ascii="Times New Roman;serif" w:hAnsi="Times New Roman;serif"/>
          <w:b/>
          <w:color w:val="000000"/>
          <w:sz w:val="36"/>
        </w:rPr>
      </w:pPr>
      <w:r>
        <w:rPr>
          <w:rFonts w:ascii="Times New Roman;serif" w:hAnsi="Times New Roman;serif"/>
          <w:b/>
          <w:color w:val="000000"/>
          <w:sz w:val="36"/>
        </w:rPr>
        <w:t xml:space="preserve">SCHEDULE 14A 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>Proxy Statement Pursuant to Section 14(a) of the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>Securities Exchange Act of 1934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___________________________</w:t>
      </w:r>
    </w:p>
    <w:p>
      <w:pPr>
        <w:pStyle w:val="TextBody"/>
        <w:bidi w:val="0"/>
        <w:spacing w:lineRule="auto" w:line="288" w:before="200" w:after="283"/>
        <w:jc w:val="left"/>
        <w:rPr/>
      </w:pPr>
      <w:r>
        <w:rPr>
          <w:rFonts w:ascii="Times New Roman;serif" w:hAnsi="Times New Roman;serif"/>
          <w:b w:val="false"/>
          <w:color w:val="000000"/>
          <w:sz w:val="20"/>
        </w:rPr>
        <w:t xml:space="preserve">Filed by the Registrant </w:t>
      </w:r>
      <w:r>
        <w:rPr>
          <w:rFonts w:ascii="Wingdings;sans-serif" w:hAnsi="Wingdings;sans-serif"/>
          <w:b w:val="false"/>
          <w:color w:val="000000"/>
          <w:sz w:val="20"/>
        </w:rPr>
        <w:t>x</w:t>
      </w:r>
    </w:p>
    <w:p>
      <w:pPr>
        <w:pStyle w:val="TextBody"/>
        <w:bidi w:val="0"/>
        <w:spacing w:lineRule="auto" w:line="288" w:before="200" w:after="283"/>
        <w:jc w:val="left"/>
        <w:rPr/>
      </w:pPr>
      <w:r>
        <w:rPr>
          <w:rFonts w:ascii="Times New Roman;serif" w:hAnsi="Times New Roman;serif"/>
          <w:b w:val="false"/>
          <w:color w:val="000000"/>
          <w:sz w:val="20"/>
        </w:rPr>
        <w:t xml:space="preserve">Filed by a party other than the Registrant </w:t>
      </w:r>
      <w:r>
        <w:rPr>
          <w:rFonts w:ascii="Wingdings;sans-serif" w:hAnsi="Wingdings;sans-serif"/>
          <w:b w:val="false"/>
          <w:color w:val="000000"/>
          <w:sz w:val="20"/>
        </w:rPr>
        <w:t>o</w:t>
      </w:r>
    </w:p>
    <w:p>
      <w:pPr>
        <w:pStyle w:val="TextBody"/>
        <w:bidi w:val="0"/>
        <w:spacing w:lineRule="auto" w:line="288" w:before="360" w:after="283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Check the appropriate box:</w:t>
      </w:r>
    </w:p>
    <w:tbl>
      <w:tblPr>
        <w:tblW w:w="716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999"/>
        <w:gridCol w:w="1999"/>
        <w:gridCol w:w="2826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3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3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3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3" w:before="0" w:after="283"/>
              <w:jc w:val="left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3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3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3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x</w:t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3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3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3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Soliciting Material Under Rule 14a-12</w:t>
            </w:r>
          </w:p>
        </w:tc>
      </w:tr>
    </w:tbl>
    <w:p>
      <w:pPr>
        <w:pStyle w:val="TextBody"/>
        <w:bidi w:val="0"/>
        <w:spacing w:lineRule="auto" w:line="288" w:before="200" w:after="283"/>
        <w:jc w:val="center"/>
        <w:rPr>
          <w:rFonts w:ascii="Times New Roman;serif" w:hAnsi="Times New Roman;serif"/>
          <w:b/>
          <w:color w:val="000000"/>
          <w:sz w:val="44"/>
        </w:rPr>
      </w:pPr>
      <w:r>
        <w:rPr>
          <w:rFonts w:ascii="Times New Roman;serif" w:hAnsi="Times New Roman;serif"/>
          <w:b/>
          <w:color w:val="000000"/>
          <w:sz w:val="44"/>
        </w:rPr>
        <w:t>DAVE &amp; BUSTER’S ENTERTAINMENT, INC.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(Name of Registrant as Specified In Its Charter)</w:t>
      </w:r>
    </w:p>
    <w:p>
      <w:pPr>
        <w:pStyle w:val="TextBody"/>
        <w:bidi w:val="0"/>
        <w:spacing w:lineRule="auto" w:line="288" w:before="200" w:after="283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(Name of Person(s) Filing Proxy Statement, if other than the Registrant)</w:t>
      </w:r>
    </w:p>
    <w:p>
      <w:pPr>
        <w:pStyle w:val="TextBody"/>
        <w:bidi w:val="0"/>
        <w:spacing w:lineRule="auto" w:line="288" w:before="200" w:after="283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Payment of Filing Fee (Check the appropriate box):</w:t>
      </w:r>
    </w:p>
    <w:tbl>
      <w:tblPr>
        <w:tblW w:w="875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2462"/>
        <w:gridCol w:w="2462"/>
        <w:gridCol w:w="3491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3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x</w:t>
            </w:r>
          </w:p>
        </w:tc>
        <w:tc>
          <w:tcPr>
            <w:tcW w:w="841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3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No fee required.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3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841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3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Fee paid previously with preliminary materials.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3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841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3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Fee computed on table in exhibit required by Item 25(b) per Exchange Act Rules 14a-6(i)(1) and 0-11.</w:t>
            </w:r>
          </w:p>
        </w:tc>
      </w:tr>
    </w:tbl>
    <w:tbl>
      <w:tblPr>
        <w:tblW w:w="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20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200" w:after="283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200" w:after="283"/>
        <w:jc w:val="left"/>
        <w:rPr/>
      </w:pPr>
      <w:r>
        <w:rPr/>
        <w:drawing>
          <wp:inline distT="0" distB="0" distL="0" distR="0">
            <wp:extent cx="5943600" cy="7591425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59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200" w:after="283"/>
        <w:jc w:val="left"/>
        <w:rPr/>
      </w:pPr>
      <w:r>
        <w:rPr/>
        <w:drawing>
          <wp:inline distT="0" distB="0" distL="0" distR="0">
            <wp:extent cx="5753100" cy="2124075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  <w:font w:name="Wingdings">
    <w:altName w:val="sans-serif"/>
    <w:charset w:val="02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136</Words>
  <Characters>780</Characters>
  <CharactersWithSpaces>886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