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pPr>
      <w:r>
        <w:rPr>
          <w:rFonts w:ascii="Times New Roman;serif" w:hAnsi="Times New Roman;serif"/>
          <w:b/>
          <w:color w:val="000000"/>
          <w:sz w:val="20"/>
        </w:rPr>
        <w:t>Current Report</w:t>
      </w:r>
      <w:r>
        <w:rPr>
          <w:color w:val="000000"/>
        </w:rPr>
        <w:t xml:space="preserve"> </w:t>
      </w: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DAVE &amp; BUSTER’S ENTERTAINMENT,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466"/>
        <w:gridCol w:w="410"/>
        <w:gridCol w:w="414"/>
        <w:gridCol w:w="528"/>
        <w:gridCol w:w="528"/>
        <w:gridCol w:w="533"/>
        <w:gridCol w:w="586"/>
        <w:gridCol w:w="586"/>
        <w:gridCol w:w="83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001-35664</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35-2382255</w:t>
            </w:r>
          </w:p>
        </w:tc>
      </w:tr>
      <w:tr>
        <w:trPr/>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Number)</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tbl>
      <w:tblPr>
        <w:tblW w:w="3344" w:type="dxa"/>
        <w:jc w:val="left"/>
        <w:tblInd w:w="0" w:type="dxa"/>
        <w:tblLayout w:type="fixed"/>
        <w:tblCellMar>
          <w:top w:w="28" w:type="dxa"/>
          <w:left w:w="28" w:type="dxa"/>
          <w:bottom w:w="28" w:type="dxa"/>
          <w:right w:w="28" w:type="dxa"/>
        </w:tblCellMar>
      </w:tblPr>
      <w:tblGrid>
        <w:gridCol w:w="1071"/>
        <w:gridCol w:w="941"/>
        <w:gridCol w:w="1332"/>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1221 S. Belt Line Rd., Suite 500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Coppell, Texas 75019</w:t>
            </w:r>
          </w:p>
        </w:tc>
      </w:tr>
      <w:tr>
        <w:trPr/>
        <w:tc>
          <w:tcPr>
            <w:tcW w:w="33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bl>
    <w:p>
      <w:pPr>
        <w:pStyle w:val="TextBody"/>
        <w:bidi w:val="0"/>
        <w:spacing w:lineRule="auto" w:line="288" w:before="240" w:after="283"/>
        <w:jc w:val="left"/>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357-9588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reporting obligation of the registrant under any of the following provisions:</w:t>
      </w:r>
    </w:p>
    <w:tbl>
      <w:tblPr>
        <w:tblW w:w="6855" w:type="dxa"/>
        <w:jc w:val="left"/>
        <w:tblInd w:w="0" w:type="dxa"/>
        <w:tblLayout w:type="fixed"/>
        <w:tblCellMar>
          <w:top w:w="28" w:type="dxa"/>
          <w:left w:w="28" w:type="dxa"/>
          <w:bottom w:w="28" w:type="dxa"/>
          <w:right w:w="28" w:type="dxa"/>
        </w:tblCellMar>
      </w:tblPr>
      <w:tblGrid>
        <w:gridCol w:w="141"/>
        <w:gridCol w:w="124"/>
        <w:gridCol w:w="126"/>
        <w:gridCol w:w="1890"/>
        <w:gridCol w:w="1890"/>
        <w:gridCol w:w="268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of the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Exchange Act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62" w:type="dxa"/>
        <w:jc w:val="left"/>
        <w:tblInd w:w="0" w:type="dxa"/>
        <w:tblLayout w:type="fixed"/>
        <w:tblCellMar>
          <w:top w:w="28" w:type="dxa"/>
          <w:left w:w="28" w:type="dxa"/>
          <w:bottom w:w="28" w:type="dxa"/>
          <w:right w:w="28" w:type="dxa"/>
        </w:tblCellMar>
      </w:tblPr>
      <w:tblGrid>
        <w:gridCol w:w="972"/>
        <w:gridCol w:w="851"/>
        <w:gridCol w:w="861"/>
        <w:gridCol w:w="109"/>
        <w:gridCol w:w="109"/>
        <w:gridCol w:w="109"/>
        <w:gridCol w:w="539"/>
        <w:gridCol w:w="539"/>
        <w:gridCol w:w="541"/>
        <w:gridCol w:w="109"/>
        <w:gridCol w:w="109"/>
        <w:gridCol w:w="109"/>
        <w:gridCol w:w="1085"/>
        <w:gridCol w:w="1085"/>
        <w:gridCol w:w="1535"/>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60" w:after="283"/>
        <w:jc w:val="both"/>
        <w:rPr/>
      </w:pPr>
      <w:r>
        <w:rPr/>
      </w:r>
    </w:p>
    <w:p>
      <w:pPr>
        <w:pStyle w:val="TextBody"/>
        <w:bidi w:val="0"/>
        <w:spacing w:lineRule="auto" w:line="268" w:before="6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Transition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Tarun Lal informed the Board of Directors of the Company (the “Board”) of his decision to retire as Chief Executive Officer of the Company, effective August 3, 2026 (the “CEO Transition Date”) in order to spend more time with his family in India. Effective as of the CEO Transition Date, the Board appointed Darin Harper, the Company’s Chief Financial Officer, to succeed Mr. Lal as Chief Executive Officer and as a member of the Board. Mr. Lal will work closely with Mr. Harper on the transition and continue to serve as an advisor to the Company through January 31, 2028 or such earlier date as Mr. Lal and the Company may determine (such period, the “Consulting Period”).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Harper, age 52, joined Dave &amp; Buster’s as Chief Financial Officer in June 2024 with nearly 30 years of finance experience in both the public and private sectors working in multi-unit consumer, retail, and entertainment brands. Most recently, he was CFO of World Choice Investments, LLC, a leading operator of family entertainment attractions. Mr. Harper was previously EVP, Chief Financial Officer for Main Event Entertainment, Inc. from March 2017 through its acquisition by Dave &amp; Buster's in June 2022. Contemporaneously with this role, he also served as Group CFO for Main Event's parent company, Ardent Leisure (ASX: CEH), based in Sydney, Australia, from June 2018 through June 2022. Prior to Main Event, he was a senior financial executive at other consumer businesses after beginning his career with PricewaterhouseCoopers.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transactions between the Company and Mr. Harper that would require disclosure under Item 404(a) of Regulation S-K. There are no family relationships between Mr. Harper and any director, executive officer or person nominated or chosen by the Company to become a director or executive officer of the Company within the meaning of Item 401(d) of Regulation S-K. Further, there is no arrangement or understanding between Mr. Harper and any other persons pursuant to which Mr. Harper was selected as an officer and director.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Employment Agreement with Mr. Harper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the Company and Mr. Harper have entered into an employment agreement (the “Harper Employment Agreement”) providing the following compensation terms: (i) an annualized base salary of $650,000 per year, (ii) an annual cash bonus with a target bonus of 100% of his annual salary (prorated for fiscal year 2026), (iii) eligibility to participate in the Dave &amp; Buster’s Entertainment, Inc. 2025 Omnibus Incentive Plan (“LTIP”) with a target award equal to 115% of his base salary, and (iv) eligibility to participate in the Company’s employee benefit plans as in effect from time-to-time on the same basis as generally made available to other senior executives of the Company. Additionally, upon a termination for reasons other than a termination by Mr. Harper without “good reason” or by the Company for “cause” (as these terms are defined in the Harper Employment Agreement), subject to the execution of a release of claims and continued compliance with the restrictive covenants contained in the Harper Employment Agreement, Mr. Harper is entitled to (i) continued payment of his annual base salary for 24 months, (ii) any unpaid bonus for a completed calendar year based on actual performance, (iii) a pro-rata bonus for the year of termination based on actual performance and (iv) continued payment of medical premiums for 12 months.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Mr. Harper has also agreed to a non-competition and non-solicitation covenant that extends for up to two years following termination of employment.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does not purport to be complete and is qualified in its entirety by reference to the full text of the Harper Employment Agreement, a copy of which will be filed with the Company’s next Quarterly Report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Offer Letter with Mr. Harper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the Company and Mr. Harper have also entered into an offer letter (the “Harper Offer Letter”). The Harper Offer Letter provides for the same economic terms as the Harper Employment Agreement and also provides that the Company will award Mr. Harper a one-time equity grant with a total value of $6,500,000 within the first 30 days of his appointment (the date the grants are awarded hereafter referred to as the “Harper Grant Date”) in the form of three Dave &amp; Buster’s equity awards: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    a stock option grant with respect to shares valued at $2,250,000 (the precise number of options to be granted will be calculated by dividing $2,250,000 by the Grant Price on the Grant Date), with an exercise price equal to the Grant Date closing price (the “Grant Price”), which stock options will become earned in full on the first date occurring when the 60-day trailing VWAP of the Company’s stock is equal to or greater than the Grant Price multiplied by 2 (stock options that become earned, the "2X Earned Options"). This achievement must occur within three years of the Harper Grant Date. Thereafter, 100% of the 2X Earned Options will vest ratably over three years; </w:t>
      </w:r>
    </w:p>
    <w:p>
      <w:pPr>
        <w:pStyle w:val="TextBody"/>
        <w:bidi w:val="0"/>
        <w:spacing w:before="0" w:after="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    a time-based restricted stock unit grant with respect to shares valued at $2,000,000 (based on the Grant Price), vesting ratably in equal annual installments over three years; and</w:t>
      </w:r>
    </w:p>
    <w:p>
      <w:pPr>
        <w:pStyle w:val="TextBody"/>
        <w:bidi w:val="0"/>
        <w:spacing w:before="0" w:after="0"/>
        <w:ind w:left="0" w:right="0" w:hanging="54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(iii)    a performance stock unit award with a grant-date value of $2,250,000, based on the Grant Price. The award will be divided into three equal tranches, with each tranche eligible to vest independently based on the Company achieving Same Store Sales (“SSS”) growth of at least 2% during the applicable performance period: (a) one-third based on SSS growth during the second half of fiscal year 2026 (the third and fourth fiscal quarters), (b) one-third based on SSS growth during fiscal year 2027 and (c) one-third based on SSS growth during fiscal year 2028. Achievement for each performance period will be measured independently.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each case, the grants are subject to Mr. Harper’s continued employment through the applicable vesting date and to the terms and conditions set forth in the applicable equity plan and award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does not purport to be complete and is qualified in its entirety by reference to the full text of the Harper Offer Letter, a copy of which will be filed with the Company’s next Quarterly Report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Separation and Consulting Agreement with Mr. Lal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retirement, the Company and Mr. Lal have entered into a separation and consulting agreement (the “Lal Separation and Consulting Agreement”). Pursuant to the Lal Separation and Consulting Agreement, Mr. Lal will receive (i) a consulting fee of $85,833.33 per month during the Consulting Period for providing such transition services as reasonably requested by Mr. Harper and the Board, and (ii) a lump sum payment of $6,000 to cover anticipated out-of-pocket medical expenses Mr. Lal will incur in connection with his annual checkup.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subject to Mr. Lal’s execution and non-revocation of a release of claims and compliance with his continuing obligations (including restrictive covenants), the Lal Separation and Consulting Agreement provides that Mr. Lal will receive a pro-rata portion of his annual bonus, if any, earned based on actual performance by Mr. Lal for fiscal year 2026. Under the Lal Separation and Consulting Agreement, Mr. Lal will also receive pro-rata accelerated vesting of his unvested stock options granted under Section 5(i)(i) of his employment agreement with the Company.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does not purport to be complete and is qualified in its entirety by reference to the full text of the Lal Separation and Consulting Agreement, a copy of which will be filed with the Company’s next Quarterly Report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Interim Chief Financial Officer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announced that effective as of August 3, 2026, Cory Hatton, age 38, the Company’s Head of Entertainment Finance, Investor Relations &amp; Treasurer, will serve as interim Chief Financial Officer while the Company conducts a search for its next Chief Financial Officer.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Hatton joined Dave &amp; Buster’s as Vice President, Investor Relations &amp; Treasurer in October of 2022 and was promoted to the role of Head of Entertainment Finance, Investor Relations &amp; Treasurer in March of 2025. Prior to Dave &amp; Buster’s, his career background includes finance and operational roles of increasing responsibility at Standard Chartered Bank, Mellon Capital Management, Pinnacle Entertainment, Scientific Games, and Maverick Gaming. Mr. Hatton received a Bachelor of Arts in Economics from the University of Wisconsin, Madison and is a CFA charter holder.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transactions between the Company and Mr. Hatton that would require disclosure under Item 404(a) of Regulation S-K. There are no family relationships between Mr. Hatton and any director, executive officer or person nominated or chosen by the Company to become a director or executive officer of the Company within the meaning of Item 401(d) of Regulation S-K. Further, there is no arrangement or understanding between Mr. Hatton and any other persons pursuant to which Mr. Hatton was selected as an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Employment Agreement with Mr. Hatton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Mr. Hatton’s employment agreement was amended by letter to include a one-time equity grant with a total value of $1,000,000 within the first 30 days of his appointment (the date the grants are awarded hereafter referred to as the “Hatton Grant Date”) in the form of two of Dave &amp; Buster’s equity awards: </w:t>
      </w:r>
    </w:p>
    <w:p>
      <w:pPr>
        <w:pStyle w:val="TextBody"/>
        <w:bidi w:val="0"/>
        <w:spacing w:before="0" w:after="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    a stock option grant with respect to shares valued at $500,000 (the precise number of options to be granted will be calculated by dividing $500,000 by the Grant Price on the Hatton Grant Date, with an exercise price equal to the August 3, 2026 closing price (Grant Price), which stock options will become earned in full on the first date occurring when the 60-day trailing VWAP the stock is equal to or greater than the Grant Price multiplied by 2 (stock options that become earned, the "2X Earned Options" and the date on which the stock options become earned the "2X Price Achievement Date"). This achievement must occur within three years of the Hatton Grant Date. Thereafter, 50% of the 2X Earned Options will vest on the earlier of either the first anniversary of the Achievement Date or when a permanent CFO is hired and the other 50% will vest ratably over the two years; </w:t>
      </w:r>
    </w:p>
    <w:p>
      <w:pPr>
        <w:pStyle w:val="TextBody"/>
        <w:bidi w:val="0"/>
        <w:spacing w:before="0" w:after="0"/>
        <w:ind w:left="0" w:right="0" w:hanging="540"/>
        <w:jc w:val="both"/>
        <w:rPr/>
      </w:pPr>
      <w:r>
        <w:rPr/>
      </w:r>
    </w:p>
    <w:p>
      <w:pPr>
        <w:pStyle w:val="TextBody"/>
        <w:bidi w:val="0"/>
        <w:spacing w:lineRule="auto" w:line="276"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(ii)    a time-based restricted stock unit grant with respect to shares valued at $500,000 (based on the Grant Price), vesting in two equal installments 50% will vest on the earlier of either the first anniversary of the Hatton Grant Date or when a permanent CFO is hired the other 50% will vest on the second anniversary of the Hatton Grant Date.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each case, the grants are subject to Mr. Hatton’s continued employment through the applicable vesting date and to the terms and conditions set forth in the applicable equity plan and award agreement.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does not purport to be complete and is qualified in its entirety by reference to the full text of the amendment, a copy of which will be filed with the Company’s next Quarterly Report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Lead Independent Director; Appointment of Chair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August 4, 2026, Kevin M. Sheehan, who previously served as Chair of the Board and as a member of the Finance Committee, was appointed to the role of Lead Independent Director, a role which was previously unfilled, and James P. Chambers, who previously served as Vice Chair of the Board and Chair of the Compensation Committee and the Finance Committee, was appointed as Chair of the Board.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720"/>
        <w:jc w:val="both"/>
        <w:rPr/>
      </w:pPr>
      <w:r>
        <w:rPr/>
      </w:r>
    </w:p>
    <w:p>
      <w:pPr>
        <w:pStyle w:val="TextBody"/>
        <w:bidi w:val="0"/>
        <w:spacing w:lineRule="auto" w:line="288" w:before="0" w:after="0"/>
        <w:ind w:left="0" w:right="0" w:hanging="720"/>
        <w:jc w:val="left"/>
        <w:rPr/>
      </w:pPr>
      <w:hyperlink w:anchor="play-2026transition8kxex991.htm">
        <w:r>
          <w:rPr>
            <w:rStyle w:val="InternetLink"/>
            <w:rFonts w:ascii="Times New Roman;serif" w:hAnsi="Times New Roman;serif"/>
            <w:b w:val="false"/>
            <w:color w:val="0000FF"/>
            <w:sz w:val="20"/>
            <w:u w:val="single"/>
          </w:rPr>
          <w:t>99.1</w:t>
        </w:r>
      </w:hyperlink>
      <w:r>
        <w:rPr>
          <w:color w:val="000000"/>
        </w:rPr>
        <w:t>    </w:t>
      </w:r>
      <w:hyperlink w:anchor="play-2026transition8kxex991.htm">
        <w:r>
          <w:rPr>
            <w:rStyle w:val="InternetLink"/>
          </w:rPr>
          <w:t xml:space="preserve">Press release </w:t>
        </w:r>
      </w:hyperlink>
      <w:hyperlink w:anchor="play-2026transition8kxex991.htm">
        <w:r>
          <w:rPr>
            <w:rStyle w:val="InternetLink"/>
          </w:rPr>
          <w:t xml:space="preserve">announcing the </w:t>
        </w:r>
      </w:hyperlink>
      <w:hyperlink w:anchor="play-2026transition8kxex991.htm">
        <w:r>
          <w:rPr>
            <w:rStyle w:val="InternetLink"/>
          </w:rPr>
          <w:t>appo</w:t>
        </w:r>
      </w:hyperlink>
      <w:hyperlink w:anchor="play-2026transition8kxex991.htm">
        <w:r>
          <w:rPr>
            <w:rStyle w:val="InternetLink"/>
          </w:rPr>
          <w:t>intment</w:t>
        </w:r>
      </w:hyperlink>
      <w:hyperlink w:anchor="play-2026transition8kxex991.htm">
        <w:r>
          <w:rPr>
            <w:rStyle w:val="InternetLink"/>
          </w:rPr>
          <w:t xml:space="preserve"> of Dar</w:t>
        </w:r>
      </w:hyperlink>
      <w:hyperlink w:anchor="play-2026transition8kxex991.htm">
        <w:r>
          <w:rPr>
            <w:rStyle w:val="InternetLink"/>
          </w:rPr>
          <w:t xml:space="preserve">in Harper as </w:t>
        </w:r>
      </w:hyperlink>
      <w:hyperlink w:anchor="play-2026transition8kxex991.htm">
        <w:r>
          <w:rPr>
            <w:rStyle w:val="InternetLink"/>
          </w:rPr>
          <w:t>C</w:t>
        </w:r>
      </w:hyperlink>
      <w:hyperlink w:anchor="play-2026transition8kxex991.htm">
        <w:r>
          <w:rPr>
            <w:rStyle w:val="InternetLink"/>
          </w:rPr>
          <w:t>h</w:t>
        </w:r>
      </w:hyperlink>
      <w:hyperlink w:anchor="play-2026transition8kxex991.htm">
        <w:r>
          <w:rPr>
            <w:rStyle w:val="InternetLink"/>
          </w:rPr>
          <w:t>ie</w:t>
        </w:r>
      </w:hyperlink>
      <w:hyperlink w:anchor="play-2026transition8kxex991.htm">
        <w:r>
          <w:rPr>
            <w:rStyle w:val="InternetLink"/>
          </w:rPr>
          <w:t>f Executive Officer</w:t>
        </w:r>
      </w:hyperlink>
      <w:hyperlink w:anchor="play-2026transition8kxex991.htm">
        <w:r>
          <w:rPr>
            <w:rStyle w:val="InternetLink"/>
          </w:rPr>
          <w:t>, Issued</w:t>
        </w:r>
      </w:hyperlink>
      <w:hyperlink w:anchor="play-2026transition8kxex991.htm">
        <w:r>
          <w:rPr>
            <w:rStyle w:val="InternetLink"/>
          </w:rPr>
          <w:t xml:space="preserve"> by Dave and Buster</w:t>
        </w:r>
      </w:hyperlink>
      <w:hyperlink w:anchor="play-2026transition8kxex991.htm">
        <w:r>
          <w:rPr>
            <w:rStyle w:val="InternetLink"/>
          </w:rPr>
          <w:t>’</w:t>
        </w:r>
      </w:hyperlink>
      <w:hyperlink w:anchor="play-2026transition8kxex991.htm">
        <w:r>
          <w:rPr>
            <w:rStyle w:val="InternetLink"/>
          </w:rPr>
          <w:t xml:space="preserve">s </w:t>
        </w:r>
      </w:hyperlink>
      <w:hyperlink w:anchor="play-2026transition8kxex991.htm">
        <w:r>
          <w:rPr>
            <w:rStyle w:val="InternetLink"/>
          </w:rPr>
          <w:t>E</w:t>
        </w:r>
      </w:hyperlink>
      <w:hyperlink w:anchor="play-2026transition8kxex991.htm">
        <w:r>
          <w:rPr>
            <w:rStyle w:val="InternetLink"/>
          </w:rPr>
          <w:t>nter</w:t>
        </w:r>
      </w:hyperlink>
      <w:hyperlink w:anchor="play-2026transition8kxex991.htm">
        <w:r>
          <w:rPr>
            <w:rStyle w:val="InternetLink"/>
          </w:rPr>
          <w:t xml:space="preserve">tainment, </w:t>
        </w:r>
      </w:hyperlink>
      <w:hyperlink w:anchor="play-2026transition8kxex991.htm">
        <w:r>
          <w:rPr>
            <w:rStyle w:val="InternetLink"/>
          </w:rPr>
          <w:t>Inc</w:t>
        </w:r>
      </w:hyperlink>
      <w:hyperlink w:anchor="play-2026transition8kxex991.htm">
        <w:r>
          <w:rPr>
            <w:rStyle w:val="InternetLink"/>
          </w:rPr>
          <w:t xml:space="preserve"> </w:t>
        </w:r>
      </w:hyperlink>
      <w:hyperlink w:anchor="play-2026transition8kxex991.htm">
        <w:r>
          <w:rPr>
            <w:rStyle w:val="InternetLink"/>
          </w:rPr>
          <w:t xml:space="preserve">on </w:t>
        </w:r>
      </w:hyperlink>
      <w:hyperlink w:anchor="play-2026transition8kxex991.htm">
        <w:r>
          <w:rPr>
            <w:rStyle w:val="InternetLink"/>
          </w:rPr>
          <w:t>August 4, 2026</w:t>
        </w:r>
      </w:hyperlink>
      <w:hyperlink w:anchor="play-2026transition8kxex991.htm">
        <w:r>
          <w:rPr>
            <w:rStyle w:val="InternetLink"/>
          </w:rPr>
          <w:t>.</w:t>
        </w:r>
      </w:hyperlink>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(the Cover Page Interactive Data File is embedded within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15" w:type="dxa"/>
        <w:jc w:val="left"/>
        <w:tblInd w:w="0" w:type="dxa"/>
        <w:tblLayout w:type="fixed"/>
        <w:tblCellMar>
          <w:top w:w="28" w:type="dxa"/>
          <w:left w:w="28" w:type="dxa"/>
          <w:bottom w:w="28" w:type="dxa"/>
          <w:right w:w="28" w:type="dxa"/>
        </w:tblCellMar>
      </w:tblPr>
      <w:tblGrid>
        <w:gridCol w:w="667"/>
        <w:gridCol w:w="587"/>
        <w:gridCol w:w="590"/>
        <w:gridCol w:w="618"/>
        <w:gridCol w:w="618"/>
        <w:gridCol w:w="618"/>
        <w:gridCol w:w="618"/>
        <w:gridCol w:w="618"/>
        <w:gridCol w:w="88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DAVE &amp; BUSTER’S ENTERTAINMENT,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Rachel Morgan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Rachel Morgan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ind w:left="0" w:right="0" w:firstLine="180"/>
        <w:jc w:val="left"/>
        <w:rPr/>
      </w:pPr>
      <w:r>
        <w:rPr/>
        <w:drawing>
          <wp:inline distT="0" distB="0" distL="0" distR="0">
            <wp:extent cx="1333500" cy="10287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333500" cy="1028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Dave &amp; Buster’s Announces Chief Executive Officer Transition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Tarun Lal to Retire; Chief Financial Officer Darin Harper Appointed Chief Executive Officer</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DALLAS, August 4, 2026 (GLOBE NEWSWIRE) -- Dave &amp; Buster's Entertainment, Inc. (NASDAQ: PLAY) (“Dave &amp; Buster's” or “the Company”), an owner, operator, and franchisor of entertainment and dining venues, announced that Tarun Lal informed the Board of Directors of his decision to retire as Chief Executive Officer, effective August 3, 2026, in order to spend more time with his family. The Board of Directors has appointed Darin Harper, the Company’s Chief Financial Officer, to succeed Mr. Lal as Chief Executive Officer, effective the same date. Mr. Lal will work closely with Mr. Harper on the transition and continue to serve as an advisor to the Company through at least the end of fiscal year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Harper has served as Chief Financial Officer of Dave &amp; Buster’s since June 2024 and has nearly 30 years of relevant experience at various entertainment and restaurant companies. He has worked side by side with Mr. Lal in the design and execution of every element of the Company’s Back to Basics plan. The Board’s appointment of Mr. Harper reflects its confidence in Mr. Harper and the strength of the Company’s existing leadership team and its strong conviction in the Company’s strategy, execution, and culture. </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Leading Dave &amp; Buster’s has been one of the great privileges of my career,” said Tarun Lal, Chief Executive Officer. “Recently, I have found myself needing to spend more time in India with my family. I have made the difficult personal decision to retire and transition full-time leadership to Darin, in whom I have great confidence. I plan to remain involved with the business and have complete confidence in where this business is headed. Our Back-to-Basics plan is gaining meaningful traction across marketing, food and beverage, operations, games, and remodels, and the team executing it is extremely high quality and capable. In addition to being a close partner since the day I arrived, Darin is among the most experienced executives in the industry. He knows every element of our strategy, he knows these iconic brands, and he has the full confidence of the Board, our leadership team, and me. Dave &amp; Buster’s has the right strategy, the right team, and the right momentum, and I am certain its best days are ahead.”</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On behalf of the entire Board, I want to thank Tarun for his outstanding leadership and wish him and his family all the best,” said Kevin Sheehan, Chairman of the Board. “In his time as CEO, Tarun brought discipline, energy, and a relentless focus on the guest back to this business, and the Back-to-Basics plan has put the Company firmly on the right path. Darin is the clear choice to lead Dave &amp; Buster's going forward and has the full support of the Board. He is an exceptional leader who understands every aspect of this business, is deeply respected throughout the organization, and has been instrumental in developing and executing the strategy that is now delivering results. We are highly confident that under Darin's leadership, the Company will continue to build on its momentum, grow the business, and create substantial value for our shareholders.”</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 xml:space="preserve">Tarun has played a key role in advancing the Company's strategic priorities and positioning Dave &amp; Buster's for the future,” said Darin Harper, Chief Financial Officer and incoming Chief Executive Officer. “His leadership helped strengthen the organization, enhance execution across the business, and establish a solid platform for continued value creation. I look forward to working closely with Tarun during the transition and beyond, and on behalf of our entire team, I want to thank him for his partnership, leadership, and many contributions to Dave &amp; Buster's. I am honored by the Board's confidence and excited for the opportunity ahead. I have complete confidence in our Back-to-Basics strategy, which is showing clear momentum. I further believe there is significant opportunity to build on the momentum already underway as we continue executing our same-store sales growth initiatives. We are laser focused on growing same store sales and EBITDA and generating significant free cash flow. This leadership team is fully energized to capture the clear and significant opportunities in front of us and drive meaningful improvement in operating performance and shareholder value.” </w:t>
      </w:r>
    </w:p>
    <w:p>
      <w:pPr>
        <w:pStyle w:val="TextBody"/>
        <w:bidi w:val="0"/>
        <w:spacing w:before="120"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Cory Hatton, the Company’s Head of Entertainment Finance, Investor Relations &amp; Treasurer, will serve as interim Chief Financial Officer while the Company conducts a search for its next Chief Financial Officer.</w:t>
      </w:r>
    </w:p>
    <w:p>
      <w:pPr>
        <w:pStyle w:val="TextBody"/>
        <w:bidi w:val="0"/>
        <w:spacing w:lineRule="auto" w:line="264" w:before="120" w:after="283"/>
        <w:jc w:val="both"/>
        <w:rPr>
          <w:rFonts w:ascii="Times New Roman;serif" w:hAnsi="Times New Roman;serif"/>
          <w:b/>
          <w:color w:val="000000"/>
          <w:sz w:val="20"/>
        </w:rPr>
      </w:pPr>
      <w:r>
        <w:rPr>
          <w:rFonts w:ascii="Times New Roman;serif" w:hAnsi="Times New Roman;serif"/>
          <w:b/>
          <w:color w:val="000000"/>
          <w:sz w:val="20"/>
        </w:rPr>
        <w:t>About Darin Harper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Darin Harper joined Dave &amp; Buster’s as Chief Financial Officer in June 2024 with nearly 30 years of finance experience in both the public and private sectors working in multi-unit consumer, retail, and entertainment brands. Most recently, he was CFO of World Choice Investments, LLC, a leading operator of family entertainment attractions. Darin was previously EVP, Chief Financial Officer for Main Event Entertainment, Inc. from March 2017 through its acquisition by Dave &amp; Buster's in June 2022. Contemporaneously with this role, he also served as Group CFO for Main Event's parent company, Ardent Leisure (ASX: CEH), based in Sydney, Australia, from June 2018 through June 2022. Prior to Main Event, he was a senior financial executive at other consumer businesses after beginning his career with PricewaterhouseCoopers.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About Dave &amp; Buster’s Entertainment,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Founded in 1982 and headquartered in Coppell, Texas, Dave &amp; Buster's Entertainment, Inc. is the owner and operator of 250 stores in North America that offer premier entertainment and dining experiences to guests through two distinct brands: Dave &amp; Buster’s and Main Event. The Company has 184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66 Main Event branded stores in 24 states across the country, and offers state-of-the-art bowling, laser tag, hundreds of arcade games and virtual reality, making it the perfect place for families to connect and make memories. Internationally, the Company is in early-stage growth as a franchisor of its brands with six Dave &amp; Buster’s franchise stores currently open. For more information about each brand, visit daveandbusters.com and mainevent.com.</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 Investor Relations Inquiries: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Investor@daveandbusters.com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3397</Words>
  <Characters>17823</Characters>
  <CharactersWithSpaces>21174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