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139700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DAVE &amp; BUSTER’S ENTERTAINMENT,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78"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001-35664</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7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35-2382255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Identification Number)</w:t>
      </w:r>
    </w:p>
    <w:p>
      <w:pPr>
        <w:spacing w:after="0" w:line="222" w:lineRule="exact"/>
        <w:rPr>
          <w:sz w:val="24"/>
          <w:szCs w:val="24"/>
          <w:color w:val="auto"/>
        </w:rPr>
      </w:pPr>
    </w:p>
    <w:p>
      <w:pPr>
        <w:sectPr>
          <w:pgSz w:w="11900" w:h="16838" w:orient="portrait"/>
          <w:cols w:equalWidth="0" w:num="3">
            <w:col w:w="4440" w:space="720"/>
            <w:col w:w="2740" w:space="720"/>
            <w:col w:w="2620"/>
          </w:cols>
          <w:pgMar w:left="320" w:top="778" w:right="339" w:bottom="1440" w:gutter="0" w:footer="0" w:header="0"/>
          <w:type w:val="continuous"/>
        </w:sectPr>
      </w:pPr>
    </w:p>
    <w:p>
      <w:pPr>
        <w:spacing w:after="0" w:line="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2481 Manana Drive</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Dallas, Texas</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75220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778"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357-9588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80" w:hanging="448"/>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80" w:hanging="448"/>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80" w:hanging="448"/>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80" w:hanging="448"/>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16"/>
                <w:szCs w:val="16"/>
                <w:color w:val="auto"/>
              </w:rPr>
            </w:pPr>
          </w:p>
        </w:tc>
        <w:tc>
          <w:tcPr>
            <w:tcW w:w="2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PLAY</w:t>
            </w:r>
          </w:p>
        </w:tc>
        <w:tc>
          <w:tcPr>
            <w:tcW w:w="2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NASDAQ Stock Market LLC</w:t>
            </w:r>
          </w:p>
        </w:tc>
      </w:tr>
      <w:tr>
        <w:trPr>
          <w:trHeight w:val="230"/>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Preferred Stock Purchase Rights</w:t>
            </w:r>
          </w:p>
        </w:tc>
        <w:tc>
          <w:tcPr>
            <w:tcW w:w="25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PLAY</w:t>
            </w:r>
          </w:p>
        </w:tc>
        <w:tc>
          <w:tcPr>
            <w:tcW w:w="3700" w:type="dxa"/>
            <w:vAlign w:val="bottom"/>
          </w:tcPr>
          <w:p>
            <w:pPr>
              <w:jc w:val="center"/>
              <w:spacing w:after="0"/>
              <w:rPr>
                <w:sz w:val="20"/>
                <w:szCs w:val="20"/>
                <w:color w:val="auto"/>
              </w:rPr>
            </w:pPr>
            <w:r>
              <w:rPr>
                <w:rFonts w:ascii="Arial" w:cs="Arial" w:eastAsia="Arial" w:hAnsi="Arial"/>
                <w:sz w:val="18"/>
                <w:szCs w:val="18"/>
                <w:color w:val="auto"/>
                <w:w w:val="95"/>
              </w:rPr>
              <w:t>NASDAQ Stock Market LLC</w:t>
            </w:r>
          </w:p>
        </w:tc>
      </w:tr>
      <w:tr>
        <w:trPr>
          <w:trHeight w:val="216"/>
        </w:trPr>
        <w:tc>
          <w:tcPr>
            <w:tcW w:w="4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8"/>
        </w:trPr>
        <w:tc>
          <w:tcPr>
            <w:tcW w:w="4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675"/>
        </w:trPr>
        <w:tc>
          <w:tcPr>
            <w:tcW w:w="4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Sale Agreement</w:t>
      </w:r>
      <w:r>
        <w:rPr>
          <w:rFonts w:ascii="Arial" w:cs="Arial" w:eastAsia="Arial" w:hAnsi="Arial"/>
          <w:sz w:val="29"/>
          <w:szCs w:val="29"/>
          <w:i w:val="1"/>
          <w:iCs w:val="1"/>
          <w:color w:val="auto"/>
          <w:vertAlign w:val="superscript"/>
        </w:rPr>
        <w:t>SM</w:t>
      </w:r>
    </w:p>
    <w:p>
      <w:pPr>
        <w:spacing w:after="0" w:line="139"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On April 14, 2020, Dave &amp; Buster’s Entertainment Inc. (the “Company”) entered into an Open Market Sale Agreement</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(the “Agreement”) with Jefferies LLC (“Jefferies”) with respect to an at-the-market offering program under which the Company may offer and sell, from time to time at its sole discretion, shares of its common stock, par value $0.01 per share (the “Common Stock”), having an aggregate offering price of up to $75,000,000 (the “Shares”) through Jefferies as its sales agent.</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not obligated to sell any Shares under the Agreement. Subject to the terms and conditions of the Agreement, Jefferies will use commercially reasonable efforts, consistent with its normal trading and sales practices and applicable laws and regulations, to sell Shares from time to time based upon the Company’s instructions, including any price, time or size limits or other customary parameters or conditions specified by the Company, subject to certain limitations. Under the Agreement, Jefferies may sell the Shares by any method permitted by law deemed to be an “at the market offering” as defined in Rule 415(a)(4) under the Securities Act of 1933, as amended.</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issuance and sale, if any, of the Shares by the Company under the Agreement will be made pursuant to the Company’s effective registration statement on Form S-3 (Registration Statement No. 333-237664) (the “Registration Statement”), filed with the U.S. Securities and Exchange Commission (the “SEC”) on April 14, 2020. The offering is described in the Company’s Prospectus dated April 14, 2020, as supplemented by a Prospectus Supplement dated April 14, 2020, as filed with the SEC on April 14, 2020.</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will pay Jefferies a commission of 3% of the gross proceeds from each sale of Shares sold through Jefferies under the Agreement and will provide Jefferies with customary indemnification and contribution rights. In addition, the Company has agreed to reimburse certain legal expenses and fees by Jefferies in connection with the offering up to a maximum of $50,000, in addition to certain ongoing disbursements of Jefferies’ counsel, if required. The Agreement will terminate upon the sale of all Shares under the Agreement, unless earlier terminated by either party upon ten (10) trading days’ notice to the other party.</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full text of the Agreement, a copy of which is filed as Exhibit 1.1 to this Current Report on Form 8-K and incorporated herein by reference.</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Paul, Weiss, Rifkind, Wharton &amp; Garrison LLP, counsel to the Company, has issued a legal opinion relating to the validity of the Shares being offered pursuant to the Agreement. A copy of such legal opinion, including the consent included therein, is filed as Exhibit 5.1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right="20"/>
        <w:spacing w:after="0" w:line="263"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any Shares under the Agreement nor shall there be any offer, solicitation or sale of such Shares in any state in which such offer, solicitation or sale would be unlawful prior to registration or qualification under the securities laws of any such state.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Credit Agreement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April 14, 2020 (the “Effective Date”), the Company entered into the First Amendment (the “First Amendment”) to its Amended and Restated Credit Agreement, dated as of August 17, 2017, by and among Dave &amp; Buster’s Holdings, Inc., Dave &amp; Buster’s, Inc., the direct and indirect subsidiaries of the Dave &amp; Buster’s Inc. from time to time party thereto, as guarantors, the several financial institutions from time to time party thereto, as lenders, Bank of America, N.A., as administrative agent (the “Administrative Agent”), and Wells Fargo, National Association, as syndication agent (the “Credit Agreement”). The First Amendment contains several amendments to the Credit Agreement, including, among others, that from the Effective Date until the date the Company’s financial statements are required to be delivered for the fiscal quarter ending January 31, 2021 (the “Suspension Period”),</w:t>
      </w:r>
    </w:p>
    <w:p>
      <w:pPr>
        <w:spacing w:after="0" w:line="164" w:lineRule="exact"/>
        <w:rPr>
          <w:sz w:val="20"/>
          <w:szCs w:val="20"/>
          <w:color w:val="auto"/>
        </w:rPr>
      </w:pPr>
    </w:p>
    <w:p>
      <w:pPr>
        <w:ind w:left="980" w:right="6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total leverage ratio and the fixed charge coverage ratio will not be tested, and instead will again be tested first as of the last day of, and for the period of four consecutive fiscal quarters ending on, our fiscal quarter ending January 31, 2021 (at the existing levels of 3.50:1.00 and 1.25:1.00);</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minimum liquidity of $30 million is to be maintained, which is to include unrestricted cash and cash equivalents;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13-week cash flow information is to be reported on a bi-weekly basis, commencing April 17, 2020, including any case tabular presentation for the pertinent periods of projected and actual cash flows and variance between the same;</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purposes of certain elements of the definition of “Material Adverse Effect,” the impact of the COVID-19 Pandemic (as defined) on us will be disregarded;</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statutory and common law landlord liens attributable to the failure to pay rent under store and office leases and up to $25.0 million of expenses in connection with uncompleted new store construction and refurbishment expenses will be disregarded for purposes of determining whether an event of default has occurred; and</w:t>
      </w:r>
    </w:p>
    <w:p>
      <w:pPr>
        <w:spacing w:after="0" w:line="183" w:lineRule="exact"/>
        <w:rPr>
          <w:rFonts w:ascii="Arial" w:cs="Arial" w:eastAsia="Arial" w:hAnsi="Arial"/>
          <w:sz w:val="18"/>
          <w:szCs w:val="18"/>
          <w:color w:val="auto"/>
        </w:rPr>
      </w:pPr>
    </w:p>
    <w:p>
      <w:pPr>
        <w:ind w:left="980" w:right="260" w:hanging="324"/>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indebtedness of up to $150.0 million will be permitted if incurred by us as either a new tranche of first lien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term loans under the Main Street New Loan Facility and/or Main Street Expanded Loan Facility, in each case, on terms reasonably acceptable to the majority lenders under the Credit Agreement, or junior lien or unsecured debt, subject to certain parameters.</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First Amendment, the Company has agreed, during the Suspension Period, to use commercially reasonable efforts to consummate an at-the-market offering of Common Stock within 60 days of the Effective Date to raise aggregate net cash proceeds of up to $75 million (see above). In addition, during the Suspension Period, and thereafter until such time as the Company is in compliance with its total leverage ratio and fixed charge coverage ratio, exceptions to a number of covenants (including incurrence of debt, limitation on liens, limitation on restricted payments, junior debt repayments, and limitation on sale/leasebacks, among others) will be unavailable to it. The Company has agreed to pay the lenders a fee of 0.25 basis points of the aggregate amount of the loans under the Credit Agreement, payable on the earlier to occur of: August 17, 2022, the date the revolving credit commitments are terminated or the term loans become due and payable (including in either case as a result of an event of default), the date the term loans outstanding on the Effective Date are paid in full, the date the revolving credit commitments outstanding on the Effective Date are terminated, or the date the term loans are refinanced or the revolving credit commitments are extended.</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foregoing description is only a summary of the First Amendment and is qualified in its entirety by reference to the full text of the First Amendment, a copy of which will be filed as an exhibit to the Company’s next Quarterly Report on Form 10-Q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disclosure required by this item is included in Item 1.01 of this Current Report on Form 8-K, under the sub-heading Amendments to Credit Agreement,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previously announced by the Company on February 24, 2020, John P. Gleason, its Senior Vice President and Chief Marketing Officer, will depart the Company effective April 30, 2020. In connection with his departure, on April 14, 2020, Mr. Gleason and the Company entered into a Severance Agreement and Release (the “Severance Agreement”). The Severance Agreement provides Mr. Gleason with severance payments and benefits in accordance with the provisions of his previously disclosed employment agreement with the Company, dated as of August 19, 2015 (the “Employment Agreement”), including twelve months of his base salary, executive allowance, and COBRA premium reimbursements totaling $456,791 (less applicable taxes and withholdings), to be paid in accordance with the Company’s normal payroll schedule over a 12-month period. In addition, in lieu of and in full settlement of any annual cash bonus for 2019 or pro rata bonus for 2020 that Mr. Gleason would have been entitled to receive pursuant to his Employment Agreement or otherwise, and to assist the Company with its liquidity needs during the COVID-19 pandemic, Mr. Gleason has agreed to accept an award of fully vested shares of Company common stock with a grant date value of $150,000 (based on the closing price of Company common stock on date of issuance). All severance payments and benefits in the Severance Agreement are contingent on Mr. Gleason not revoking the Severance Agreement within seven days as allowed by law, and also contingent on him continuing to honor all restrictive covenant obligations in his Employment Agreement and in the Company’s equity plans. In addition, all outstanding prior awards of restricted stock units and stock options are governed by the applicable award agreements.</w:t>
      </w:r>
    </w:p>
    <w:p>
      <w:pPr>
        <w:spacing w:after="0" w:line="16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foregoing description is only a summary of the Severance Agreement and is qualified in its entirety by reference to the full text of Severance Agreement, a copy of which will be filed as an exhibit to the Company’s next Quarterly Report on Form 10-Q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1.1</w:t>
        </w:r>
      </w:hyperlink>
      <w:hyperlink w:anchor="page6">
        <w:r>
          <w:rPr>
            <w:rFonts w:ascii="Arial" w:cs="Arial" w:eastAsia="Arial" w:hAnsi="Arial"/>
            <w:sz w:val="16"/>
            <w:szCs w:val="16"/>
            <w:u w:val="single" w:color="auto"/>
            <w:color w:val="0000EE"/>
          </w:rPr>
          <w:t>Open Market Sale Agreement, dated April 14, 2020, among the Company and Jefferies LLC.</w:t>
        </w:r>
      </w:hyperlink>
    </w:p>
    <w:p>
      <w:pPr>
        <w:spacing w:after="0" w:line="23" w:lineRule="exact"/>
        <w:rPr>
          <w:rFonts w:ascii="Arial" w:cs="Arial" w:eastAsia="Arial" w:hAnsi="Arial"/>
          <w:sz w:val="16"/>
          <w:szCs w:val="16"/>
          <w:u w:val="single" w:color="auto"/>
          <w:color w:val="0000EE"/>
        </w:rPr>
      </w:pPr>
    </w:p>
    <w:p>
      <w:pPr>
        <w:ind w:left="660"/>
        <w:spacing w:after="0"/>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5.1</w:t>
        </w:r>
      </w:hyperlink>
      <w:hyperlink w:anchor="page40">
        <w:r>
          <w:rPr>
            <w:rFonts w:ascii="Arial" w:cs="Arial" w:eastAsia="Arial" w:hAnsi="Arial"/>
            <w:sz w:val="16"/>
            <w:szCs w:val="16"/>
            <w:u w:val="single" w:color="auto"/>
            <w:color w:val="0000EE"/>
          </w:rPr>
          <w:t>Opinion of Paul, Weiss, Rifkind, Wharton &amp; Garrison LLP.</w:t>
        </w:r>
      </w:hyperlink>
    </w:p>
    <w:p>
      <w:pPr>
        <w:spacing w:after="0" w:line="9" w:lineRule="exact"/>
        <w:rPr>
          <w:rFonts w:ascii="Arial" w:cs="Arial" w:eastAsia="Arial" w:hAnsi="Arial"/>
          <w:sz w:val="16"/>
          <w:szCs w:val="16"/>
          <w:u w:val="single" w:color="auto"/>
          <w:color w:val="0000EE"/>
        </w:rPr>
      </w:pPr>
    </w:p>
    <w:p>
      <w:pPr>
        <w:ind w:left="1300" w:hanging="648"/>
        <w:spacing w:after="0" w:line="250" w:lineRule="auto"/>
        <w:rPr>
          <w:rFonts w:ascii="Arial" w:cs="Arial" w:eastAsia="Arial" w:hAnsi="Arial"/>
          <w:sz w:val="16"/>
          <w:szCs w:val="16"/>
          <w:u w:val="single" w:color="auto"/>
          <w:color w:val="0000EE"/>
        </w:rPr>
      </w:pPr>
      <w:r>
        <w:rPr>
          <w:rFonts w:ascii="Arial" w:cs="Arial" w:eastAsia="Arial" w:hAnsi="Arial"/>
          <w:sz w:val="18"/>
          <w:szCs w:val="18"/>
          <w:color w:val="auto"/>
        </w:rPr>
        <w:t>10.1First Amendment dated April 14, 2020 to Amended and Restated Credit Agreement, dated as of August 17, 2017, by and among Dave &amp; Buster’s Holdings, Inc., Dave &amp; Buster’s Inc., the direct and indirect subsidiaries of the Dave &amp; Buster’s, Inc. from time party thereto, as guarantors, the several financial institutions from time to time party thereto, as lenders, Bank of America, N.A., as administrative agent, and Wells Fargo, National Association, as syndication agent.*</w:t>
      </w:r>
    </w:p>
    <w:p>
      <w:pPr>
        <w:spacing w:after="0" w:line="1" w:lineRule="exact"/>
        <w:rPr>
          <w:rFonts w:ascii="Arial" w:cs="Arial" w:eastAsia="Arial" w:hAnsi="Arial"/>
          <w:sz w:val="16"/>
          <w:szCs w:val="16"/>
          <w:u w:val="single" w:color="auto"/>
          <w:color w:val="0000EE"/>
        </w:rPr>
      </w:pPr>
    </w:p>
    <w:p>
      <w:pPr>
        <w:ind w:left="660"/>
        <w:spacing w:after="0"/>
        <w:rPr>
          <w:rFonts w:ascii="Arial" w:cs="Arial" w:eastAsia="Arial" w:hAnsi="Arial"/>
          <w:sz w:val="16"/>
          <w:szCs w:val="16"/>
          <w:u w:val="single" w:color="auto"/>
          <w:color w:val="0000EE"/>
        </w:rPr>
      </w:pPr>
      <w:r>
        <w:rPr>
          <w:rFonts w:ascii="Arial" w:cs="Arial" w:eastAsia="Arial" w:hAnsi="Arial"/>
          <w:sz w:val="18"/>
          <w:szCs w:val="18"/>
          <w:color w:val="auto"/>
        </w:rPr>
        <w:t>10.2</w:t>
      </w:r>
      <w:r>
        <w:rPr>
          <w:rFonts w:ascii="Arial" w:cs="Arial" w:eastAsia="Arial" w:hAnsi="Arial"/>
          <w:sz w:val="16"/>
          <w:szCs w:val="16"/>
          <w:color w:val="auto"/>
        </w:rPr>
        <w:t>Severance Agreement and Release, dated April 14, 2020, between Dave &amp; Buster’s Entertainment, Inc. and John P. Gleason.*</w:t>
      </w:r>
    </w:p>
    <w:p>
      <w:pPr>
        <w:spacing w:after="0" w:line="9" w:lineRule="exact"/>
        <w:rPr>
          <w:rFonts w:ascii="Arial" w:cs="Arial" w:eastAsia="Arial" w:hAnsi="Arial"/>
          <w:sz w:val="16"/>
          <w:szCs w:val="16"/>
          <w:u w:val="single" w:color="auto"/>
          <w:color w:val="0000EE"/>
        </w:rPr>
      </w:pPr>
    </w:p>
    <w:p>
      <w:pPr>
        <w:ind w:left="660"/>
        <w:spacing w:after="0"/>
        <w:rPr>
          <w:rFonts w:ascii="Arial" w:cs="Arial" w:eastAsia="Arial" w:hAnsi="Arial"/>
          <w:sz w:val="16"/>
          <w:szCs w:val="16"/>
          <w:u w:val="single" w:color="auto"/>
          <w:color w:val="0000EE"/>
        </w:rPr>
      </w:pPr>
      <w:hyperlink w:anchor="page40">
        <w:r>
          <w:rPr>
            <w:rFonts w:ascii="Arial" w:cs="Arial" w:eastAsia="Arial" w:hAnsi="Arial"/>
            <w:sz w:val="18"/>
            <w:szCs w:val="18"/>
            <w:u w:val="single" w:color="auto"/>
            <w:color w:val="0000EE"/>
          </w:rPr>
          <w:t>23.1</w:t>
        </w:r>
      </w:hyperlink>
      <w:hyperlink w:anchor="page40">
        <w:r>
          <w:rPr>
            <w:rFonts w:ascii="Arial" w:cs="Arial" w:eastAsia="Arial" w:hAnsi="Arial"/>
            <w:sz w:val="16"/>
            <w:szCs w:val="16"/>
            <w:u w:val="single" w:color="auto"/>
            <w:color w:val="0000EE"/>
          </w:rPr>
          <w:t>Consent of Paul, Weiss, Rifkind, Wharton &amp; Garrison LLP (included in Exhibit 5.1 hereto).</w:t>
        </w:r>
      </w:hyperlink>
    </w:p>
    <w:p>
      <w:pPr>
        <w:spacing w:after="0" w:line="9" w:lineRule="exact"/>
        <w:rPr>
          <w:rFonts w:ascii="Arial" w:cs="Arial" w:eastAsia="Arial" w:hAnsi="Arial"/>
          <w:sz w:val="16"/>
          <w:szCs w:val="16"/>
          <w:u w:val="single" w:color="auto"/>
          <w:color w:val="0000EE"/>
        </w:rPr>
      </w:pPr>
    </w:p>
    <w:p>
      <w:pPr>
        <w:ind w:left="660"/>
        <w:spacing w:after="0"/>
        <w:rPr>
          <w:rFonts w:ascii="Arial" w:cs="Arial" w:eastAsia="Arial" w:hAnsi="Arial"/>
          <w:sz w:val="15"/>
          <w:szCs w:val="15"/>
          <w:u w:val="single" w:color="auto"/>
          <w:color w:val="0000EE"/>
        </w:rPr>
      </w:pPr>
      <w:hyperlink w:anchor="page42">
        <w:r>
          <w:rPr>
            <w:rFonts w:ascii="Arial" w:cs="Arial" w:eastAsia="Arial" w:hAnsi="Arial"/>
            <w:sz w:val="18"/>
            <w:szCs w:val="18"/>
            <w:u w:val="single" w:color="auto"/>
            <w:color w:val="0000EE"/>
          </w:rPr>
          <w:t>99.1</w:t>
        </w:r>
      </w:hyperlink>
      <w:hyperlink w:anchor="page42">
        <w:r>
          <w:rPr>
            <w:rFonts w:ascii="Arial" w:cs="Arial" w:eastAsia="Arial" w:hAnsi="Arial"/>
            <w:sz w:val="15"/>
            <w:szCs w:val="15"/>
            <w:u w:val="single" w:color="auto"/>
            <w:color w:val="0000EE"/>
          </w:rPr>
          <w:t>Press release.</w:t>
        </w:r>
      </w:hyperlink>
    </w:p>
    <w:p>
      <w:pPr>
        <w:spacing w:after="0" w:line="21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 Will be filed as an exhibit to the Company’s next Quarterly Report on Form 10-Q.</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2020</w:t>
      </w:r>
    </w:p>
    <w:p>
      <w:pPr>
        <w:spacing w:after="0" w:line="22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DAVE &amp; BUSTER’S ENTERTAINMENT, INC.</w:t>
      </w:r>
    </w:p>
    <w:p>
      <w:pPr>
        <w:spacing w:after="0" w:line="200" w:lineRule="exact"/>
        <w:rPr>
          <w:sz w:val="20"/>
          <w:szCs w:val="20"/>
          <w:color w:val="auto"/>
        </w:rPr>
      </w:pPr>
    </w:p>
    <w:p>
      <w:pPr>
        <w:spacing w:after="0" w:line="24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48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Robert W. Edmund</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29"/>
          <w:szCs w:val="29"/>
          <w:b w:val="1"/>
          <w:bCs w:val="1"/>
          <w:color w:val="auto"/>
          <w:vertAlign w:val="superscript"/>
        </w:rPr>
        <w:t>SM</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Dave &amp; Buster’s Entertainment,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having an aggregate offering price of up to $75,000,000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229" w:lineRule="exact"/>
        <w:rPr>
          <w:sz w:val="20"/>
          <w:szCs w:val="20"/>
          <w:color w:val="auto"/>
        </w:rPr>
      </w:pPr>
    </w:p>
    <w:p>
      <w:pPr>
        <w:ind w:left="1560" w:hanging="904"/>
        <w:spacing w:after="0"/>
        <w:tabs>
          <w:tab w:leader="none" w:pos="15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capitalized terms used herein and not otherwise defined shall have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respective meanings: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285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SM</w:t>
      </w:r>
      <w:r>
        <w:rPr>
          <w:rFonts w:ascii="Arial" w:cs="Arial" w:eastAsia="Arial" w:hAnsi="Arial"/>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Chief Executive Officer, President or Chief Financial Officer.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as applicable, of Common Shares for which the Company has filed a Prospectus (defined below).</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Select Market or such other national securities exchange on which the Common Shares, including any Shares (defined below), are then listed.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three percent (3%)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r>
        <w:rPr>
          <w:rFonts w:ascii="Arial" w:cs="Arial" w:eastAsia="Arial" w:hAnsi="Arial"/>
          <w:sz w:val="18"/>
          <w:szCs w:val="18"/>
          <w:u w:val="single" w:color="auto"/>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Company’s Common Shares to be sold or sold as contemplated by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 (3) each Settlement Date, (4) each Triggering Event Date (defined below) with respect to which the Company is obligated to deliver a certificate pursuant to Section 4(o) and (5) as of each Time of Sale (each of the times referenced above is referred to herein as a “</w:t>
      </w:r>
      <w:r>
        <w:rPr>
          <w:rFonts w:ascii="Arial" w:cs="Arial" w:eastAsia="Arial" w:hAnsi="Arial"/>
          <w:sz w:val="16"/>
          <w:szCs w:val="16"/>
          <w:b w:val="1"/>
          <w:bCs w:val="1"/>
          <w:color w:val="auto"/>
        </w:rPr>
        <w:t>Representation Date</w:t>
      </w:r>
      <w:r>
        <w:rPr>
          <w:rFonts w:ascii="Arial" w:cs="Arial" w:eastAsia="Arial" w:hAnsi="Arial"/>
          <w:sz w:val="16"/>
          <w:szCs w:val="16"/>
          <w:color w:val="auto"/>
        </w:rPr>
        <w:t>”), except as may be disclosed in the Prospectus (including any documents incorporated by reference therein and any supplements thereto) on or before a Representation Date:</w:t>
      </w:r>
    </w:p>
    <w:p>
      <w:pPr>
        <w:spacing w:after="0" w:line="157" w:lineRule="exact"/>
        <w:rPr>
          <w:sz w:val="20"/>
          <w:szCs w:val="20"/>
          <w:color w:val="auto"/>
        </w:rPr>
      </w:pPr>
    </w:p>
    <w:p>
      <w:pPr>
        <w:jc w:val="both"/>
        <w:ind w:firstLine="656"/>
        <w:spacing w:after="0" w:line="285" w:lineRule="auto"/>
        <w:tabs>
          <w:tab w:leader="none" w:pos="160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has filed, or will file, with the Commission a shelf registration statement on Form S-3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As used in this Agreement, the terms “amendment” or “supplement” when applied to the Registration Statement or the Prospectus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include the filing by the Company with the Commission of any document under the Exchange Act after the date hereof that is or is deemed to be incorporated therein by reference.</w:t>
      </w:r>
    </w:p>
    <w:p>
      <w:pPr>
        <w:spacing w:after="0" w:line="39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320" w:right="20" w:firstLine="648"/>
        <w:spacing w:after="0" w:line="259" w:lineRule="auto"/>
        <w:rPr>
          <w:sz w:val="20"/>
          <w:szCs w:val="20"/>
          <w:color w:val="auto"/>
        </w:rPr>
      </w:pPr>
      <w:r>
        <w:rPr>
          <w:rFonts w:ascii="Arial" w:cs="Arial" w:eastAsia="Arial" w:hAnsi="Arial"/>
          <w:sz w:val="18"/>
          <w:szCs w:val="18"/>
          <w:color w:val="auto"/>
        </w:rPr>
        <w:t>At the time the Registration Statement was or will be originally declared effective and at the time the Company’s most recent annual report on Form 10-K was filed with the Commission, if later, the Company met the then-applicable requirements for use of Form S-3 under the Securities Act. During the Agency Period, each time (if any) the Company files an annual report on Form 10-K the Company will meet the then-applicable requirements for use of Form S-3 under the Securities Act.</w:t>
      </w:r>
    </w:p>
    <w:p>
      <w:pPr>
        <w:spacing w:after="0" w:line="187" w:lineRule="exact"/>
        <w:rPr>
          <w:sz w:val="20"/>
          <w:szCs w:val="20"/>
          <w:color w:val="auto"/>
        </w:rPr>
      </w:pPr>
    </w:p>
    <w:p>
      <w:pPr>
        <w:jc w:val="both"/>
        <w:ind w:left="-20" w:firstLine="656"/>
        <w:spacing w:after="0" w:line="257" w:lineRule="auto"/>
        <w:tabs>
          <w:tab w:leader="none" w:pos="160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Compliance with Registration Requirements</w:t>
      </w:r>
      <w:r>
        <w:rPr>
          <w:rFonts w:ascii="Arial" w:cs="Arial" w:eastAsia="Arial" w:hAnsi="Arial"/>
          <w:sz w:val="18"/>
          <w:szCs w:val="18"/>
          <w:color w:val="auto"/>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Original Registration Statement or any Rule 462(b) Registration Statement is in effect and no proceedings for such purpose have been instituted or are pending or, to the knowledge of the Company, are threatened by the Commission.</w:t>
      </w:r>
    </w:p>
    <w:p>
      <w:pPr>
        <w:spacing w:after="0" w:line="188" w:lineRule="exact"/>
        <w:rPr>
          <w:sz w:val="20"/>
          <w:szCs w:val="20"/>
          <w:color w:val="auto"/>
        </w:rPr>
      </w:pPr>
    </w:p>
    <w:p>
      <w:pPr>
        <w:jc w:val="both"/>
        <w:ind w:left="640" w:firstLine="648"/>
        <w:spacing w:after="0" w:line="285" w:lineRule="auto"/>
        <w:rPr>
          <w:sz w:val="20"/>
          <w:szCs w:val="20"/>
          <w:color w:val="auto"/>
        </w:rPr>
      </w:pPr>
      <w:r>
        <w:rPr>
          <w:rFonts w:ascii="Arial" w:cs="Arial" w:eastAsia="Arial" w:hAnsi="Arial"/>
          <w:sz w:val="16"/>
          <w:szCs w:val="16"/>
          <w:color w:val="auto"/>
        </w:rPr>
        <w:t>The Prospectus when filed complied in all material respects with the Securities Act and, if filed with the Commission through EDGAR(except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(defined below) considered together (collectively, the “</w:t>
      </w:r>
      <w:r>
        <w:rPr>
          <w:rFonts w:ascii="Arial" w:cs="Arial" w:eastAsia="Arial" w:hAnsi="Arial"/>
          <w:sz w:val="16"/>
          <w:szCs w:val="16"/>
          <w:b w:val="1"/>
          <w:bCs w:val="1"/>
          <w:color w:val="auto"/>
        </w:rPr>
        <w:t>Time of Sale Information</w:t>
      </w:r>
      <w:r>
        <w:rPr>
          <w:rFonts w:ascii="Arial" w:cs="Arial" w:eastAsia="Arial" w:hAnsi="Arial"/>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9" w:name="page10"/>
    <w:bookmarkEnd w:id="9"/>
    <w:p>
      <w:pPr>
        <w:jc w:val="both"/>
        <w:ind w:left="-20" w:firstLine="656"/>
        <w:spacing w:after="0" w:line="253" w:lineRule="auto"/>
        <w:tabs>
          <w:tab w:leader="none" w:pos="150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Ineligible Issuer Status</w:t>
      </w:r>
      <w:r>
        <w:rPr>
          <w:rFonts w:ascii="Arial" w:cs="Arial" w:eastAsia="Arial" w:hAnsi="Arial"/>
          <w:sz w:val="18"/>
          <w:szCs w:val="18"/>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behalf of or used or referred to by the Company in connection with the transactions contemplated hereby complies or will comply in all material respects with the requirements of Rule 433 under the Securities Act including timely filing with the Commission or retention where required and legending, and no Free Writing Prospectus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any Free Writing Prospectus in connection with the transactions contemplated hereby.</w:t>
      </w:r>
    </w:p>
    <w:p>
      <w:pPr>
        <w:spacing w:after="0" w:line="194" w:lineRule="exact"/>
        <w:rPr>
          <w:rFonts w:ascii="Arial" w:cs="Arial" w:eastAsia="Arial" w:hAnsi="Arial"/>
          <w:sz w:val="18"/>
          <w:szCs w:val="18"/>
          <w:color w:val="auto"/>
        </w:rPr>
      </w:pPr>
    </w:p>
    <w:p>
      <w:pPr>
        <w:jc w:val="both"/>
        <w:ind w:left="-20" w:firstLine="656"/>
        <w:spacing w:after="0" w:line="301"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57" w:lineRule="exact"/>
        <w:rPr>
          <w:rFonts w:ascii="Arial" w:cs="Arial" w:eastAsia="Arial" w:hAnsi="Arial"/>
          <w:sz w:val="16"/>
          <w:szCs w:val="16"/>
          <w:color w:val="auto"/>
        </w:rPr>
      </w:pPr>
    </w:p>
    <w:p>
      <w:pPr>
        <w:jc w:val="both"/>
        <w:ind w:left="-20" w:firstLine="656"/>
        <w:spacing w:after="0" w:line="293" w:lineRule="auto"/>
        <w:tabs>
          <w:tab w:leader="none" w:pos="1529"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64" w:lineRule="exact"/>
        <w:rPr>
          <w:rFonts w:ascii="Arial" w:cs="Arial" w:eastAsia="Arial" w:hAnsi="Arial"/>
          <w:sz w:val="16"/>
          <w:szCs w:val="16"/>
          <w:color w:val="auto"/>
        </w:rPr>
      </w:pPr>
    </w:p>
    <w:p>
      <w:pPr>
        <w:jc w:val="both"/>
        <w:ind w:left="-20" w:firstLine="656"/>
        <w:spacing w:after="0" w:line="263" w:lineRule="auto"/>
        <w:tabs>
          <w:tab w:leader="none" w:pos="159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Nothing has come to the attention of the Company that has caused the Company to believe that the statistical and market-related data included in each of the Registration Statement and the Prospectus is not based on or derived from sources that the Company believes are reliable and accurate in all material respects.</w:t>
      </w:r>
    </w:p>
    <w:p>
      <w:pPr>
        <w:spacing w:after="0" w:line="183" w:lineRule="exact"/>
        <w:rPr>
          <w:rFonts w:ascii="Arial" w:cs="Arial" w:eastAsia="Arial" w:hAnsi="Arial"/>
          <w:sz w:val="18"/>
          <w:szCs w:val="18"/>
          <w:color w:val="auto"/>
        </w:rPr>
      </w:pPr>
    </w:p>
    <w:p>
      <w:pPr>
        <w:jc w:val="both"/>
        <w:ind w:left="-20" w:firstLine="656"/>
        <w:spacing w:after="0" w:line="254" w:lineRule="auto"/>
        <w:tabs>
          <w:tab w:leader="none" w:pos="172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on a consolidated basis, maintain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on a consolidated basis, have carried out evaluations of the effectiveness of their disclosure controls and procedures as required by Rule 13a-15 of the Exchange Act.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0" w:name="page11"/>
    <w:bookmarkEnd w:id="10"/>
    <w:p>
      <w:pPr>
        <w:jc w:val="both"/>
        <w:ind w:left="-20" w:firstLine="656"/>
        <w:spacing w:after="0" w:line="263" w:lineRule="auto"/>
        <w:tabs>
          <w:tab w:leader="none" w:pos="168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This Agreement</w:t>
      </w:r>
      <w:r>
        <w:rPr>
          <w:rFonts w:ascii="Arial" w:cs="Arial" w:eastAsia="Arial" w:hAnsi="Arial"/>
          <w:sz w:val="18"/>
          <w:szCs w:val="18"/>
          <w:color w:val="auto"/>
        </w:rPr>
        <w:t>. The Company has all power and authority to execute and deliver this Agreement, and to perform its obligations hereunder; and all action required to be taken for the due and proper authorization, execution and delivery of this Agreement and the consummation of the transactions contemplated hereby have been duly or validly taken by the Company.</w:t>
      </w:r>
    </w:p>
    <w:p>
      <w:pPr>
        <w:spacing w:after="0" w:line="183" w:lineRule="exact"/>
        <w:rPr>
          <w:rFonts w:ascii="Arial" w:cs="Arial" w:eastAsia="Arial" w:hAnsi="Arial"/>
          <w:sz w:val="18"/>
          <w:szCs w:val="18"/>
          <w:color w:val="auto"/>
        </w:rPr>
      </w:pPr>
    </w:p>
    <w:p>
      <w:pPr>
        <w:jc w:val="both"/>
        <w:ind w:left="-20" w:firstLine="656"/>
        <w:spacing w:after="0" w:line="311" w:lineRule="auto"/>
        <w:tabs>
          <w:tab w:leader="none" w:pos="156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Authorization of the Shares</w:t>
      </w:r>
      <w:r>
        <w:rPr>
          <w:rFonts w:ascii="Arial" w:cs="Arial" w:eastAsia="Arial" w:hAnsi="Arial"/>
          <w:sz w:val="16"/>
          <w:szCs w:val="16"/>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148" w:lineRule="exact"/>
        <w:rPr>
          <w:rFonts w:ascii="Arial" w:cs="Arial" w:eastAsia="Arial" w:hAnsi="Arial"/>
          <w:sz w:val="16"/>
          <w:szCs w:val="16"/>
          <w:color w:val="auto"/>
        </w:rPr>
      </w:pPr>
    </w:p>
    <w:p>
      <w:pPr>
        <w:jc w:val="both"/>
        <w:ind w:left="-20" w:firstLine="656"/>
        <w:spacing w:after="0" w:line="263" w:lineRule="auto"/>
        <w:tabs>
          <w:tab w:leader="none" w:pos="161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83" w:lineRule="exact"/>
        <w:rPr>
          <w:rFonts w:ascii="Arial" w:cs="Arial" w:eastAsia="Arial" w:hAnsi="Arial"/>
          <w:sz w:val="18"/>
          <w:szCs w:val="18"/>
          <w:color w:val="auto"/>
        </w:rPr>
      </w:pPr>
    </w:p>
    <w:p>
      <w:pPr>
        <w:jc w:val="both"/>
        <w:ind w:left="-20" w:firstLine="656"/>
        <w:spacing w:after="0" w:line="269" w:lineRule="auto"/>
        <w:tabs>
          <w:tab w:leader="none" w:pos="176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Except as otherwise disclosed in the Registration Statement and the Prospectus, subsequent to the respective dates as of which information is given in the Registration Statement and the Prospectus: (1) there has not been any change in the long term-debt or any material change in the capital stock of the Company or its subsidiaries, or any dividend or distribution of any kind declared, set aside for payment, paid or made by the Company or its subsidiaries on any class of capital stock, or any material adverse change, or any development involving a prospective material adverse change, in or affecting the business, properties, management, financial position or results of operations of the Company and the Company’s subsidiaries taken as a whole (“</w:t>
      </w:r>
      <w:r>
        <w:rPr>
          <w:rFonts w:ascii="Arial" w:cs="Arial" w:eastAsia="Arial" w:hAnsi="Arial"/>
          <w:sz w:val="17"/>
          <w:szCs w:val="17"/>
          <w:b w:val="1"/>
          <w:bCs w:val="1"/>
          <w:color w:val="auto"/>
        </w:rPr>
        <w:t>Material Adverse Change</w:t>
      </w:r>
      <w:r>
        <w:rPr>
          <w:rFonts w:ascii="Arial" w:cs="Arial" w:eastAsia="Arial" w:hAnsi="Arial"/>
          <w:sz w:val="17"/>
          <w:szCs w:val="17"/>
          <w:color w:val="auto"/>
        </w:rPr>
        <w:t>”); (2) none of the Company or any of the Company’s subsidiaries has entered into any transaction or agreement that is material to the Company and the Company’s subsidiaries taken as a whole, other than in the ordinary course of business, or incurred any liability or obligation, direct or contingent, that is material to the Company or any of the Company’s subsidiaries taken as a whole, other than in the ordinary course of business; and (3) none of the Company or any of the Company’s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w:t>
      </w:r>
    </w:p>
    <w:p>
      <w:pPr>
        <w:spacing w:after="0" w:line="181" w:lineRule="exact"/>
        <w:rPr>
          <w:rFonts w:ascii="Arial" w:cs="Arial" w:eastAsia="Arial" w:hAnsi="Arial"/>
          <w:sz w:val="17"/>
          <w:szCs w:val="17"/>
          <w:color w:val="auto"/>
        </w:rPr>
      </w:pPr>
    </w:p>
    <w:p>
      <w:pPr>
        <w:jc w:val="both"/>
        <w:ind w:left="-20" w:firstLine="656"/>
        <w:spacing w:after="0" w:line="286" w:lineRule="auto"/>
        <w:tabs>
          <w:tab w:leader="none" w:pos="180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KPMG LLP, who have certified certain financial statements of the Company and its subsidiaries, are independent public accountants with respect to the Company and its subsidiaries within the applicable rules and regulations adopted by the Commission and the Public Company Accounting Oversight Board (United States) (“</w:t>
      </w:r>
      <w:r>
        <w:rPr>
          <w:rFonts w:ascii="Arial" w:cs="Arial" w:eastAsia="Arial" w:hAnsi="Arial"/>
          <w:sz w:val="17"/>
          <w:szCs w:val="17"/>
          <w:b w:val="1"/>
          <w:bCs w:val="1"/>
          <w:color w:val="auto"/>
        </w:rPr>
        <w:t>PCAOB</w:t>
      </w:r>
      <w:r>
        <w:rPr>
          <w:rFonts w:ascii="Arial" w:cs="Arial" w:eastAsia="Arial" w:hAnsi="Arial"/>
          <w:sz w:val="17"/>
          <w:szCs w:val="17"/>
          <w:color w:val="auto"/>
        </w:rPr>
        <w:t>”) and as required by the Securities Act.</w:t>
      </w:r>
    </w:p>
    <w:p>
      <w:pPr>
        <w:spacing w:after="0" w:line="165" w:lineRule="exact"/>
        <w:rPr>
          <w:rFonts w:ascii="Arial" w:cs="Arial" w:eastAsia="Arial" w:hAnsi="Arial"/>
          <w:sz w:val="17"/>
          <w:szCs w:val="17"/>
          <w:color w:val="auto"/>
        </w:rPr>
      </w:pPr>
    </w:p>
    <w:p>
      <w:pPr>
        <w:jc w:val="both"/>
        <w:ind w:left="-20" w:firstLine="656"/>
        <w:spacing w:after="0" w:line="269" w:lineRule="auto"/>
        <w:tabs>
          <w:tab w:leader="none" w:pos="1567"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w:t>
      </w:r>
      <w:r>
        <w:rPr>
          <w:rFonts w:ascii="Arial" w:cs="Arial" w:eastAsia="Arial" w:hAnsi="Arial"/>
          <w:sz w:val="17"/>
          <w:szCs w:val="17"/>
          <w:b w:val="1"/>
          <w:bCs w:val="1"/>
          <w:color w:val="auto"/>
        </w:rPr>
        <w:t>U.S. GAAP</w:t>
      </w:r>
      <w:r>
        <w:rPr>
          <w:rFonts w:ascii="Arial" w:cs="Arial" w:eastAsia="Arial" w:hAnsi="Arial"/>
          <w:sz w:val="17"/>
          <w:szCs w:val="17"/>
          <w:color w:val="auto"/>
        </w:rPr>
        <w:t>”)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81" w:lineRule="exact"/>
        <w:rPr>
          <w:rFonts w:ascii="Arial" w:cs="Arial" w:eastAsia="Arial" w:hAnsi="Arial"/>
          <w:sz w:val="17"/>
          <w:szCs w:val="17"/>
          <w:color w:val="auto"/>
        </w:rPr>
      </w:pPr>
    </w:p>
    <w:p>
      <w:pPr>
        <w:jc w:val="both"/>
        <w:ind w:left="-20" w:firstLine="656"/>
        <w:spacing w:after="0" w:line="268" w:lineRule="auto"/>
        <w:tabs>
          <w:tab w:leader="none" w:pos="1553"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Company’s Accounting System</w:t>
      </w:r>
      <w:r>
        <w:rPr>
          <w:rFonts w:ascii="Arial" w:cs="Arial" w:eastAsia="Arial" w:hAnsi="Arial"/>
          <w:sz w:val="17"/>
          <w:szCs w:val="17"/>
          <w:color w:val="auto"/>
        </w:rPr>
        <w:t>. The Company and its subsidiaries maintain systems of “internal control over financial reporting” (as defined in Rule 13a-15(f) of the Exchange Act) that comply with the requirements of the Exchange Act and have been designed by, or are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U.S. GAAP. The Company and its subsidiaries maintain internal accounting controls sufficient to provide reasonable assurance that (1) transactions are executed in accordance with management’s general or specific authorizations; (2) transactions are recorded as necessary to permit preparation of financial statements in conformity with U.S. GAAP and to maintain asset accountability; (3) access to assets is permitted only in accordance with management’s general or specific authorization; and (4) the recorded accountability for assets is compared with the existing assets at reasonable intervals and appropriate action is taken with respect to any differences. Except as disclosed in the Prospectus, there are no material weaknesses or significant deficiencies in the Company’s internal controls. The interactive data in eXtensible Business Reporting Language included in the Registration Statement fairly presents the information called for in all material respects and has been prepared in accordance with the Commission’s rules and guidelines applicable thereto. Except as disclosed in the Prospectus, since the date of the latest audited financial statements included in the Prospectus, there has been no change in the Company’s internal control over financial reporting that has materially adversely affected, or is reasonably likely to materially affect, the Company’s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1" w:name="page12"/>
    <w:bookmarkEnd w:id="11"/>
    <w:p>
      <w:pPr>
        <w:jc w:val="both"/>
        <w:ind w:left="-20" w:firstLine="656"/>
        <w:spacing w:after="0" w:line="254" w:lineRule="auto"/>
        <w:tabs>
          <w:tab w:leader="none" w:pos="1593"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Incorporation and Good Standing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and each of the Company’s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 authority would not, individually or in the aggregate, have a material adverse effect on the business, properties, management, financial position or results of operations of the Company and the Company’s subsidiaries taken as a whole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20" w:firstLine="656"/>
        <w:spacing w:after="0" w:line="268" w:lineRule="auto"/>
        <w:tabs>
          <w:tab w:leader="none" w:pos="1553"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to be in good standing would not result in a Material Adverse Effect.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Annual Report on Form 10-K for the fiscal year ended February 2,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2" w:name="page13"/>
    <w:bookmarkEnd w:id="12"/>
    <w:p>
      <w:pPr>
        <w:jc w:val="both"/>
        <w:ind w:left="-20" w:firstLine="656"/>
        <w:spacing w:after="0" w:line="273" w:lineRule="auto"/>
        <w:tabs>
          <w:tab w:leader="none" w:pos="155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Capitalization and Other Capital Stock Matters</w:t>
      </w:r>
      <w:r>
        <w:rPr>
          <w:rFonts w:ascii="Arial" w:cs="Arial" w:eastAsia="Arial" w:hAnsi="Arial"/>
          <w:sz w:val="17"/>
          <w:szCs w:val="17"/>
          <w:color w:val="auto"/>
        </w:rPr>
        <w:t>. The Company has an authorized capitalization as set forth in each of the Registration Statement and the Prospectus under the heading “Description of the Capital Stock”; and all the outstanding shares of capital stock or other equity interests of each subsidiary of the Company have been duly authorized and validly issued, are fully paid and nonassessable (except as otherwise described in each of the Registration Statement and the Prospectus) and are owned directly or indirectly by the Company, free and clear of any lien, charge, encumbrance, security interest, restriction on voting or transfer or any other claim of any third party, except for those disclosed in the Registration Statement and the Prospectus or as would otherwise not have a Material Adverse Effect.</w:t>
      </w:r>
    </w:p>
    <w:p>
      <w:pPr>
        <w:spacing w:after="0" w:line="177" w:lineRule="exact"/>
        <w:rPr>
          <w:rFonts w:ascii="Arial" w:cs="Arial" w:eastAsia="Arial" w:hAnsi="Arial"/>
          <w:sz w:val="17"/>
          <w:szCs w:val="17"/>
          <w:color w:val="auto"/>
        </w:rPr>
      </w:pPr>
    </w:p>
    <w:p>
      <w:pPr>
        <w:jc w:val="both"/>
        <w:ind w:left="-20" w:firstLine="656"/>
        <w:spacing w:after="0" w:line="257" w:lineRule="auto"/>
        <w:tabs>
          <w:tab w:leader="none" w:pos="155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7" w:lineRule="exact"/>
        <w:rPr>
          <w:rFonts w:ascii="Arial" w:cs="Arial" w:eastAsia="Arial" w:hAnsi="Arial"/>
          <w:sz w:val="18"/>
          <w:szCs w:val="18"/>
          <w:color w:val="auto"/>
        </w:rPr>
      </w:pPr>
    </w:p>
    <w:p>
      <w:pPr>
        <w:jc w:val="both"/>
        <w:ind w:left="-20" w:firstLine="656"/>
        <w:spacing w:after="0" w:line="268" w:lineRule="auto"/>
        <w:tabs>
          <w:tab w:leader="none" w:pos="160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Non-Contravention of Existing Instruments; No Further Authorizations or Approvals Required</w:t>
      </w:r>
      <w:r>
        <w:rPr>
          <w:rFonts w:ascii="Arial" w:cs="Arial" w:eastAsia="Arial" w:hAnsi="Arial"/>
          <w:sz w:val="17"/>
          <w:szCs w:val="17"/>
          <w:color w:val="auto"/>
        </w:rPr>
        <w:t>. Neither the Company nor any of the Company’s subsidiaries is (1) in violation of its charter or by-laws or similar organizational documents; (2)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the Company’s subsidiaries is a party or by which the Company or any of the Company’s subsidiaries is bound or to which any of the property or assets of the Company or any of the Company’s subsidiaries is subject; or (3) in violation of any applicable law or statute or any judgment, order, rule or regulation of any court or arbitrator or governmental or regulatory authority, except, in the case of clauses (2) and (3) above, for any such default or violation that could not, individually or in the aggregate, reasonably be expected to have a Material Adverse Effect. Assuming the accuracy of, and the Agent’s compliance with, the representations, warranties and agreements of the Agent herein, no consent, approval, authorization, order, registration or qualification of or with any court or arbitrator or governmental or regulatory authority is required for the execution, delivery and performance by the Company of this Agreement, and compliance by the Company with the terms thereof and the consummation of the transactions contemplated by this Agreement, except for such consents, approvals, authorizations, orders and registrations or qualifications (1) as have been obtained, (2) as may be required under the Act and applicable state securities laws, or (3) under the Conduct Rules of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in connection with the purchase and resale of the Shares by the Agent.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3" w:name="page14"/>
    <w:bookmarkEnd w:id="13"/>
    <w:p>
      <w:pPr>
        <w:jc w:val="both"/>
        <w:ind w:left="-20" w:firstLine="656"/>
        <w:spacing w:after="0" w:line="272" w:lineRule="auto"/>
        <w:tabs>
          <w:tab w:leader="none" w:pos="1994"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No Material Actions or Proceedings</w:t>
      </w:r>
      <w:r>
        <w:rPr>
          <w:rFonts w:ascii="Arial" w:cs="Arial" w:eastAsia="Arial" w:hAnsi="Arial"/>
          <w:sz w:val="17"/>
          <w:szCs w:val="17"/>
          <w:color w:val="auto"/>
        </w:rPr>
        <w:t>. Except as described in the Prospectus, there are no legal, governmental or regulatory investigations, actions, suits or proceedings pending, or to the best knowledge of the Company threatened, to which the Company or any of the Company’s subsidiaries is or may be a party or to which any property of the Company or any of the Company’s subsidiaries is or may be the subject of that, individually or in the aggregate, if determined adversely to the Company or any of the Company’s subsidiaries, could reasonably be expected to have a Material Adverse Effect; and no such investigations, actions, suits or proceedings are threatened or, to the best knowledge (without having undertaken any independent inquiry) of the Company, contemplated by any governmental or regulatory authority or by others, except which, individually or in the aggregate, could not reasonably be expected to have a Material Adverse Effect.</w:t>
      </w:r>
    </w:p>
    <w:p>
      <w:pPr>
        <w:spacing w:after="0" w:line="177" w:lineRule="exact"/>
        <w:rPr>
          <w:rFonts w:ascii="Arial" w:cs="Arial" w:eastAsia="Arial" w:hAnsi="Arial"/>
          <w:sz w:val="17"/>
          <w:szCs w:val="17"/>
          <w:color w:val="auto"/>
        </w:rPr>
      </w:pPr>
    </w:p>
    <w:p>
      <w:pPr>
        <w:jc w:val="both"/>
        <w:ind w:left="-20" w:firstLine="656"/>
        <w:spacing w:after="0" w:line="290" w:lineRule="auto"/>
        <w:tabs>
          <w:tab w:leader="none" w:pos="152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The Company and the Company’s subsidiaries own, possess or license adequate rights to use any patents, patent applications, trademarks, service marks, trade names, trademark registrations, service mark registrations, copyrights, licenses and know-how (including trade secrets and other unpatented and/or unpatentable proprietary or confidential information, systems or procedures) reasonably necessary for the conduct of their respective businesses as described in the Prospectus, except where the failure to own or possess such rights could not reasonably be expected, individually or in the aggregate, to have a Material Adverse Effect; and the conduct of their respective businesses will not conflict with any such rights of others, except which, individually or in the aggregate, could not reasonably be expected to have a Material Adverse Effect; and the Company and the Company’s subsidiaries have not received any notice of any claim of infringement of or conflict with any such rights of others, which infringement or conflict, if the subject of an unfavorable decision, ruling or finding, would have a Material Adverse Effect.</w:t>
      </w:r>
    </w:p>
    <w:p>
      <w:pPr>
        <w:spacing w:after="0" w:line="165" w:lineRule="exact"/>
        <w:rPr>
          <w:rFonts w:ascii="Arial" w:cs="Arial" w:eastAsia="Arial" w:hAnsi="Arial"/>
          <w:sz w:val="16"/>
          <w:szCs w:val="16"/>
          <w:color w:val="auto"/>
        </w:rPr>
      </w:pPr>
    </w:p>
    <w:p>
      <w:pPr>
        <w:jc w:val="both"/>
        <w:ind w:left="-20" w:firstLine="656"/>
        <w:spacing w:after="0" w:line="254" w:lineRule="auto"/>
        <w:tabs>
          <w:tab w:leader="none" w:pos="164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All Necessary Licenses, Certificates, Permits, etc</w:t>
      </w:r>
      <w:r>
        <w:rPr>
          <w:rFonts w:ascii="Arial" w:cs="Arial" w:eastAsia="Arial" w:hAnsi="Arial"/>
          <w:sz w:val="18"/>
          <w:szCs w:val="18"/>
          <w:color w:val="auto"/>
        </w:rPr>
        <w:t>. The Company and the Company’s subsidiaries possess any licenses, certificates, permits and other authorizations issued by, and have made any declarations and filings with, the appropriate federal, state, local or foreign governmental or regulatory authorities that are reasonably necessary for the ownership or lease of their respective properties or the conduct of their respective businesses as described in the Prospectus, except where the failure to possess or make the same could not, individually or in the aggregate, reasonably be expected to have a Material Adverse Effect; and except as described in the Prospectus, neither the Company nor any of the Company’s subsidiaries has received notice of any revocation or modification of any such license, certificate, permit or authorization or has any reason to believe that any such license, certificate, permit or authorization will not be renewed in the ordinary course which, if the subject of an unfavorable decision, ruling, or finding would have a Material Adverse Effect.</w:t>
      </w:r>
    </w:p>
    <w:p>
      <w:pPr>
        <w:spacing w:after="0" w:line="191" w:lineRule="exact"/>
        <w:rPr>
          <w:rFonts w:ascii="Arial" w:cs="Arial" w:eastAsia="Arial" w:hAnsi="Arial"/>
          <w:sz w:val="18"/>
          <w:szCs w:val="18"/>
          <w:color w:val="auto"/>
        </w:rPr>
      </w:pPr>
    </w:p>
    <w:p>
      <w:pPr>
        <w:jc w:val="both"/>
        <w:ind w:left="-20" w:firstLine="656"/>
        <w:spacing w:after="0" w:line="255" w:lineRule="auto"/>
        <w:tabs>
          <w:tab w:leader="none" w:pos="146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Title to Properties</w:t>
      </w:r>
      <w:r>
        <w:rPr>
          <w:rFonts w:ascii="Arial" w:cs="Arial" w:eastAsia="Arial" w:hAnsi="Arial"/>
          <w:sz w:val="18"/>
          <w:szCs w:val="18"/>
          <w:color w:val="auto"/>
        </w:rPr>
        <w:t>. Except as described in the Prospectus, the Company and the Company’s subsidiaries have good and marketable title in fee simple to, or have valid rights to lease or otherwise use, all items of real and personal property that are material to the respective businesses of the Company and the Company’s subsidiaries, in each case free and clear of all liens, encumbrances, claims and defects and imperfections of title except those that (1) do not materially and adversely affect the value of such property, (2) do not materially interfere with the use made and proposed to be made of such property by the Company and the Company’s subsidiaries or (3) could not reasonably be expected, individually or in the aggregate, to have a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4" w:name="page15"/>
    <w:bookmarkEnd w:id="14"/>
    <w:p>
      <w:pPr>
        <w:jc w:val="both"/>
        <w:ind w:left="-20" w:firstLine="656"/>
        <w:spacing w:after="0" w:line="257" w:lineRule="auto"/>
        <w:tabs>
          <w:tab w:leader="none" w:pos="160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Tax Law Compliance</w:t>
      </w:r>
      <w:r>
        <w:rPr>
          <w:rFonts w:ascii="Arial" w:cs="Arial" w:eastAsia="Arial" w:hAnsi="Arial"/>
          <w:sz w:val="18"/>
          <w:szCs w:val="18"/>
          <w:color w:val="auto"/>
        </w:rPr>
        <w:t>. Except as would not, individually or in the aggregate, reasonably be expected to result in a Material Adverse Effect, the Company and its subsidiaries have paid all federal, state, local and foreign taxes and filed all tax returns required to be paid or filed through the date hereof; and except as otherwise disclosed in the Prospectus, there is no tax deficiency that has been, or could reasonably be expected to be, asserted against the Company or any of the Company’s subsidiaries or any of their respective properties or assets except which, individually or in the aggregate, could not reasonably be expected to have a Material Adverse Effect.</w:t>
      </w:r>
    </w:p>
    <w:p>
      <w:pPr>
        <w:spacing w:after="0" w:line="187" w:lineRule="exact"/>
        <w:rPr>
          <w:rFonts w:ascii="Arial" w:cs="Arial" w:eastAsia="Arial" w:hAnsi="Arial"/>
          <w:sz w:val="18"/>
          <w:szCs w:val="18"/>
          <w:color w:val="auto"/>
        </w:rPr>
      </w:pPr>
    </w:p>
    <w:p>
      <w:pPr>
        <w:ind w:left="-20" w:firstLine="656"/>
        <w:spacing w:after="0" w:line="308" w:lineRule="auto"/>
        <w:tabs>
          <w:tab w:leader="none" w:pos="175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Company Not an “Investment Company.”</w:t>
      </w:r>
      <w:r>
        <w:rPr>
          <w:rFonts w:ascii="Arial" w:cs="Arial" w:eastAsia="Arial" w:hAnsi="Arial"/>
          <w:sz w:val="17"/>
          <w:szCs w:val="17"/>
          <w:color w:val="auto"/>
        </w:rPr>
        <w:t xml:space="preserve"> The Company is not an “investment company” within the meaning of the Investment Company Act of 1940, as amended, and the rules and regulations of the Commission thereunder (collectively,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20" w:firstLine="656"/>
        <w:spacing w:after="0" w:line="293" w:lineRule="auto"/>
        <w:tabs>
          <w:tab w:leader="none" w:pos="159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Company’s subsidiaries have insurance in amounts and against such losses and risks as such party believes to be customary for companies engaged in similar business in similar industries and markets; and neither the Company nor any of the Company’s subsidiaries has (1) received written notice from any insurer or agent of such insurer that capital improvements or other expenditures are required or necessary to be made in order to continue such insurance or (2) any reason to believe that it will not be able to renew its existing insurance coverage as and when such coverage expires or to obtain similar coverage from similar insurers as may be reasonably necessary to continue its business as described in the Prospectus and at a cost that could not, individually or in the aggregate, reasonably be expected to have a Material Adverse Effect.</w:t>
      </w:r>
    </w:p>
    <w:p>
      <w:pPr>
        <w:spacing w:after="0" w:line="164" w:lineRule="exact"/>
        <w:rPr>
          <w:sz w:val="20"/>
          <w:szCs w:val="20"/>
          <w:color w:val="auto"/>
        </w:rPr>
      </w:pPr>
    </w:p>
    <w:p>
      <w:pPr>
        <w:jc w:val="both"/>
        <w:ind w:left="-20" w:firstLine="656"/>
        <w:spacing w:after="0" w:line="257" w:lineRule="auto"/>
        <w:tabs>
          <w:tab w:leader="none" w:pos="155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Price Stabilization or Manipulation; Compliance with Regulation M</w:t>
      </w:r>
      <w:r>
        <w:rPr>
          <w:rFonts w:ascii="Arial" w:cs="Arial" w:eastAsia="Arial" w:hAnsi="Arial"/>
          <w:sz w:val="18"/>
          <w:szCs w:val="18"/>
          <w:color w:val="auto"/>
        </w:rPr>
        <w:t>. Neither the Company nor any of its subsidiaries has taken, directly or indirectly, without giving effect to activities by the Agent, any action designed to or that might be reasonably expected to cause or result in stabilization or manipulation of the price of the Common Shares or of any “reference security” (as defined in Rule 100 of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with respect to the Common Shares, whether to facilitate the sale or resale of the Shares or otherwise, and has taken no action which would directly or indirectly violate Regulation M.</w:t>
      </w:r>
    </w:p>
    <w:p>
      <w:pPr>
        <w:spacing w:after="0" w:line="187" w:lineRule="exact"/>
        <w:rPr>
          <w:rFonts w:ascii="Arial" w:cs="Arial" w:eastAsia="Arial" w:hAnsi="Arial"/>
          <w:sz w:val="18"/>
          <w:szCs w:val="18"/>
          <w:color w:val="auto"/>
        </w:rPr>
      </w:pPr>
    </w:p>
    <w:p>
      <w:pPr>
        <w:ind w:left="-20" w:firstLine="656"/>
        <w:spacing w:after="0" w:line="342" w:lineRule="auto"/>
        <w:tabs>
          <w:tab w:leader="none" w:pos="162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23" w:lineRule="exact"/>
        <w:rPr>
          <w:rFonts w:ascii="Arial" w:cs="Arial" w:eastAsia="Arial" w:hAnsi="Arial"/>
          <w:sz w:val="16"/>
          <w:szCs w:val="16"/>
          <w:color w:val="auto"/>
        </w:rPr>
      </w:pPr>
    </w:p>
    <w:p>
      <w:pPr>
        <w:jc w:val="both"/>
        <w:ind w:left="-20" w:firstLine="656"/>
        <w:spacing w:after="0" w:line="259" w:lineRule="auto"/>
        <w:tabs>
          <w:tab w:leader="none" w:pos="148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All of the information provided to the Agent or to counsel for the Agent by the Company, its counsel, its officers and directors and the holders of any securities (debt or equity) or options to acquire any securities of the Company in connection with letters, filings or other supplemental information provided to FINRA pursuant to FINRA Rules is true, complete and correct in all material respects. The Company meets the requirements for use of Form S-3 under the Securities Act specified in FINRA Rule 5110(b)(7)(C)(i).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 w:name="page16"/>
    <w:bookmarkEnd w:id="15"/>
    <w:p>
      <w:pPr>
        <w:jc w:val="both"/>
        <w:ind w:left="-8" w:firstLine="656"/>
        <w:spacing w:after="0" w:line="259" w:lineRule="auto"/>
        <w:tabs>
          <w:tab w:leader="none" w:pos="154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No Unlawful Contributions or Other Payments</w:t>
      </w:r>
      <w:r>
        <w:rPr>
          <w:rFonts w:ascii="Arial" w:cs="Arial" w:eastAsia="Arial" w:hAnsi="Arial"/>
          <w:sz w:val="18"/>
          <w:szCs w:val="18"/>
          <w:color w:val="auto"/>
        </w:rPr>
        <w:t>. Except as otherwise disclosed in the Prospectus, neither the Company nor any of its subsidiaries nor, to the Company’s knowledge, any employee or agent of the Company or any of its subsidiaries, has made any contribution or other payment to any official of, or candidate for, any federal, state or foreign office in violation of any law or of the character required to be disclosed in the Registration Statement and the Prospectus.</w:t>
      </w:r>
    </w:p>
    <w:p>
      <w:pPr>
        <w:spacing w:after="0" w:line="186" w:lineRule="exact"/>
        <w:rPr>
          <w:rFonts w:ascii="Arial" w:cs="Arial" w:eastAsia="Arial" w:hAnsi="Arial"/>
          <w:sz w:val="18"/>
          <w:szCs w:val="18"/>
          <w:color w:val="auto"/>
        </w:rPr>
      </w:pPr>
    </w:p>
    <w:p>
      <w:pPr>
        <w:jc w:val="both"/>
        <w:ind w:left="-8" w:firstLine="656"/>
        <w:spacing w:after="0" w:line="284" w:lineRule="auto"/>
        <w:tabs>
          <w:tab w:leader="none" w:pos="1675"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(1) The Company and the Company’s subsidiaries (x) are, and at all prior times were, in compliance with any and all applicable federal, state, local and foreign laws, rules, regulations, requirements, decisions and orders relating to the protection of human health or safety, the environment, natural resources, hazardous or toxic substances or wastes, pollutants or contaminants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(y) have received and are in compliance with all permits, licenses, certificates or other authorizations or approvals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(2) there are no costs or liabilities associated with Environmental Laws of or relating to the Company or the Company’s subsidiaries, except in the case of each of</w:t>
      </w:r>
    </w:p>
    <w:p>
      <w:pPr>
        <w:jc w:val="both"/>
        <w:ind w:left="-8" w:firstLine="8"/>
        <w:spacing w:after="0" w:line="252" w:lineRule="auto"/>
        <w:tabs>
          <w:tab w:leader="none" w:pos="2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and (2) above, for any such failure to comply, or failure to receive required permits, licenses or approvals, or cost or liability, as could not, individually or in the aggregate, reasonably be expected to have a Material Adverse Effect; and (3) except as described in the Prospectus, (x) there are no proceedings that are pending, or that are known to be contemplated, against the Company or any of the Company’s subsidiaries under any Environmental Laws in which a governmental entity is also a party, other than such proceedings regarding which it is reasonably believed no monetary sanctions of $100,000 or more will be imposed and (y) none of the Company or the Company’s subsidiaries anticipates material capital expenditures relating to any Environmental Laws.</w:t>
      </w:r>
    </w:p>
    <w:p>
      <w:pPr>
        <w:spacing w:after="0" w:line="193" w:lineRule="exact"/>
        <w:rPr>
          <w:rFonts w:ascii="Arial" w:cs="Arial" w:eastAsia="Arial" w:hAnsi="Arial"/>
          <w:sz w:val="18"/>
          <w:szCs w:val="18"/>
          <w:color w:val="auto"/>
        </w:rPr>
      </w:pPr>
    </w:p>
    <w:p>
      <w:pPr>
        <w:jc w:val="both"/>
        <w:ind w:left="-8" w:firstLine="656"/>
        <w:spacing w:after="0" w:line="286" w:lineRule="auto"/>
        <w:tabs>
          <w:tab w:leader="none" w:pos="1628"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ERISA Compliance</w:t>
      </w:r>
      <w:r>
        <w:rPr>
          <w:rFonts w:ascii="Arial" w:cs="Arial" w:eastAsia="Arial" w:hAnsi="Arial"/>
          <w:sz w:val="16"/>
          <w:szCs w:val="16"/>
          <w:color w:val="auto"/>
        </w:rPr>
        <w:t>. Each employee benefit plan, within the meaning of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in all material respects with its terms and the requirements of any applicable statutes, orders, rules and regulations, including but not limited to ERISA and the Code; (2) no prohibited transaction, within the meaning of Section 406 of ERISA or Section 4975 of the Code, has occurred with respect to any Plan excluding transactions effected pursuant to a statutory or administrative exemption; (3) for each Plan that is subject to the funding rules of Section 412 of the Code or Section 302 of ERISA, no “accumulated funding deficiency” as defined in Section 412 of the Code, whether or not waived, has occurred or is reasonably expected to occur; (4) for each Plan that is subject to the funding rules of ERISA or the Code, the fair market value of the assets of each such Plan is not less than the present value of all benefits accrued under such Plan (determined based on those assumptions used to fund such Plan); (5) no “reportable event” (within the meaning of Section 4043(c) of ERISA) has occurred or is reasonably expected to occur; and (vi) neither the Company nor any member of the Controlled Group has incurred, nor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6" w:name="page17"/>
    <w:bookmarkEnd w:id="16"/>
    <w:p>
      <w:pPr>
        <w:jc w:val="both"/>
        <w:ind w:left="-8" w:firstLine="656"/>
        <w:spacing w:after="0" w:line="263" w:lineRule="auto"/>
        <w:tabs>
          <w:tab w:leader="none" w:pos="1488"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Neither the Company nor any of the Company’s subsidiaries is a party to any contract, agreement or understanding with any person (other than this Agreement) that would give rise to a valid claim against any of them or the Agent for a brokerage commission, finder’s fee or like payment in connection with the offering and sale of the Shares.</w:t>
      </w:r>
    </w:p>
    <w:p>
      <w:pPr>
        <w:spacing w:after="0" w:line="183" w:lineRule="exact"/>
        <w:rPr>
          <w:rFonts w:ascii="Arial" w:cs="Arial" w:eastAsia="Arial" w:hAnsi="Arial"/>
          <w:sz w:val="18"/>
          <w:szCs w:val="18"/>
          <w:color w:val="auto"/>
        </w:rPr>
      </w:pPr>
    </w:p>
    <w:p>
      <w:pPr>
        <w:jc w:val="both"/>
        <w:ind w:left="-8" w:firstLine="656"/>
        <w:spacing w:after="0" w:line="263" w:lineRule="auto"/>
        <w:tabs>
          <w:tab w:leader="none" w:pos="1448"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No Outstanding Loans or Other Extensions of Credit</w:t>
      </w:r>
      <w:r>
        <w:rPr>
          <w:rFonts w:ascii="Arial" w:cs="Arial" w:eastAsia="Arial" w:hAnsi="Arial"/>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83" w:lineRule="exact"/>
        <w:rPr>
          <w:rFonts w:ascii="Arial" w:cs="Arial" w:eastAsia="Arial" w:hAnsi="Arial"/>
          <w:sz w:val="18"/>
          <w:szCs w:val="18"/>
          <w:color w:val="auto"/>
        </w:rPr>
      </w:pPr>
    </w:p>
    <w:p>
      <w:pPr>
        <w:ind w:left="-8" w:right="20" w:firstLine="656"/>
        <w:spacing w:after="0" w:line="308" w:lineRule="auto"/>
        <w:tabs>
          <w:tab w:leader="none" w:pos="1759"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Company and its subsidiaries have been and are in compliance with all applicable laws, rules and regulations, where failure to be so in compliance could not be expected, individually or in the aggregate, to result in a Material Adverse Effect.</w:t>
      </w:r>
    </w:p>
    <w:p>
      <w:pPr>
        <w:spacing w:after="0" w:line="146" w:lineRule="exact"/>
        <w:rPr>
          <w:rFonts w:ascii="Arial" w:cs="Arial" w:eastAsia="Arial" w:hAnsi="Arial"/>
          <w:sz w:val="17"/>
          <w:szCs w:val="17"/>
          <w:color w:val="auto"/>
        </w:rPr>
      </w:pPr>
    </w:p>
    <w:p>
      <w:pPr>
        <w:jc w:val="both"/>
        <w:ind w:left="-8" w:firstLine="656"/>
        <w:spacing w:after="0" w:line="301" w:lineRule="auto"/>
        <w:tabs>
          <w:tab w:leader="none" w:pos="1854"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Dividend Restrictions</w:t>
      </w:r>
      <w:r>
        <w:rPr>
          <w:rFonts w:ascii="Arial" w:cs="Arial" w:eastAsia="Arial" w:hAnsi="Arial"/>
          <w:sz w:val="16"/>
          <w:szCs w:val="16"/>
          <w:color w:val="auto"/>
        </w:rPr>
        <w:t>. Except as described in or contemplated by the Prospectus,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153" w:lineRule="exact"/>
        <w:rPr>
          <w:rFonts w:ascii="Arial" w:cs="Arial" w:eastAsia="Arial" w:hAnsi="Arial"/>
          <w:sz w:val="16"/>
          <w:szCs w:val="16"/>
          <w:color w:val="auto"/>
        </w:rPr>
      </w:pPr>
    </w:p>
    <w:p>
      <w:pPr>
        <w:jc w:val="both"/>
        <w:ind w:left="-8" w:firstLine="656"/>
        <w:spacing w:after="0" w:line="285" w:lineRule="auto"/>
        <w:tabs>
          <w:tab w:leader="none" w:pos="1529"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Anti-Corruption and Anti-Bribery Laws</w:t>
      </w:r>
      <w:r>
        <w:rPr>
          <w:rFonts w:ascii="Arial" w:cs="Arial" w:eastAsia="Arial" w:hAnsi="Arial"/>
          <w:sz w:val="16"/>
          <w:szCs w:val="16"/>
          <w:b w:val="1"/>
          <w:bCs w:val="1"/>
          <w:color w:val="auto"/>
        </w:rPr>
        <w:t>.</w:t>
      </w:r>
      <w:r>
        <w:rPr>
          <w:rFonts w:ascii="Arial" w:cs="Arial" w:eastAsia="Arial" w:hAnsi="Arial"/>
          <w:sz w:val="16"/>
          <w:szCs w:val="16"/>
          <w:color w:val="auto"/>
        </w:rPr>
        <w:t xml:space="preserve"> Neither the Company nor any of its subsidiaries nor to the knowledge of the Company, any director, officer, or employee of the Company or any of its subsidiaries, or any agent or affiliate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the UK Bribery Act 2010, or any other applicable anti-bribery or anti-corruption law; or</w:t>
      </w:r>
    </w:p>
    <w:p>
      <w:pPr>
        <w:jc w:val="both"/>
        <w:ind w:left="-8" w:firstLine="8"/>
        <w:spacing w:after="0" w:line="25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92" w:lineRule="exact"/>
        <w:rPr>
          <w:rFonts w:ascii="Arial" w:cs="Arial" w:eastAsia="Arial" w:hAnsi="Arial"/>
          <w:sz w:val="18"/>
          <w:szCs w:val="18"/>
          <w:color w:val="auto"/>
        </w:rPr>
      </w:pPr>
    </w:p>
    <w:p>
      <w:pPr>
        <w:jc w:val="both"/>
        <w:ind w:left="-8" w:firstLine="656"/>
        <w:spacing w:after="0" w:line="273" w:lineRule="auto"/>
        <w:tabs>
          <w:tab w:leader="none" w:pos="1489"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 w:name="page18"/>
    <w:bookmarkEnd w:id="17"/>
    <w:p>
      <w:pPr>
        <w:jc w:val="both"/>
        <w:ind w:left="-8" w:firstLine="656"/>
        <w:spacing w:after="0" w:line="269" w:lineRule="auto"/>
        <w:tabs>
          <w:tab w:leader="none" w:pos="1391"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Sanctions.</w:t>
      </w:r>
      <w:r>
        <w:rPr>
          <w:rFonts w:ascii="Arial" w:cs="Arial" w:eastAsia="Arial" w:hAnsi="Arial"/>
          <w:sz w:val="17"/>
          <w:szCs w:val="17"/>
          <w:color w:val="auto"/>
        </w:rPr>
        <w:t xml:space="preserve"> Neither the Company nor any of its subsidiaries, nor to the knowledge of the Company, any directors officers, employees, agent or affiliate of the Company or any of its subsidiaries is currently the subject or the target of any U.S. sanctions administered by the Office of Foreign Assets Control of the U.S.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or the U.S. Department of State, the United Nations Security Council, the European Union, Her Majesty’s Treasury of the United Kingdom,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78" w:lineRule="exact"/>
        <w:rPr>
          <w:rFonts w:ascii="Arial" w:cs="Arial" w:eastAsia="Arial" w:hAnsi="Arial"/>
          <w:sz w:val="17"/>
          <w:szCs w:val="17"/>
          <w:color w:val="auto"/>
        </w:rPr>
      </w:pPr>
    </w:p>
    <w:p>
      <w:pPr>
        <w:jc w:val="both"/>
        <w:ind w:left="-8" w:firstLine="656"/>
        <w:spacing w:after="0" w:line="263" w:lineRule="auto"/>
        <w:tabs>
          <w:tab w:leader="none" w:pos="151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To the Company’s knowledge, there is and has been no failure on the part of the Company or any of its directors or officers, in their capacities as such, to comply with any provision of the Sarbanes-Oxley Act of 2002 and the rules and regulations promulgated in connection therewith, including Section 402 related to loans and Sections 302 and 906 related to certifications.</w:t>
      </w:r>
    </w:p>
    <w:p>
      <w:pPr>
        <w:spacing w:after="0" w:line="183" w:lineRule="exact"/>
        <w:rPr>
          <w:rFonts w:ascii="Arial" w:cs="Arial" w:eastAsia="Arial" w:hAnsi="Arial"/>
          <w:sz w:val="18"/>
          <w:szCs w:val="18"/>
          <w:color w:val="auto"/>
        </w:rPr>
      </w:pPr>
    </w:p>
    <w:p>
      <w:pPr>
        <w:jc w:val="both"/>
        <w:ind w:left="-8" w:firstLine="656"/>
        <w:spacing w:after="0" w:line="286" w:lineRule="auto"/>
        <w:tabs>
          <w:tab w:leader="none" w:pos="1547"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Duties, Transfer Taxes, Etc</w:t>
      </w:r>
      <w:r>
        <w:rPr>
          <w:rFonts w:ascii="Arial" w:cs="Arial" w:eastAsia="Arial" w:hAnsi="Arial"/>
          <w:sz w:val="17"/>
          <w:szCs w:val="17"/>
          <w:color w:val="auto"/>
        </w:rPr>
        <w:t>. No stamp or other issuance or transfer taxes or duties and no capital gains, income, withholding or other taxes are payable by or on behalf of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65" w:lineRule="exact"/>
        <w:rPr>
          <w:rFonts w:ascii="Arial" w:cs="Arial" w:eastAsia="Arial" w:hAnsi="Arial"/>
          <w:sz w:val="17"/>
          <w:szCs w:val="17"/>
          <w:color w:val="auto"/>
        </w:rPr>
      </w:pPr>
    </w:p>
    <w:p>
      <w:pPr>
        <w:jc w:val="both"/>
        <w:ind w:left="-8" w:firstLine="656"/>
        <w:spacing w:after="0" w:line="283" w:lineRule="auto"/>
        <w:tabs>
          <w:tab w:leader="none" w:pos="1691"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The Company and its subsidiaries’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and, to the knowledge of the Company, is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Arial" w:cs="Arial" w:eastAsia="Arial" w:hAnsi="Arial"/>
          <w:sz w:val="16"/>
          <w:szCs w:val="16"/>
          <w:b w:val="1"/>
          <w:bCs w:val="1"/>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6"/>
          <w:szCs w:val="16"/>
          <w:b w:val="1"/>
          <w:bCs w:val="1"/>
          <w:color w:val="auto"/>
        </w:rPr>
        <w:t>HIPAA”</w:t>
      </w:r>
      <w:r>
        <w:rPr>
          <w:rFonts w:ascii="Arial" w:cs="Arial" w:eastAsia="Arial" w:hAnsi="Arial"/>
          <w:sz w:val="16"/>
          <w:szCs w:val="16"/>
          <w:color w:val="auto"/>
        </w:rPr>
        <w:t>); and</w:t>
      </w:r>
    </w:p>
    <w:p>
      <w:pPr>
        <w:spacing w:after="0" w:line="3" w:lineRule="exact"/>
        <w:rPr>
          <w:rFonts w:ascii="Arial" w:cs="Arial" w:eastAsia="Arial" w:hAnsi="Arial"/>
          <w:sz w:val="16"/>
          <w:szCs w:val="16"/>
          <w:color w:val="auto"/>
        </w:rPr>
      </w:pPr>
    </w:p>
    <w:p>
      <w:pPr>
        <w:jc w:val="both"/>
        <w:ind w:left="-8" w:firstLine="8"/>
        <w:spacing w:after="0" w:line="288" w:lineRule="auto"/>
        <w:tabs>
          <w:tab w:leader="none" w:pos="2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as would not, individually or in the aggregate, be reasonably expected to have a Material Adverse Effect.</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8" w:name="page19"/>
    <w:bookmarkEnd w:id="18"/>
    <w:p>
      <w:pPr>
        <w:jc w:val="both"/>
        <w:ind w:left="-20" w:firstLine="656"/>
        <w:spacing w:after="0" w:line="269" w:lineRule="auto"/>
        <w:tabs>
          <w:tab w:leader="none" w:pos="107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Compliance with Data Privacy Laws</w:t>
      </w:r>
      <w:r>
        <w:rPr>
          <w:rFonts w:ascii="Arial" w:cs="Arial" w:eastAsia="Arial" w:hAnsi="Arial"/>
          <w:sz w:val="17"/>
          <w:szCs w:val="17"/>
          <w:color w:val="auto"/>
        </w:rPr>
        <w:t>. Except as would not individually or in the aggregate reasonably be expected to have a Material Adverse Effect, the Company and its subsidiaries are, and at all prior times were, in compliance with all applicable state and federal data privacy and security laws and regulations, including without limitation HIPAA, and the Company (collectively, the “</w:t>
      </w:r>
      <w:r>
        <w:rPr>
          <w:rFonts w:ascii="Arial" w:cs="Arial" w:eastAsia="Arial" w:hAnsi="Arial"/>
          <w:sz w:val="17"/>
          <w:szCs w:val="17"/>
          <w:b w:val="1"/>
          <w:bCs w:val="1"/>
          <w:color w:val="auto"/>
        </w:rPr>
        <w:t>Privacy Laws</w:t>
      </w:r>
      <w:r>
        <w:rPr>
          <w:rFonts w:ascii="Arial" w:cs="Arial" w:eastAsia="Arial" w:hAnsi="Arial"/>
          <w:sz w:val="17"/>
          <w:szCs w:val="17"/>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7"/>
          <w:szCs w:val="17"/>
          <w:b w:val="1"/>
          <w:bCs w:val="1"/>
          <w:color w:val="auto"/>
        </w:rPr>
        <w:t>Policies</w:t>
      </w:r>
      <w:r>
        <w:rPr>
          <w:rFonts w:ascii="Arial" w:cs="Arial" w:eastAsia="Arial" w:hAnsi="Arial"/>
          <w:sz w:val="17"/>
          <w:szCs w:val="17"/>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Neither the Company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78" w:lineRule="exact"/>
        <w:rPr>
          <w:rFonts w:ascii="Arial" w:cs="Arial" w:eastAsia="Arial" w:hAnsi="Arial"/>
          <w:sz w:val="17"/>
          <w:szCs w:val="17"/>
          <w:color w:val="auto"/>
        </w:rPr>
      </w:pPr>
    </w:p>
    <w:p>
      <w:pPr>
        <w:jc w:val="both"/>
        <w:ind w:left="-20" w:firstLine="656"/>
        <w:spacing w:after="0" w:line="263" w:lineRule="auto"/>
        <w:tabs>
          <w:tab w:leader="none" w:pos="104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Forward-Looking Statement</w:t>
      </w:r>
      <w:r>
        <w:rPr>
          <w:rFonts w:ascii="Arial" w:cs="Arial" w:eastAsia="Arial" w:hAnsi="Arial"/>
          <w:sz w:val="18"/>
          <w:szCs w:val="18"/>
          <w:color w:val="auto"/>
        </w:rPr>
        <w:t>. No forward-looking statement (within the meaning of Section 27A of the Act and Section 21E of the Exchange Act) included in any of the Registration Statement or the Prospectus has been made or reaffirmed without a reasonable basis or has been disclosed other than in good faith;</w:t>
      </w:r>
    </w:p>
    <w:p>
      <w:pPr>
        <w:spacing w:after="0" w:line="183" w:lineRule="exact"/>
        <w:rPr>
          <w:rFonts w:ascii="Arial" w:cs="Arial" w:eastAsia="Arial" w:hAnsi="Arial"/>
          <w:sz w:val="18"/>
          <w:szCs w:val="18"/>
          <w:color w:val="auto"/>
        </w:rPr>
      </w:pPr>
    </w:p>
    <w:p>
      <w:pPr>
        <w:jc w:val="both"/>
        <w:ind w:left="-20" w:firstLine="656"/>
        <w:spacing w:after="0" w:line="279" w:lineRule="auto"/>
        <w:tabs>
          <w:tab w:leader="none" w:pos="102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 Labor Dispute</w:t>
      </w:r>
      <w:r>
        <w:rPr>
          <w:rFonts w:ascii="Arial" w:cs="Arial" w:eastAsia="Arial" w:hAnsi="Arial"/>
          <w:sz w:val="17"/>
          <w:szCs w:val="17"/>
          <w:color w:val="auto"/>
        </w:rPr>
        <w:t>. No labor disturbance by or dispute with employees of the Company or any of the Company’s subsidiaries exists or, to the best knowledge (without having undertaken any independent inquiry) of the Company, is contemplated or to the best knowledge of the Company, is threatened and the Company is not aware of any existing or imminent labor disturbance by, or dispute with, the employees of any of the Company’s or any of the Company’s subsidiaries’ principal suppliers, contractors or customers, except as would not have a Material Adverse Effect.</w:t>
      </w:r>
    </w:p>
    <w:p>
      <w:pPr>
        <w:spacing w:after="0" w:line="171" w:lineRule="exact"/>
        <w:rPr>
          <w:rFonts w:ascii="Arial" w:cs="Arial" w:eastAsia="Arial" w:hAnsi="Arial"/>
          <w:sz w:val="17"/>
          <w:szCs w:val="17"/>
          <w:color w:val="auto"/>
        </w:rPr>
      </w:pPr>
    </w:p>
    <w:p>
      <w:pPr>
        <w:jc w:val="both"/>
        <w:ind w:left="-20" w:firstLine="656"/>
        <w:spacing w:after="0" w:line="263" w:lineRule="auto"/>
        <w:tabs>
          <w:tab w:leader="none" w:pos="104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Board of Governors</w:t>
      </w:r>
      <w:r>
        <w:rPr>
          <w:rFonts w:ascii="Arial" w:cs="Arial" w:eastAsia="Arial" w:hAnsi="Arial"/>
          <w:sz w:val="18"/>
          <w:szCs w:val="18"/>
          <w:color w:val="auto"/>
        </w:rPr>
        <w:t>. Neither the sale and delivery of the Shares nor the application of the proceeds thereof by the Company as described in the Prospectus will violate Regulation T, U or X of the Board of Governors of the Federal Reserve System or any other regulation of such Board of Governors.</w:t>
      </w:r>
    </w:p>
    <w:p>
      <w:pPr>
        <w:spacing w:after="0" w:line="183" w:lineRule="exact"/>
        <w:rPr>
          <w:rFonts w:ascii="Arial" w:cs="Arial" w:eastAsia="Arial" w:hAnsi="Arial"/>
          <w:sz w:val="18"/>
          <w:szCs w:val="18"/>
          <w:color w:val="auto"/>
        </w:rPr>
      </w:pPr>
    </w:p>
    <w:p>
      <w:pPr>
        <w:ind w:left="-20" w:firstLine="656"/>
        <w:spacing w:after="0" w:line="277" w:lineRule="auto"/>
        <w:tabs>
          <w:tab w:leader="none" w:pos="101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Description of the Capital Stock.</w:t>
      </w:r>
      <w:r>
        <w:rPr>
          <w:rFonts w:ascii="Arial" w:cs="Arial" w:eastAsia="Arial" w:hAnsi="Arial"/>
          <w:sz w:val="18"/>
          <w:szCs w:val="18"/>
          <w:color w:val="auto"/>
        </w:rPr>
        <w:t xml:space="preserve"> The statements set forth in the Registration Statement and Prospectus under the caption “Description of the Capital Stock”, insofar as they purport to constitute a summary of the terms of the Shares, are accurate, complete and fair.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9" w:name="page20"/>
    <w:bookmarkEnd w:id="19"/>
    <w:p>
      <w:pPr>
        <w:ind w:right="20" w:firstLine="656"/>
        <w:spacing w:after="0" w:line="277" w:lineRule="auto"/>
        <w:tabs>
          <w:tab w:leader="none" w:pos="107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229" w:lineRule="exact"/>
        <w:rPr>
          <w:sz w:val="20"/>
          <w:szCs w:val="20"/>
          <w:color w:val="auto"/>
        </w:rPr>
      </w:pPr>
    </w:p>
    <w:p>
      <w:pPr>
        <w:jc w:val="both"/>
        <w:ind w:firstLine="656"/>
        <w:spacing w:after="0" w:line="259" w:lineRule="auto"/>
        <w:tabs>
          <w:tab w:leader="none" w:pos="111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6" w:lineRule="exact"/>
        <w:rPr>
          <w:rFonts w:ascii="Arial" w:cs="Arial" w:eastAsia="Arial" w:hAnsi="Arial"/>
          <w:sz w:val="18"/>
          <w:szCs w:val="18"/>
          <w:color w:val="auto"/>
        </w:rPr>
      </w:pPr>
    </w:p>
    <w:p>
      <w:pPr>
        <w:ind w:left="1100" w:hanging="444"/>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1523"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describing the proposed issuance and sale of Shares;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in no event may the Company deliver an Issuance Notice to the extent that (I) the sum of (x) the aggregate Sales Price of the requested Issuance Amount, plus</w:t>
      </w:r>
    </w:p>
    <w:p>
      <w:pPr>
        <w:spacing w:after="0" w:line="1" w:lineRule="exact"/>
        <w:rPr>
          <w:rFonts w:ascii="Arial" w:cs="Arial" w:eastAsia="Arial" w:hAnsi="Arial"/>
          <w:sz w:val="16"/>
          <w:szCs w:val="16"/>
          <w:color w:val="auto"/>
        </w:rPr>
      </w:pPr>
    </w:p>
    <w:p>
      <w:pPr>
        <w:jc w:val="both"/>
        <w:ind w:left="660" w:hanging="4"/>
        <w:spacing w:after="0" w:line="292" w:lineRule="auto"/>
        <w:tabs>
          <w:tab w:leader="none" w:pos="93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by the Agent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62" w:lineRule="exact"/>
        <w:rPr>
          <w:sz w:val="20"/>
          <w:szCs w:val="20"/>
          <w:color w:val="auto"/>
        </w:rPr>
      </w:pPr>
    </w:p>
    <w:p>
      <w:pPr>
        <w:jc w:val="both"/>
        <w:ind w:left="660" w:firstLine="644"/>
        <w:spacing w:after="0" w:line="255" w:lineRule="auto"/>
        <w:tabs>
          <w:tab w:leader="none" w:pos="189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Agent Efforts</w:t>
      </w:r>
      <w:r>
        <w:rPr>
          <w:rFonts w:ascii="Arial" w:cs="Arial" w:eastAsia="Arial" w:hAnsi="Arial"/>
          <w:sz w:val="18"/>
          <w:szCs w:val="18"/>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left="4" w:firstLine="644"/>
        <w:spacing w:after="0" w:line="255" w:lineRule="auto"/>
        <w:tabs>
          <w:tab w:leader="none" w:pos="1304"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Method of Offer and Sale</w:t>
      </w:r>
      <w:r>
        <w:rPr>
          <w:rFonts w:ascii="Arial" w:cs="Arial" w:eastAsia="Arial" w:hAnsi="Arial"/>
          <w:sz w:val="18"/>
          <w:szCs w:val="18"/>
          <w:color w:val="auto"/>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92" w:lineRule="exact"/>
        <w:rPr>
          <w:rFonts w:ascii="Arial" w:cs="Arial" w:eastAsia="Arial" w:hAnsi="Arial"/>
          <w:sz w:val="18"/>
          <w:szCs w:val="18"/>
          <w:color w:val="auto"/>
        </w:rPr>
      </w:pPr>
    </w:p>
    <w:p>
      <w:pPr>
        <w:jc w:val="both"/>
        <w:ind w:left="4" w:firstLine="644"/>
        <w:spacing w:after="0" w:line="311" w:lineRule="auto"/>
        <w:tabs>
          <w:tab w:leader="none" w:pos="1240"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Confirmation to the Company</w:t>
      </w:r>
      <w:r>
        <w:rPr>
          <w:rFonts w:ascii="Arial" w:cs="Arial" w:eastAsia="Arial" w:hAnsi="Arial"/>
          <w:sz w:val="16"/>
          <w:szCs w:val="16"/>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48" w:lineRule="exact"/>
        <w:rPr>
          <w:rFonts w:ascii="Arial" w:cs="Arial" w:eastAsia="Arial" w:hAnsi="Arial"/>
          <w:sz w:val="16"/>
          <w:szCs w:val="16"/>
          <w:color w:val="auto"/>
        </w:rPr>
      </w:pPr>
    </w:p>
    <w:p>
      <w:pPr>
        <w:jc w:val="both"/>
        <w:ind w:left="4" w:firstLine="644"/>
        <w:spacing w:after="0" w:line="254" w:lineRule="auto"/>
        <w:tabs>
          <w:tab w:leader="none" w:pos="1217"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Each issuance of Shares will be settled on the applicable Settlement Date for such issuance of Shares and, subject to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8"/>
          <w:szCs w:val="18"/>
          <w:b w:val="1"/>
          <w:bCs w:val="1"/>
          <w:color w:val="auto"/>
        </w:rPr>
        <w:t>Time of Sale</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4" w:firstLine="644"/>
        <w:spacing w:after="0" w:line="285" w:lineRule="auto"/>
        <w:tabs>
          <w:tab w:leader="none" w:pos="1254"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w:t>
      </w:r>
    </w:p>
    <w:p>
      <w:pPr>
        <w:spacing w:after="0" w:line="1" w:lineRule="exact"/>
        <w:rPr>
          <w:rFonts w:ascii="Arial" w:cs="Arial" w:eastAsia="Arial" w:hAnsi="Arial"/>
          <w:sz w:val="16"/>
          <w:szCs w:val="16"/>
          <w:color w:val="auto"/>
        </w:rPr>
      </w:pPr>
    </w:p>
    <w:p>
      <w:pPr>
        <w:jc w:val="both"/>
        <w:ind w:left="4" w:hanging="4"/>
        <w:spacing w:after="0" w:line="252" w:lineRule="auto"/>
        <w:tabs>
          <w:tab w:leader="none" w:pos="262" w:val="left"/>
        </w:tabs>
        <w:numPr>
          <w:ilvl w:val="0"/>
          <w:numId w:val="26"/>
        </w:numPr>
        <w:rPr>
          <w:rFonts w:ascii="Arial" w:cs="Arial" w:eastAsia="Arial" w:hAnsi="Arial"/>
          <w:sz w:val="18"/>
          <w:szCs w:val="18"/>
          <w:u w:val="single" w:color="auto"/>
          <w:color w:val="auto"/>
        </w:rPr>
      </w:pPr>
      <w:r>
        <w:rPr>
          <w:rFonts w:ascii="Arial" w:cs="Arial" w:eastAsia="Arial" w:hAnsi="Arial"/>
          <w:sz w:val="18"/>
          <w:szCs w:val="18"/>
          <w:color w:val="auto"/>
        </w:rPr>
        <w:t xml:space="preserve">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192" w:lineRule="exact"/>
        <w:rPr>
          <w:rFonts w:ascii="Arial" w:cs="Arial" w:eastAsia="Arial" w:hAnsi="Arial"/>
          <w:sz w:val="18"/>
          <w:szCs w:val="18"/>
          <w:u w:val="single" w:color="auto"/>
          <w:color w:val="auto"/>
        </w:rPr>
      </w:pPr>
    </w:p>
    <w:p>
      <w:pPr>
        <w:jc w:val="both"/>
        <w:ind w:left="4" w:firstLine="644"/>
        <w:spacing w:after="0" w:line="259" w:lineRule="auto"/>
        <w:tabs>
          <w:tab w:leader="none" w:pos="130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1" w:name="page22"/>
    <w:bookmarkEnd w:id="21"/>
    <w:p>
      <w:pPr>
        <w:jc w:val="both"/>
        <w:ind w:left="640" w:firstLine="644"/>
        <w:spacing w:after="0" w:line="286" w:lineRule="auto"/>
        <w:tabs>
          <w:tab w:leader="none" w:pos="2030"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Material Non-Public Information.</w:t>
      </w:r>
      <w:r>
        <w:rPr>
          <w:rFonts w:ascii="Arial" w:cs="Arial" w:eastAsia="Arial" w:hAnsi="Arial"/>
          <w:sz w:val="17"/>
          <w:szCs w:val="17"/>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or could reasonably be deemed to be, in possession of material non-public information.</w:t>
      </w:r>
    </w:p>
    <w:p>
      <w:pPr>
        <w:spacing w:after="0" w:line="165" w:lineRule="exact"/>
        <w:rPr>
          <w:rFonts w:ascii="Arial" w:cs="Arial" w:eastAsia="Arial" w:hAnsi="Arial"/>
          <w:sz w:val="17"/>
          <w:szCs w:val="17"/>
          <w:color w:val="auto"/>
        </w:rPr>
      </w:pPr>
    </w:p>
    <w:p>
      <w:pPr>
        <w:jc w:val="both"/>
        <w:ind w:left="-20" w:firstLine="656"/>
        <w:spacing w:after="0" w:line="263" w:lineRule="auto"/>
        <w:tabs>
          <w:tab w:leader="none" w:pos="169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183" w:lineRule="exact"/>
        <w:rPr>
          <w:rFonts w:ascii="Arial" w:cs="Arial" w:eastAsia="Arial" w:hAnsi="Arial"/>
          <w:sz w:val="18"/>
          <w:szCs w:val="18"/>
          <w:color w:val="auto"/>
        </w:rPr>
      </w:pPr>
    </w:p>
    <w:p>
      <w:pPr>
        <w:jc w:val="both"/>
        <w:ind w:left="-20" w:firstLine="656"/>
        <w:spacing w:after="0" w:line="284" w:lineRule="auto"/>
        <w:tabs>
          <w:tab w:leader="none" w:pos="1688"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6"/>
          <w:szCs w:val="16"/>
          <w:b w:val="1"/>
          <w:bCs w:val="1"/>
          <w:color w:val="auto"/>
        </w:rPr>
        <w:t>Blue Sky Survey</w:t>
      </w:r>
      <w:r>
        <w:rPr>
          <w:rFonts w:ascii="Arial" w:cs="Arial" w:eastAsia="Arial" w:hAnsi="Arial"/>
          <w:sz w:val="16"/>
          <w:szCs w:val="16"/>
          <w:color w:val="auto"/>
        </w:rPr>
        <w:t xml:space="preserve">” or memorandum and a “Canadian wrapper” and any supplements thereto, advising the Agent of such qualifications, registrations, determinations and exemptions; (vii) the reasonable and documented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$50,000 in connection with the first Issuance Notice and (B) $15,000 in connection with each Triggering Event Date on which the Company is required to provide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2" w:name="page23"/>
    <w:bookmarkEnd w:id="22"/>
    <w:p>
      <w:pPr>
        <w:ind w:left="972"/>
        <w:spacing w:after="0"/>
        <w:rPr>
          <w:sz w:val="20"/>
          <w:szCs w:val="20"/>
          <w:color w:val="auto"/>
        </w:rPr>
      </w:pPr>
      <w:r>
        <w:rPr>
          <w:rFonts w:ascii="Arial" w:cs="Arial" w:eastAsia="Arial" w:hAnsi="Arial"/>
          <w:sz w:val="18"/>
          <w:szCs w:val="18"/>
          <w:b w:val="1"/>
          <w:bCs w:val="1"/>
          <w:color w:val="auto"/>
        </w:rPr>
        <w:t>Section 4. ADDITIONAL COVENANTS</w:t>
      </w:r>
    </w:p>
    <w:p>
      <w:pPr>
        <w:spacing w:after="0" w:line="229"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The Company covenants and agrees with the Agent as follows, in addition to any other covenants and agreements made elsewhere in this</w:t>
      </w:r>
    </w:p>
    <w:p>
      <w:pPr>
        <w:spacing w:after="0" w:line="4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left="-8" w:firstLine="656"/>
        <w:spacing w:after="0" w:line="286" w:lineRule="auto"/>
        <w:tabs>
          <w:tab w:leader="none" w:pos="1568"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w:t>
      </w:r>
    </w:p>
    <w:p>
      <w:pPr>
        <w:spacing w:after="0" w:line="1" w:lineRule="exact"/>
        <w:rPr>
          <w:rFonts w:ascii="Arial" w:cs="Arial" w:eastAsia="Arial" w:hAnsi="Arial"/>
          <w:sz w:val="16"/>
          <w:szCs w:val="16"/>
          <w:color w:val="auto"/>
        </w:rPr>
      </w:pPr>
    </w:p>
    <w:p>
      <w:pPr>
        <w:jc w:val="both"/>
        <w:ind w:left="-8" w:firstLine="8"/>
        <w:spacing w:after="0" w:line="302" w:lineRule="auto"/>
        <w:tabs>
          <w:tab w:leader="none" w:pos="3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prepare a prospectus supplement containing, or include in such other filing permitted by the Securities Act or Exchange Act (each an “</w:t>
      </w:r>
      <w:r>
        <w:rPr>
          <w:rFonts w:ascii="Arial" w:cs="Arial" w:eastAsia="Arial" w:hAnsi="Arial"/>
          <w:sz w:val="16"/>
          <w:szCs w:val="16"/>
          <w:b w:val="1"/>
          <w:bCs w:val="1"/>
          <w:color w:val="auto"/>
        </w:rPr>
        <w:t>Interim</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 Supplement”)</w:t>
      </w:r>
      <w:r>
        <w:rPr>
          <w:rFonts w:ascii="Arial" w:cs="Arial" w:eastAsia="Arial" w:hAnsi="Arial"/>
          <w:sz w:val="16"/>
          <w:szCs w:val="16"/>
          <w:color w:val="auto"/>
        </w:rPr>
        <w:t>, such summary information and, at least once a quarter and subject to this Section 4, file such Interim Prospectus 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Rule 424(b) under the Securities Act (and within the time periods required by Rule 424(b) and Rule 430B under the Securities Act)).</w:t>
      </w:r>
    </w:p>
    <w:p>
      <w:pPr>
        <w:spacing w:after="0" w:line="155" w:lineRule="exact"/>
        <w:rPr>
          <w:rFonts w:ascii="Arial" w:cs="Arial" w:eastAsia="Arial" w:hAnsi="Arial"/>
          <w:sz w:val="16"/>
          <w:szCs w:val="16"/>
          <w:color w:val="auto"/>
        </w:rPr>
      </w:pPr>
    </w:p>
    <w:p>
      <w:pPr>
        <w:jc w:val="both"/>
        <w:ind w:left="-8" w:firstLine="656"/>
        <w:spacing w:after="0" w:line="269" w:lineRule="auto"/>
        <w:tabs>
          <w:tab w:leader="none" w:pos="174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Securities Act Compliance</w:t>
      </w:r>
      <w:r>
        <w:rPr>
          <w:rFonts w:ascii="Arial" w:cs="Arial" w:eastAsia="Arial" w:hAnsi="Arial"/>
          <w:sz w:val="17"/>
          <w:szCs w:val="17"/>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78" w:lineRule="exact"/>
        <w:rPr>
          <w:rFonts w:ascii="Arial" w:cs="Arial" w:eastAsia="Arial" w:hAnsi="Arial"/>
          <w:sz w:val="17"/>
          <w:szCs w:val="17"/>
          <w:color w:val="auto"/>
        </w:rPr>
      </w:pPr>
    </w:p>
    <w:p>
      <w:pPr>
        <w:jc w:val="both"/>
        <w:ind w:left="-8" w:firstLine="656"/>
        <w:spacing w:after="0" w:line="269" w:lineRule="auto"/>
        <w:tabs>
          <w:tab w:leader="none" w:pos="1676"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Amendments and Supplements to the Prospectus and Other Securities Act Matters</w:t>
      </w:r>
      <w:r>
        <w:rPr>
          <w:rFonts w:ascii="Arial" w:cs="Arial" w:eastAsia="Arial" w:hAnsi="Arial"/>
          <w:sz w:val="17"/>
          <w:szCs w:val="17"/>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3" w:name="page24"/>
    <w:bookmarkEnd w:id="23"/>
    <w:p>
      <w:pPr>
        <w:jc w:val="both"/>
        <w:ind w:left="-20" w:firstLine="656"/>
        <w:spacing w:after="0" w:line="293" w:lineRule="auto"/>
        <w:tabs>
          <w:tab w:leader="none" w:pos="187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Agent’s Review of Proposed Amendments and Supplements</w:t>
      </w:r>
      <w:r>
        <w:rPr>
          <w:rFonts w:ascii="Arial" w:cs="Arial" w:eastAsia="Arial" w:hAnsi="Arial"/>
          <w:sz w:val="16"/>
          <w:szCs w:val="16"/>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such consent not to be unreasonably withheld, and to file with the Commission within the applicable period specified in Rule 424(b) under the Securities Act any prospectus required to be filed pursuant to such Rule.</w:t>
      </w:r>
    </w:p>
    <w:p>
      <w:pPr>
        <w:spacing w:after="0" w:line="164" w:lineRule="exact"/>
        <w:rPr>
          <w:rFonts w:ascii="Arial" w:cs="Arial" w:eastAsia="Arial" w:hAnsi="Arial"/>
          <w:sz w:val="16"/>
          <w:szCs w:val="16"/>
          <w:color w:val="auto"/>
        </w:rPr>
      </w:pPr>
    </w:p>
    <w:p>
      <w:pPr>
        <w:jc w:val="both"/>
        <w:ind w:left="-20" w:firstLine="656"/>
        <w:spacing w:after="0" w:line="259" w:lineRule="auto"/>
        <w:tabs>
          <w:tab w:leader="none" w:pos="150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0" w:firstLine="656"/>
        <w:spacing w:after="0" w:line="285" w:lineRule="auto"/>
        <w:tabs>
          <w:tab w:leader="none" w:pos="167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such consent not to be unreasonably withheld.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such consent not to be unreasonably withheld.</w:t>
      </w:r>
    </w:p>
    <w:p>
      <w:pPr>
        <w:spacing w:after="0" w:line="176" w:lineRule="exact"/>
        <w:rPr>
          <w:rFonts w:ascii="Arial" w:cs="Arial" w:eastAsia="Arial" w:hAnsi="Arial"/>
          <w:sz w:val="16"/>
          <w:szCs w:val="16"/>
          <w:color w:val="auto"/>
        </w:rPr>
      </w:pPr>
    </w:p>
    <w:p>
      <w:pPr>
        <w:jc w:val="both"/>
        <w:ind w:left="-20" w:firstLine="656"/>
        <w:spacing w:after="0" w:line="263" w:lineRule="auto"/>
        <w:tabs>
          <w:tab w:leader="none" w:pos="15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to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4" w:name="page25"/>
    <w:bookmarkEnd w:id="24"/>
    <w:p>
      <w:pPr>
        <w:jc w:val="both"/>
        <w:ind w:left="-20" w:firstLine="656"/>
        <w:spacing w:after="0" w:line="267" w:lineRule="auto"/>
        <w:tabs>
          <w:tab w:leader="none" w:pos="158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Copies of Registration Statement and Prospectus</w:t>
      </w:r>
      <w:r>
        <w:rPr>
          <w:rFonts w:ascii="Arial" w:cs="Arial" w:eastAsia="Arial" w:hAnsi="Arial"/>
          <w:sz w:val="17"/>
          <w:szCs w:val="17"/>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91" w:lineRule="exact"/>
        <w:rPr>
          <w:rFonts w:ascii="Arial" w:cs="Arial" w:eastAsia="Arial" w:hAnsi="Arial"/>
          <w:sz w:val="17"/>
          <w:szCs w:val="17"/>
          <w:color w:val="auto"/>
        </w:rPr>
      </w:pPr>
    </w:p>
    <w:p>
      <w:pPr>
        <w:jc w:val="both"/>
        <w:ind w:left="-20" w:firstLine="656"/>
        <w:spacing w:after="0" w:line="253" w:lineRule="auto"/>
        <w:tabs>
          <w:tab w:leader="none" w:pos="167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Blue Sky Compliance</w:t>
      </w:r>
      <w:r>
        <w:rPr>
          <w:rFonts w:ascii="Arial" w:cs="Arial" w:eastAsia="Arial" w:hAnsi="Arial"/>
          <w:sz w:val="18"/>
          <w:szCs w:val="18"/>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96" w:lineRule="exact"/>
        <w:rPr>
          <w:rFonts w:ascii="Arial" w:cs="Arial" w:eastAsia="Arial" w:hAnsi="Arial"/>
          <w:sz w:val="18"/>
          <w:szCs w:val="18"/>
          <w:color w:val="auto"/>
        </w:rPr>
      </w:pPr>
    </w:p>
    <w:p>
      <w:pPr>
        <w:jc w:val="both"/>
        <w:ind w:left="-20" w:firstLine="656"/>
        <w:spacing w:after="0" w:line="311" w:lineRule="auto"/>
        <w:tabs>
          <w:tab w:leader="none" w:pos="168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5" w:name="page26"/>
    <w:bookmarkEnd w:id="25"/>
    <w:p>
      <w:pPr>
        <w:jc w:val="both"/>
        <w:ind w:left="-20" w:firstLine="656"/>
        <w:spacing w:after="0" w:line="263" w:lineRule="auto"/>
        <w:tabs>
          <w:tab w:leader="none" w:pos="152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83" w:lineRule="exact"/>
        <w:rPr>
          <w:rFonts w:ascii="Arial" w:cs="Arial" w:eastAsia="Arial" w:hAnsi="Arial"/>
          <w:sz w:val="18"/>
          <w:szCs w:val="18"/>
          <w:color w:val="auto"/>
        </w:rPr>
      </w:pPr>
    </w:p>
    <w:p>
      <w:pPr>
        <w:ind w:left="1580" w:hanging="944"/>
        <w:spacing w:after="0"/>
        <w:tabs>
          <w:tab w:leader="none" w:pos="15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jc w:val="both"/>
        <w:ind w:left="-20" w:firstLine="656"/>
        <w:spacing w:after="0" w:line="259" w:lineRule="auto"/>
        <w:tabs>
          <w:tab w:leader="none" w:pos="152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6" w:lineRule="exact"/>
        <w:rPr>
          <w:rFonts w:ascii="Arial" w:cs="Arial" w:eastAsia="Arial" w:hAnsi="Arial"/>
          <w:sz w:val="18"/>
          <w:szCs w:val="18"/>
          <w:color w:val="auto"/>
        </w:rPr>
      </w:pPr>
    </w:p>
    <w:p>
      <w:pPr>
        <w:jc w:val="both"/>
        <w:ind w:left="-20" w:firstLine="656"/>
        <w:spacing w:after="0" w:line="291" w:lineRule="auto"/>
        <w:tabs>
          <w:tab w:leader="none" w:pos="1539"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66" w:lineRule="exact"/>
        <w:rPr>
          <w:rFonts w:ascii="Arial" w:cs="Arial" w:eastAsia="Arial" w:hAnsi="Arial"/>
          <w:sz w:val="16"/>
          <w:szCs w:val="16"/>
          <w:color w:val="auto"/>
        </w:rPr>
      </w:pPr>
    </w:p>
    <w:p>
      <w:pPr>
        <w:ind w:left="-20" w:firstLine="656"/>
        <w:spacing w:after="0" w:line="277" w:lineRule="auto"/>
        <w:tabs>
          <w:tab w:leader="none" w:pos="153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170" w:lineRule="exact"/>
        <w:rPr>
          <w:rFonts w:ascii="Arial" w:cs="Arial" w:eastAsia="Arial" w:hAnsi="Arial"/>
          <w:sz w:val="18"/>
          <w:szCs w:val="18"/>
          <w:color w:val="auto"/>
        </w:rPr>
      </w:pPr>
    </w:p>
    <w:p>
      <w:pPr>
        <w:jc w:val="both"/>
        <w:ind w:left="640" w:firstLine="1292"/>
        <w:spacing w:after="0" w:line="259" w:lineRule="auto"/>
        <w:tabs>
          <w:tab w:leader="none" w:pos="255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86" w:lineRule="exact"/>
        <w:rPr>
          <w:rFonts w:ascii="Arial" w:cs="Arial" w:eastAsia="Arial" w:hAnsi="Arial"/>
          <w:sz w:val="18"/>
          <w:szCs w:val="18"/>
          <w:color w:val="auto"/>
        </w:rPr>
      </w:pPr>
    </w:p>
    <w:p>
      <w:pPr>
        <w:jc w:val="both"/>
        <w:ind w:left="640" w:firstLine="1292"/>
        <w:spacing w:after="0" w:line="263" w:lineRule="auto"/>
        <w:tabs>
          <w:tab w:leader="none" w:pos="258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83" w:lineRule="exact"/>
        <w:rPr>
          <w:rFonts w:ascii="Arial" w:cs="Arial" w:eastAsia="Arial" w:hAnsi="Arial"/>
          <w:sz w:val="18"/>
          <w:szCs w:val="18"/>
          <w:color w:val="auto"/>
        </w:rPr>
      </w:pPr>
    </w:p>
    <w:p>
      <w:pPr>
        <w:jc w:val="both"/>
        <w:ind w:left="640" w:firstLine="1292"/>
        <w:spacing w:after="0" w:line="279" w:lineRule="auto"/>
        <w:tabs>
          <w:tab w:leader="none" w:pos="2719"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6" w:name="page27"/>
    <w:bookmarkEnd w:id="26"/>
    <w:p>
      <w:pPr>
        <w:jc w:val="both"/>
        <w:ind w:left="640"/>
        <w:spacing w:after="0" w:line="286" w:lineRule="auto"/>
        <w:rPr>
          <w:sz w:val="20"/>
          <w:szCs w:val="20"/>
          <w:color w:val="auto"/>
        </w:rPr>
      </w:pPr>
      <w:r>
        <w:rPr>
          <w:rFonts w:ascii="Arial" w:cs="Arial" w:eastAsia="Arial" w:hAnsi="Arial"/>
          <w:sz w:val="16"/>
          <w:szCs w:val="16"/>
          <w:color w:val="auto"/>
        </w:rPr>
        <w:t>(any such event, a “</w:t>
      </w:r>
      <w:r>
        <w:rPr>
          <w:rFonts w:ascii="Arial" w:cs="Arial" w:eastAsia="Arial" w:hAnsi="Arial"/>
          <w:sz w:val="16"/>
          <w:szCs w:val="16"/>
          <w:b w:val="1"/>
          <w:bCs w:val="1"/>
          <w:color w:val="auto"/>
        </w:rPr>
        <w:t>Triggering Event Date</w:t>
      </w:r>
      <w:r>
        <w:rPr>
          <w:rFonts w:ascii="Arial" w:cs="Arial" w:eastAsia="Arial" w:hAnsi="Arial"/>
          <w:sz w:val="16"/>
          <w:szCs w:val="16"/>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Arial" w:cs="Arial" w:eastAsia="Arial" w:hAnsi="Arial"/>
          <w:sz w:val="16"/>
          <w:szCs w:val="16"/>
          <w:u w:val="single" w:color="auto"/>
          <w:color w:val="auto"/>
        </w:rPr>
        <w:t>Section 5(a)(iii)</w:t>
      </w:r>
      <w:r>
        <w:rPr>
          <w:rFonts w:ascii="Arial" w:cs="Arial" w:eastAsia="Arial" w:hAnsi="Arial"/>
          <w:sz w:val="16"/>
          <w:szCs w:val="16"/>
          <w:color w:val="auto"/>
        </w:rPr>
        <w:t xml:space="preserve"> hereof, and (C) containing any other certification that the Agent shall reasonably request. The requirement to provide a certificate under this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shall be automatically waived with no further action of the Agent or the Company for any Triggering Event Date occurring at a time when no Issuance Notice is pending or a suspension is in effect, which automatic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75" w:lineRule="exact"/>
        <w:rPr>
          <w:sz w:val="20"/>
          <w:szCs w:val="20"/>
          <w:color w:val="auto"/>
        </w:rPr>
      </w:pPr>
    </w:p>
    <w:p>
      <w:pPr>
        <w:jc w:val="both"/>
        <w:ind w:left="-20" w:firstLine="656"/>
        <w:spacing w:after="0" w:line="270" w:lineRule="auto"/>
        <w:tabs>
          <w:tab w:leader="none" w:pos="168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Paul, Weiss, Rifkind, Wharton &amp; Garrison LLP, counsel to the Company, and Latham &amp; Watkins LLP, counsel to the Agent,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80" w:lineRule="exact"/>
        <w:rPr>
          <w:rFonts w:ascii="Arial" w:cs="Arial" w:eastAsia="Arial" w:hAnsi="Arial"/>
          <w:sz w:val="17"/>
          <w:szCs w:val="17"/>
          <w:color w:val="auto"/>
        </w:rPr>
      </w:pPr>
    </w:p>
    <w:p>
      <w:pPr>
        <w:jc w:val="both"/>
        <w:ind w:left="-20" w:firstLine="656"/>
        <w:spacing w:after="0" w:line="288" w:lineRule="auto"/>
        <w:tabs>
          <w:tab w:leader="none" w:pos="151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Comfort Letter</w:t>
      </w:r>
      <w:r>
        <w:rPr>
          <w:rFonts w:ascii="Arial" w:cs="Arial" w:eastAsia="Arial" w:hAnsi="Arial"/>
          <w:sz w:val="16"/>
          <w:szCs w:val="16"/>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KPMG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7" w:name="page28"/>
    <w:bookmarkEnd w:id="27"/>
    <w:p>
      <w:pPr>
        <w:jc w:val="both"/>
        <w:ind w:left="-20" w:firstLine="656"/>
        <w:spacing w:after="0" w:line="254" w:lineRule="auto"/>
        <w:tabs>
          <w:tab w:leader="none" w:pos="85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date of the first Issuance Notice and on or prior to each Triggering Event Date with respect to which the Company is obligated to deliver a certificate pursuant to Section 4(o) for which no waiver is applicable,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91" w:lineRule="exact"/>
        <w:rPr>
          <w:rFonts w:ascii="Arial" w:cs="Arial" w:eastAsia="Arial" w:hAnsi="Arial"/>
          <w:sz w:val="18"/>
          <w:szCs w:val="18"/>
          <w:color w:val="auto"/>
        </w:rPr>
      </w:pPr>
    </w:p>
    <w:p>
      <w:pPr>
        <w:ind w:left="-20" w:firstLine="656"/>
        <w:spacing w:after="0" w:line="342" w:lineRule="auto"/>
        <w:tabs>
          <w:tab w:leader="none" w:pos="174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jc w:val="both"/>
        <w:ind w:left="-20" w:right="20" w:firstLine="656"/>
        <w:spacing w:after="0" w:line="342" w:lineRule="auto"/>
        <w:tabs>
          <w:tab w:leader="none" w:pos="169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23" w:lineRule="exact"/>
        <w:rPr>
          <w:rFonts w:ascii="Arial" w:cs="Arial" w:eastAsia="Arial" w:hAnsi="Arial"/>
          <w:sz w:val="16"/>
          <w:szCs w:val="16"/>
          <w:color w:val="auto"/>
        </w:rPr>
      </w:pPr>
    </w:p>
    <w:p>
      <w:pPr>
        <w:jc w:val="both"/>
        <w:ind w:left="-20" w:firstLine="656"/>
        <w:spacing w:after="0" w:line="291" w:lineRule="auto"/>
        <w:tabs>
          <w:tab w:leader="none" w:pos="160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66" w:lineRule="exact"/>
        <w:rPr>
          <w:rFonts w:ascii="Arial" w:cs="Arial" w:eastAsia="Arial" w:hAnsi="Arial"/>
          <w:sz w:val="16"/>
          <w:szCs w:val="16"/>
          <w:color w:val="auto"/>
        </w:rPr>
      </w:pPr>
    </w:p>
    <w:p>
      <w:pPr>
        <w:jc w:val="both"/>
        <w:ind w:left="-20" w:firstLine="656"/>
        <w:spacing w:after="0" w:line="286" w:lineRule="auto"/>
        <w:tabs>
          <w:tab w:leader="none" w:pos="162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Without the prior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earlier of (x) the Settlement Date with respect to Shares sold pursuant to such Issuance Notice and (y) the suspension by the Company of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or the vesting of any of the foregoing, pursuant to any employee or director share option, incentive or benefit plan, share purchase or ownership plan, long-term incentive plan, dividend reinvestment plan, inducement award under Nasdaq rules or other compensation plan of the Company or its subsidiaries, as disclosed in the Registration Statement or Prospectus and as in effect on the date of this Agreement, (ii) issuance or sale of Common Shares issuable upon exchange, conversion or redemption of securities or the exercise or vesting of warrants, options or other equity awards or rights in effect or outstanding at the date of this Agreement and (iii) modification of any outstanding options, warrants of any rights to purchase or acquire Common Shares.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8" w:name="page29"/>
    <w:bookmarkEnd w:id="28"/>
    <w:p>
      <w:pPr>
        <w:ind w:left="640"/>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229" w:lineRule="exact"/>
        <w:rPr>
          <w:sz w:val="20"/>
          <w:szCs w:val="20"/>
          <w:color w:val="auto"/>
        </w:rPr>
      </w:pPr>
    </w:p>
    <w:p>
      <w:pPr>
        <w:jc w:val="both"/>
        <w:ind w:left="-20" w:firstLine="656"/>
        <w:spacing w:after="0" w:line="279" w:lineRule="auto"/>
        <w:tabs>
          <w:tab w:leader="none" w:pos="1556"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Conditions Precedent to the Right of the Company to Deliver an Issuance Notice and the Obligation of the Agent to Sell Shares</w:t>
      </w:r>
      <w:r>
        <w:rPr>
          <w:rFonts w:ascii="Arial" w:cs="Arial" w:eastAsia="Arial" w:hAnsi="Arial"/>
          <w:sz w:val="17"/>
          <w:szCs w:val="17"/>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of each of the following conditions:</w:t>
      </w:r>
    </w:p>
    <w:p>
      <w:pPr>
        <w:spacing w:after="0" w:line="171" w:lineRule="exact"/>
        <w:rPr>
          <w:sz w:val="20"/>
          <w:szCs w:val="20"/>
          <w:color w:val="auto"/>
        </w:rPr>
      </w:pPr>
    </w:p>
    <w:p>
      <w:pPr>
        <w:jc w:val="both"/>
        <w:ind w:left="1280" w:hanging="644"/>
        <w:spacing w:after="0" w:line="275" w:lineRule="auto"/>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Accuracy of the Company’s Representations and Warranties; Performance by the Company</w:t>
      </w:r>
      <w:r>
        <w:rPr>
          <w:rFonts w:ascii="Arial" w:cs="Arial" w:eastAsia="Arial" w:hAnsi="Arial"/>
          <w:sz w:val="17"/>
          <w:szCs w:val="17"/>
          <w:color w:val="auto"/>
        </w:rPr>
        <w:t xml:space="preserve">. The Company shall have delivered the certificate required to be delivered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on or before the date on which delivery of such certificate is required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7"/>
          <w:szCs w:val="17"/>
          <w:u w:val="single" w:color="auto"/>
          <w:color w:val="auto"/>
        </w:rPr>
        <w:t>Section 4(m)</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4(q)</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4(r)</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left="1280" w:hanging="644"/>
        <w:spacing w:after="0" w:line="257"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7" w:lineRule="exact"/>
        <w:rPr>
          <w:rFonts w:ascii="Arial" w:cs="Arial" w:eastAsia="Arial" w:hAnsi="Arial"/>
          <w:sz w:val="18"/>
          <w:szCs w:val="18"/>
          <w:color w:val="auto"/>
        </w:rPr>
      </w:pPr>
    </w:p>
    <w:p>
      <w:pPr>
        <w:jc w:val="both"/>
        <w:ind w:left="1280" w:hanging="644"/>
        <w:spacing w:after="0" w:line="275" w:lineRule="auto"/>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Material Adverse Changes</w:t>
      </w:r>
      <w:r>
        <w:rPr>
          <w:rFonts w:ascii="Arial" w:cs="Arial" w:eastAsia="Arial" w:hAnsi="Arial"/>
          <w:sz w:val="17"/>
          <w:szCs w:val="17"/>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9" w:name="page30"/>
    <w:bookmarkEnd w:id="29"/>
    <w:p>
      <w:pPr>
        <w:jc w:val="both"/>
        <w:ind w:left="1280" w:hanging="644"/>
        <w:spacing w:after="0" w:line="287" w:lineRule="auto"/>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 Suspension of Trading in or Delisting of Common Shares; Other Events</w:t>
      </w:r>
      <w:r>
        <w:rPr>
          <w:rFonts w:ascii="Arial" w:cs="Arial" w:eastAsia="Arial" w:hAnsi="Arial"/>
          <w:sz w:val="16"/>
          <w:szCs w:val="16"/>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68" w:lineRule="exact"/>
        <w:rPr>
          <w:sz w:val="20"/>
          <w:szCs w:val="20"/>
          <w:color w:val="auto"/>
        </w:rPr>
      </w:pPr>
    </w:p>
    <w:p>
      <w:pPr>
        <w:jc w:val="both"/>
        <w:ind w:left="-20" w:firstLine="656"/>
        <w:spacing w:after="0" w:line="275" w:lineRule="auto"/>
        <w:tabs>
          <w:tab w:leader="none" w:pos="152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Documents Required to be Delivered on each Issuance Notice Date</w:t>
      </w:r>
      <w:r>
        <w:rPr>
          <w:rFonts w:ascii="Arial" w:cs="Arial" w:eastAsia="Arial" w:hAnsi="Arial"/>
          <w:sz w:val="17"/>
          <w:szCs w:val="17"/>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 or in the certificate described in Section 4(o)).</w:t>
      </w:r>
    </w:p>
    <w:p>
      <w:pPr>
        <w:spacing w:after="0" w:line="176" w:lineRule="exact"/>
        <w:rPr>
          <w:rFonts w:ascii="Arial" w:cs="Arial" w:eastAsia="Arial" w:hAnsi="Arial"/>
          <w:sz w:val="17"/>
          <w:szCs w:val="17"/>
          <w:color w:val="auto"/>
        </w:rPr>
      </w:pPr>
    </w:p>
    <w:p>
      <w:pPr>
        <w:jc w:val="both"/>
        <w:ind w:left="-20" w:firstLine="656"/>
        <w:spacing w:after="0" w:line="259" w:lineRule="auto"/>
        <w:tabs>
          <w:tab w:leader="none" w:pos="18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The Agent shall not have advised the Company that the Registration Statement, the Prospectus or the Time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229" w:lineRule="exact"/>
        <w:rPr>
          <w:sz w:val="20"/>
          <w:szCs w:val="20"/>
          <w:color w:val="auto"/>
        </w:rPr>
      </w:pPr>
    </w:p>
    <w:p>
      <w:pPr>
        <w:jc w:val="both"/>
        <w:ind w:left="-20" w:firstLine="656"/>
        <w:spacing w:after="0" w:line="284" w:lineRule="auto"/>
        <w:tabs>
          <w:tab w:leader="none" w:pos="159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fees and disbursements of counsel chosen by the Agent) as such expenses are documented and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0" w:name="page31"/>
    <w:bookmarkEnd w:id="30"/>
    <w:p>
      <w:pPr>
        <w:jc w:val="both"/>
        <w:ind w:left="-20" w:firstLine="656"/>
        <w:spacing w:after="0" w:line="285" w:lineRule="auto"/>
        <w:tabs>
          <w:tab w:leader="none" w:pos="152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and its Directors and Officers</w:t>
      </w:r>
      <w:r>
        <w:rPr>
          <w:rFonts w:ascii="Arial" w:cs="Arial" w:eastAsia="Arial" w:hAnsi="Arial"/>
          <w:sz w:val="16"/>
          <w:szCs w:val="16"/>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which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documented expenses (including the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1" w:name="page32"/>
    <w:bookmarkEnd w:id="31"/>
    <w:p>
      <w:pPr>
        <w:jc w:val="both"/>
        <w:ind w:left="-20" w:firstLine="656"/>
        <w:spacing w:after="0" w:line="284" w:lineRule="auto"/>
        <w:tabs>
          <w:tab w:leader="none" w:pos="158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xml:space="preserve">. Promptly after receipt by an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(not to be unreasonably withheld, delayed or conditioned),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394" w:lineRule="exact"/>
        <w:rPr>
          <w:rFonts w:ascii="Arial" w:cs="Arial" w:eastAsia="Arial" w:hAnsi="Arial"/>
          <w:sz w:val="16"/>
          <w:szCs w:val="16"/>
          <w:color w:val="auto"/>
        </w:rPr>
      </w:pPr>
    </w:p>
    <w:p>
      <w:pPr>
        <w:jc w:val="both"/>
        <w:ind w:left="-20" w:firstLine="656"/>
        <w:spacing w:after="0" w:line="269" w:lineRule="auto"/>
        <w:tabs>
          <w:tab w:leader="none" w:pos="156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Settlements</w:t>
      </w:r>
      <w:r>
        <w:rPr>
          <w:rFonts w:ascii="Arial" w:cs="Arial" w:eastAsia="Arial" w:hAnsi="Arial"/>
          <w:sz w:val="17"/>
          <w:szCs w:val="17"/>
          <w:color w:val="auto"/>
        </w:rPr>
        <w:t xml:space="preserve">. The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2" w:name="page33"/>
    <w:bookmarkEnd w:id="32"/>
    <w:p>
      <w:pPr>
        <w:jc w:val="both"/>
        <w:ind w:left="-20" w:firstLine="656"/>
        <w:spacing w:after="0" w:line="268" w:lineRule="auto"/>
        <w:tabs>
          <w:tab w:leader="none" w:pos="154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84" w:lineRule="exact"/>
        <w:rPr>
          <w:sz w:val="20"/>
          <w:szCs w:val="20"/>
          <w:color w:val="auto"/>
        </w:rPr>
      </w:pPr>
    </w:p>
    <w:p>
      <w:pPr>
        <w:jc w:val="both"/>
        <w:ind w:left="640" w:firstLine="648"/>
        <w:spacing w:after="0" w:line="296" w:lineRule="auto"/>
        <w:rPr>
          <w:sz w:val="20"/>
          <w:szCs w:val="20"/>
          <w:color w:val="auto"/>
        </w:rPr>
      </w:pPr>
      <w:r>
        <w:rPr>
          <w:rFonts w:ascii="Arial" w:cs="Arial" w:eastAsia="Arial" w:hAnsi="Arial"/>
          <w:sz w:val="16"/>
          <w:szCs w:val="16"/>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any legal or other fees or expenses documented and reasonably incurred by such party in connection with investigating or defending any action or claim. The provisions set forth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with respect to notice of commencement of any action shall apply if a claim for contribution is to be made under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additional notice shall be required with respect to any action for which notice has been given under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for purposes of indemnification.</w:t>
      </w:r>
    </w:p>
    <w:p>
      <w:pPr>
        <w:spacing w:after="0" w:line="161" w:lineRule="exact"/>
        <w:rPr>
          <w:sz w:val="20"/>
          <w:szCs w:val="20"/>
          <w:color w:val="auto"/>
        </w:rPr>
      </w:pPr>
    </w:p>
    <w:p>
      <w:pPr>
        <w:jc w:val="both"/>
        <w:ind w:left="640" w:right="20" w:firstLine="648"/>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6(e)</w:t>
      </w:r>
      <w:r>
        <w:rPr>
          <w:rFonts w:ascii="Arial" w:cs="Arial" w:eastAsia="Arial" w:hAnsi="Arial"/>
          <w:sz w:val="16"/>
          <w:szCs w:val="16"/>
          <w:color w:val="auto"/>
        </w:rPr>
        <w:t>.</w:t>
      </w:r>
    </w:p>
    <w:p>
      <w:pPr>
        <w:spacing w:after="0" w:line="124" w:lineRule="exact"/>
        <w:rPr>
          <w:sz w:val="20"/>
          <w:szCs w:val="20"/>
          <w:color w:val="auto"/>
        </w:rPr>
      </w:pPr>
    </w:p>
    <w:p>
      <w:pPr>
        <w:jc w:val="both"/>
        <w:ind w:left="640" w:firstLine="648"/>
        <w:spacing w:after="0" w:line="272" w:lineRule="auto"/>
        <w:rPr>
          <w:sz w:val="20"/>
          <w:szCs w:val="20"/>
          <w:color w:val="auto"/>
        </w:rPr>
      </w:pPr>
      <w:r>
        <w:rPr>
          <w:rFonts w:ascii="Arial" w:cs="Arial" w:eastAsia="Arial" w:hAnsi="Arial"/>
          <w:sz w:val="17"/>
          <w:szCs w:val="17"/>
          <w:color w:val="auto"/>
        </w:rPr>
        <w:t xml:space="preserve">Notwithstanding the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3" w:name="page34"/>
    <w:bookmarkEnd w:id="33"/>
    <w:p>
      <w:pPr>
        <w:ind w:left="640"/>
        <w:spacing w:after="0"/>
        <w:rPr>
          <w:sz w:val="20"/>
          <w:szCs w:val="20"/>
          <w:color w:val="auto"/>
        </w:rPr>
      </w:pPr>
      <w:r>
        <w:rPr>
          <w:rFonts w:ascii="Arial" w:cs="Arial" w:eastAsia="Arial" w:hAnsi="Arial"/>
          <w:sz w:val="18"/>
          <w:szCs w:val="18"/>
          <w:b w:val="1"/>
          <w:bCs w:val="1"/>
          <w:color w:val="auto"/>
        </w:rPr>
        <w:t>Section 7. TERMINATION &amp; SURVIVAL</w:t>
      </w:r>
    </w:p>
    <w:p>
      <w:pPr>
        <w:spacing w:after="0" w:line="229" w:lineRule="exact"/>
        <w:rPr>
          <w:sz w:val="20"/>
          <w:szCs w:val="20"/>
          <w:color w:val="auto"/>
        </w:rPr>
      </w:pPr>
    </w:p>
    <w:p>
      <w:pPr>
        <w:ind w:left="-20" w:right="20" w:firstLine="656"/>
        <w:spacing w:after="0" w:line="277" w:lineRule="auto"/>
        <w:tabs>
          <w:tab w:leader="none" w:pos="157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20" w:hanging="88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80" w:hanging="320"/>
        <w:spacing w:after="0" w:line="254" w:lineRule="auto"/>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Company and, solely with respect to itself and its rights and obligations hereunder, the Agent,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8"/>
          <w:szCs w:val="18"/>
          <w:u w:val="single" w:color="auto"/>
          <w:color w:val="auto"/>
        </w:rPr>
        <w:t>Section 3(b)(v)</w:t>
      </w:r>
      <w:r>
        <w:rPr>
          <w:rFonts w:ascii="Arial" w:cs="Arial" w:eastAsia="Arial" w:hAnsi="Arial"/>
          <w:sz w:val="18"/>
          <w:szCs w:val="18"/>
          <w:color w:val="auto"/>
        </w:rPr>
        <w:t xml:space="preserve"> with respect to such Shares and (B)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survive termination of this Agreement. If termination shall occur prior to the Settlement Date for any sale of Shares, such sale shall nevertheless settle in accordance with the terms of this Agreement. Upon termination of this Agreement, the Company shall not have any liability to the Agent for any discount or commission with respect to any Shares not otherwise sold by the Agent under this Agreement.</w:t>
      </w:r>
    </w:p>
    <w:p>
      <w:pPr>
        <w:spacing w:after="0" w:line="191" w:lineRule="exact"/>
        <w:rPr>
          <w:rFonts w:ascii="Arial" w:cs="Arial" w:eastAsia="Arial" w:hAnsi="Arial"/>
          <w:sz w:val="18"/>
          <w:szCs w:val="18"/>
          <w:color w:val="auto"/>
        </w:rPr>
      </w:pPr>
    </w:p>
    <w:p>
      <w:pPr>
        <w:jc w:val="both"/>
        <w:ind w:left="1280" w:hanging="320"/>
        <w:spacing w:after="0" w:line="257" w:lineRule="auto"/>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8. MISCELLANEOUS</w:t>
      </w:r>
    </w:p>
    <w:p>
      <w:pPr>
        <w:spacing w:after="0" w:line="229" w:lineRule="exact"/>
        <w:rPr>
          <w:sz w:val="20"/>
          <w:szCs w:val="20"/>
          <w:color w:val="auto"/>
        </w:rPr>
      </w:pPr>
    </w:p>
    <w:p>
      <w:pPr>
        <w:jc w:val="both"/>
        <w:ind w:left="-20" w:firstLine="656"/>
        <w:spacing w:after="0" w:line="259" w:lineRule="auto"/>
        <w:tabs>
          <w:tab w:leader="none" w:pos="18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Press Releases and Disclosure</w:t>
      </w:r>
      <w:r>
        <w:rPr>
          <w:rFonts w:ascii="Arial" w:cs="Arial" w:eastAsia="Arial" w:hAnsi="Arial"/>
          <w:sz w:val="18"/>
          <w:szCs w:val="18"/>
          <w:color w:val="auto"/>
        </w:rPr>
        <w:t>. No party hereto shall issue thereafter any press release or like public statement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(including, without limitation, the Exchange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4" w:name="page35"/>
    <w:bookmarkEnd w:id="34"/>
    <w:p>
      <w:pPr>
        <w:jc w:val="both"/>
        <w:ind w:left="-20" w:firstLine="656"/>
        <w:spacing w:after="0" w:line="289" w:lineRule="auto"/>
        <w:tabs>
          <w:tab w:leader="none" w:pos="182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6" w:lineRule="exact"/>
        <w:rPr>
          <w:rFonts w:ascii="Arial" w:cs="Arial" w:eastAsia="Arial" w:hAnsi="Arial"/>
          <w:sz w:val="16"/>
          <w:szCs w:val="16"/>
          <w:color w:val="auto"/>
        </w:rPr>
      </w:pPr>
    </w:p>
    <w:p>
      <w:pPr>
        <w:jc w:val="both"/>
        <w:ind w:left="-20" w:firstLine="656"/>
        <w:spacing w:after="0" w:line="254" w:lineRule="auto"/>
        <w:tabs>
          <w:tab w:leader="none" w:pos="182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ind w:left="-20" w:firstLine="656"/>
        <w:spacing w:after="0" w:line="277" w:lineRule="auto"/>
        <w:tabs>
          <w:tab w:leader="none" w:pos="167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to the Agent:</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(646) 619-4437</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(212) 751-4864</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Marc Jaffe and Ian Schuman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5" w:name="page36"/>
    <w:bookmarkEnd w:id="35"/>
    <w:p>
      <w:pPr>
        <w:ind w:left="98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2481 Manana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Dallas, Texas 75220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Rob W Edmund</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Mark Bergman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Any party hereto may change the address for receipt of communications by giving written notice to the others in accordance with this </w:t>
      </w:r>
      <w:r>
        <w:rPr>
          <w:rFonts w:ascii="Arial" w:cs="Arial" w:eastAsia="Arial" w:hAnsi="Arial"/>
          <w:sz w:val="16"/>
          <w:szCs w:val="16"/>
          <w:u w:val="single" w:color="auto"/>
          <w:color w:val="auto"/>
        </w:rPr>
        <w:t>Section 8(d)</w:t>
      </w:r>
      <w:r>
        <w:rPr>
          <w:rFonts w:ascii="Arial" w:cs="Arial" w:eastAsia="Arial" w:hAnsi="Arial"/>
          <w:sz w:val="16"/>
          <w:szCs w:val="16"/>
          <w:color w:val="auto"/>
        </w:rPr>
        <w:t>.</w:t>
      </w:r>
    </w:p>
    <w:p>
      <w:pPr>
        <w:spacing w:after="0" w:line="248" w:lineRule="exact"/>
        <w:rPr>
          <w:sz w:val="20"/>
          <w:szCs w:val="20"/>
          <w:color w:val="auto"/>
        </w:rPr>
      </w:pPr>
    </w:p>
    <w:p>
      <w:pPr>
        <w:jc w:val="both"/>
        <w:ind w:firstLine="656"/>
        <w:spacing w:after="0" w:line="311" w:lineRule="auto"/>
        <w:tabs>
          <w:tab w:leader="none" w:pos="163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48" w:lineRule="exact"/>
        <w:rPr>
          <w:rFonts w:ascii="Arial" w:cs="Arial" w:eastAsia="Arial" w:hAnsi="Arial"/>
          <w:sz w:val="16"/>
          <w:szCs w:val="16"/>
          <w:color w:val="auto"/>
        </w:rPr>
      </w:pPr>
    </w:p>
    <w:p>
      <w:pPr>
        <w:jc w:val="both"/>
        <w:ind w:firstLine="656"/>
        <w:spacing w:after="0" w:line="259" w:lineRule="auto"/>
        <w:tabs>
          <w:tab w:leader="none" w:pos="156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jc w:val="both"/>
        <w:ind w:firstLine="656"/>
        <w:spacing w:after="0" w:line="288" w:lineRule="auto"/>
        <w:tabs>
          <w:tab w:leader="none" w:pos="162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Governing Law Provisions</w:t>
      </w:r>
      <w:r>
        <w:rPr>
          <w:rFonts w:ascii="Arial" w:cs="Arial" w:eastAsia="Arial" w:hAnsi="Arial"/>
          <w:sz w:val="16"/>
          <w:szCs w:val="16"/>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8" w:lineRule="exact"/>
        <w:rPr>
          <w:rFonts w:ascii="Arial" w:cs="Arial" w:eastAsia="Arial" w:hAnsi="Arial"/>
          <w:sz w:val="16"/>
          <w:szCs w:val="16"/>
          <w:color w:val="auto"/>
        </w:rPr>
      </w:pPr>
    </w:p>
    <w:p>
      <w:pPr>
        <w:jc w:val="both"/>
        <w:ind w:firstLine="656"/>
        <w:spacing w:after="0" w:line="272" w:lineRule="auto"/>
        <w:tabs>
          <w:tab w:leader="none" w:pos="158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Immediately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DAVE &amp; BUSTER’S ENTERTAINMENT,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Robert W. Edmund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 General Counsel and Secretary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Michael A.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6403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A. Bauer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Open Market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Reference is made to the Open Market Sale Agreement between Dave &amp; Buster’s Entertainment,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Jefferies LLC (the “</w:t>
      </w:r>
      <w:r>
        <w:rPr>
          <w:rFonts w:ascii="Arial" w:cs="Arial" w:eastAsia="Arial" w:hAnsi="Arial"/>
          <w:sz w:val="18"/>
          <w:szCs w:val="18"/>
          <w:b w:val="1"/>
          <w:bCs w:val="1"/>
          <w:color w:val="auto"/>
        </w:rPr>
        <w:t>Agent</w:t>
      </w:r>
      <w:r>
        <w:rPr>
          <w:rFonts w:ascii="Arial" w:cs="Arial" w:eastAsia="Arial" w:hAnsi="Arial"/>
          <w:sz w:val="18"/>
          <w:szCs w:val="18"/>
          <w:color w:val="auto"/>
        </w:rPr>
        <w:t>”) dated as of April 14, 2020. The Company confirms that all conditions to the delivery of this Issuance Notice are satisfied as of the date 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 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 $____________________________________________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 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 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 ___________________________________________________</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Comments: 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426085</wp:posOffset>
            </wp:positionV>
            <wp:extent cx="355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p>
      <w:pPr>
        <w:jc w:val="center"/>
        <w:ind w:right="-1100"/>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2481 Manana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 W Edmund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Bergman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 619-4437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751-4864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Marc Jaffe and Ian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165100</wp:posOffset>
            </wp:positionV>
            <wp:extent cx="6797675" cy="3051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767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14,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2481 Mañana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75220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305" w:lineRule="auto"/>
        <w:rPr>
          <w:sz w:val="20"/>
          <w:szCs w:val="20"/>
          <w:color w:val="auto"/>
        </w:rPr>
      </w:pPr>
      <w:r>
        <w:rPr>
          <w:rFonts w:ascii="Arial" w:cs="Arial" w:eastAsia="Arial" w:hAnsi="Arial"/>
          <w:sz w:val="16"/>
          <w:szCs w:val="16"/>
          <w:color w:val="auto"/>
        </w:rPr>
        <w:t>In connection with the Registration Statement on Form S-3 (File No. 333-237664) (the “Registration Statement”) of Dave &amp; Buster’s Entertainment, Inc., a Delaware corporation (the “Company”), filed on April 14, 2020 with the Securities and Exchange Commission (the “Commission”) pursuant to the Securities Act of 1933, as amended (the “Act”), and the rules and regulations thereunder (the “Rules”), you have asked us to furnish our opinion as to the legality of shares (the “Shares”) of common stock of the Company, par value $0.01 per share (the “Common Stock”), having an aggregate offering price of up to $75,000,000, which are registered under the Registration Statement and which are subject to sale pursuant to the Open Market Sale Agreement</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(the “Sale Agreement”), dated as of April 14, 2020, by and among the Company and Jefferies LLC, as sales agent.</w:t>
      </w:r>
    </w:p>
    <w:p>
      <w:pPr>
        <w:spacing w:after="0" w:line="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connection with the furnishing of this opinion, we have examined original, or copies certified or otherwise identified to our satisfaction, of the following documents:</w:t>
      </w:r>
    </w:p>
    <w:p>
      <w:pPr>
        <w:spacing w:after="0" w:line="170"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Registration Statement and the base prospectus included therein;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final prospectus supplement dated April 14, 2020, included as part of the Registration Statement (the “Final Prospectus”);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Sale Agreement.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we have examined (i) such corporate records of the Company that we have considered appropriate, including a copy of the certificate of incorporation, as amended, and by-laws, as amended, of the Company certified by the Company as in effect on the date of this letter, and copies of resolutions of the board of directors of the Company relating to the issuance of the shares of Common Stock, and (ii) such other certificates, agreements and documents that we deemed relevant and necessary as a basis for the opinions expressed below. We have also relied upon the factual matters contained in the representations and warranties of the Company made in the documents reviewed by us and upon certificates of public officials and the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such latter documents and that the statements regarding matters of fact in the certificates, records, agreements, instruments and documents that we have examined are accurate and complete.</w:t>
      </w:r>
    </w:p>
    <w:p>
      <w:pPr>
        <w:spacing w:after="0" w:line="176"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Based upon the above, and subject to the stated assumptions, exceptions and qualifications, we are of the opinion that the Shares have been duly authorized by all necessary corporate action on the part of the Company and, when issued, delivered and paid for as contemplated in the Registration Statement and in accordance with the terms of the Sale Agreement, the Shares will be validly issued, fully paid and non-assessable.</w:t>
      </w:r>
    </w:p>
    <w:p>
      <w:pPr>
        <w:spacing w:after="0" w:line="14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opinion expressed above is limited to the Delaware General Corporation Law. Our opinion is rendered only with respect to the laws, and the rules, regulations and orders under those laws, that are currently in effect.</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hereby consent to the use of this opinion as an exhibit to the Company’s Current Report on Form 8-K filed by the Company with the Commission on the date hereof, and to the use of our name under the heading “Legal Matters” contained in the base prospectus included in the Registration Statement and in the Final Prospectus. In giving this consent, we do not thereby admit that we come within the category of persons whose consent is required by the Act or the Rules.</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Weiss, Rifkind, Wharton &amp; Garrison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PAUL, WEISS, RIFKIND, WHARTON &amp; GARRISON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DAVE &amp; BUSTER’S ENTERTAINMENT INC. ANNOUNCES AT-THE-MARKET EQUITY OFFERING PROGRAM</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DALLAS, April 14, 2020 (GLOBE NEWSWIRE) – Dave &amp; Buster’s Entertainment, Inc. (NASDAQ:PLAY) (the “Company”), an owner and operator of entertainment and dining venues, today announced that it has filed a prospectus supplement with the Securities and Exchange Commission (“SEC”), under which it may offer and sell shares of its common stock (the “Shares”) having an aggregate offering price of up to $75,000,000 from time to time through an “at-the-market” equity offering program (the “ATM Program”). The Company currently intends to use the net proceeds from sales of Shares under the ATM Program primarily to strengthen its balance sheet, principally as necessitated by the effects of the COVID-19 outbreak on its business, which would include use for general corporate purposes. The timing of any sales will depend on a variety of factors to be determined by the Company.</w:t>
      </w:r>
    </w:p>
    <w:p>
      <w:pPr>
        <w:spacing w:after="0" w:line="16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Shares will be offered through Jefferies LLC (“Jefferies”), as sales agent. Jefferies may sell Shares by any method permitted by law deemed to be an “at-the-market offering” as defined in Rule 415 of the Securities Act of 1933, as amended, including without limitation sales made directly on the Nasdaq Global Select Market, on any other existing trading market for the Shares, to or through a market maker or in negotiated transactions. Sales may be made at market prices prevailing at the time of the sale, at prices related to prevailing market prices or at negotiated prices and, as a result, sales prices may vary.</w:t>
      </w:r>
    </w:p>
    <w:p>
      <w:pPr>
        <w:spacing w:after="0" w:line="15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prospectus supplement filed today adds to, updates or otherwise changes information contained in the accompanying prospectus contained in a shelf registration statement on Form S-3 (File No. 333-237664) for the offering of Shares. Prospective investors should read the prospectus, the prospectus supplement and other documents the Company has filed with the SEC (some of which are incorporated by reference into the prospectus and prospectus supplement) for more complete information about the Company, the ATM Program and the risks the Company currently is facing due to the spread of COVID-19. You may obtain copies of the prospectus supplement and accompanying prospectus relating to the offering without charge by visiting the SEC’s website at www.sec.gov.</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press release is for informational purposes only and is not an offer to sell or the solicitation of an offer to buy any Shares of the Company, which is made only by means of a prospectus supplement and related prospectus. There will be no sale of Shares in any jurisdiction in which the offer, solicitation of an offer to buy or sale would be unlawful.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Dave &amp; Buster’s Entertainment, Inc.</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Founded in 1982 and headquartered in Dallas, Texas, Dave &amp; Buster’s Entertainment, Inc., is the owner and operator of 137 venues in North America that combine entertainment and dining and offer customers the opportunity to “Eat Drink Play and Watch,” all in one location. Dave &amp; Buster’s offers a full menu of entrées and appetizers, a complete selection of alcoholic and non-alcoholic beverages, and an extensive assortment of entertainment attractions centered around playing games and watching live sports and other televised events. Dave &amp; Buster’s currently has stores in 39 states, Puerto Rico,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This release contains or incorporates “forward-looking” statements as defined in the Private Securities Litigation Reform Act of 1995, or the Forward-Looking Statements Safe Harbor, as codified in Section 27A of the Securities Act of 1933, as amended, or the Securities Act and Section 21E of the Securities Exchange Act of 1934, as amended or the Exchange Act. All statements other than statements of historical facts are statements that could be deemed forward-looking. We have tried, whenever possible, to identify these statements by using words such as “believes,” “estimates,” “anticipates,” “expects,” “intends,” “plans,” “seeks,” or words of similar meaning, or future or conditional verbs, such as “may,” “will,” “should,” “could,” “aims,” “intends,” or “projects,” and similar expressions, whether in the negative or the affirmative.</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These forward-looking statements reflect management’s beliefs and assumptions, are all based on currently available operating, financial and competitive information and are subject to various risks and uncertainties. Our actual future results and trends may differ materially depending on a variety of factors, including, but not limited to, the risk and uncertainties discussed in this prospectus supplement, our Annual Report on Form 10-K for the fiscal year ended February 2, 2020, filed with the SEC on April 3, 2020, or our 2019 Annual Report, and in any other documents incorporated by reference therein. In addition, these forward-looking statements involve risks and uncertainties and, consequently, could be affected by: the uncertain and unprecedented impact of the coronavirus and the disease it causes (COVID-19) on our business and operations and the related impact on our liquidity needs; our ability to continue as a going concern; our ability to obtain additional waivers or amendments, and thereafter continue to satisfy covenant requirements (even as they may be amended), under our revolving credit facility and derivative contract payables; our ability to access other funding sources; the duration of government-mandated and voluntary shutdowns; the speed with which our stores safely can be reopened and the level of customer demand following reopening; the economic impact of COVID-19 and related disruptions on the communities we serve; our overall level of indebtedness; general business and economic conditions, including as a result of COVID-19; the impact of competition; the seasonality of our business; adverse weather conditions; future commodity prices; guest and employee complaints and litigation; fuel and utility costs; labor costs and availability; changes in consumer and corporate spending, including as a result of COVID-19; changes in demographic trends; changes in governmental regulations; unfavorable publicity; our ability to open new stores; and acts of God.</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including this cautionary note to make applicable, and take advantage of, the safe harbor provisions of the Forward-Looking Statements Safe Harbor.</w:t>
      </w:r>
    </w:p>
    <w:p>
      <w:pPr>
        <w:spacing w:after="0" w:line="1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historically have operated in a continually changing business environment. The country and both the global economy generally and, for our purposes, the U.S. economy face profound dislocations and unprecedented uncertainty as a result of COVID-19. Other unknown or unpredictable factors also could have material adverse effects on our future results,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ind w:right="20"/>
        <w:spacing w:after="0" w:line="296" w:lineRule="auto"/>
        <w:rPr>
          <w:sz w:val="20"/>
          <w:szCs w:val="20"/>
          <w:color w:val="auto"/>
        </w:rPr>
      </w:pPr>
      <w:r>
        <w:rPr>
          <w:rFonts w:ascii="Arial" w:cs="Arial" w:eastAsia="Arial" w:hAnsi="Arial"/>
          <w:sz w:val="16"/>
          <w:szCs w:val="16"/>
          <w:color w:val="auto"/>
        </w:rPr>
        <w:t>We believe that the expectations reflected in the forward-looking statements contained in this prospectus or in any prospectus supplement, or incorporated herein or therein by reference, are based upon reasonable assumptions at the time made. However, given the risks and uncertainties, you should not rely on any forward-looking statements as a prediction of actual results, developments or other outcomes. You should read these forward-looking statements with the understanding that we may be unable to achieve projected results, developments or other outcomes and that actual results, developments or other outcomes may be materially different from what we expect. You are cautioned not to place undue reliance on these forward-looking statements.</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intend these forward-looking statements to speak only as of the time they are made. Subject to any continuing obligations under applicable law or any relevant stock exchange rules, we do not undertake, and expressly disclaim any obligation, to disseminate, after the date hereof, any updates or revisions to any such forward-looking statements to reflect any change in expectations or events, conditions or circumstances on which any such statements are based.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Relations Inquiries: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Scott Bowman,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Dave &amp; Buster’s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972.813.1151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scott.bowman@daveandbusters.com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 Inquiries: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Siegel / Joseph Sala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9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Letter"/>
      <w:start w:val="4"/>
    </w:lvl>
  </w:abstractNum>
  <w:abstractNum w:abstractNumId="3">
    <w:nsid w:val="B03E0C6"/>
    <w:multiLevelType w:val="hybridMultilevel"/>
    <w:lvl w:ilvl="0">
      <w:lvlJc w:val="left"/>
      <w:lvlText w:val="(%1)"/>
      <w:numFmt w:val="lowerLetter"/>
      <w:start w:val="1"/>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1)"/>
      <w:numFmt w:val="lowerLetter"/>
      <w:start w:val="2"/>
    </w:lvl>
  </w:abstractNum>
  <w:abstractNum w:abstractNumId="6">
    <w:nsid w:val="71F32454"/>
    <w:multiLevelType w:val="hybridMultilevel"/>
    <w:lvl w:ilvl="0">
      <w:lvlJc w:val="left"/>
      <w:lvlText w:val="(%1)"/>
      <w:numFmt w:val="lowerLetter"/>
      <w:start w:val="3"/>
    </w:lvl>
  </w:abstractNum>
  <w:abstractNum w:abstractNumId="7">
    <w:nsid w:val="2CA88611"/>
    <w:multiLevelType w:val="hybridMultilevel"/>
    <w:lvl w:ilvl="0">
      <w:lvlJc w:val="left"/>
      <w:lvlText w:val="(%1)"/>
      <w:numFmt w:val="lowerLetter"/>
      <w:start w:val="8"/>
    </w:lvl>
  </w:abstractNum>
  <w:abstractNum w:abstractNumId="8">
    <w:nsid w:val="836C40E"/>
    <w:multiLevelType w:val="hybridMultilevel"/>
    <w:lvl w:ilvl="0">
      <w:lvlJc w:val="left"/>
      <w:lvlText w:val="(%1)"/>
      <w:numFmt w:val="lowerLetter"/>
      <w:start w:val="15"/>
    </w:lvl>
  </w:abstractNum>
  <w:abstractNum w:abstractNumId="9">
    <w:nsid w:val="2901D82"/>
    <w:multiLevelType w:val="hybridMultilevel"/>
    <w:lvl w:ilvl="0">
      <w:lvlJc w:val="left"/>
      <w:lvlText w:val="(%1)"/>
      <w:numFmt w:val="lowerLetter"/>
      <w:start w:val="17"/>
    </w:lvl>
  </w:abstractNum>
  <w:abstractNum w:abstractNumId="10">
    <w:nsid w:val="3A95F874"/>
    <w:multiLevelType w:val="hybridMultilevel"/>
    <w:lvl w:ilvl="0">
      <w:lvlJc w:val="left"/>
      <w:lvlText w:val="(%1)"/>
      <w:numFmt w:val="lowerLetter"/>
      <w:start w:val="20"/>
    </w:lvl>
  </w:abstractNum>
  <w:abstractNum w:abstractNumId="11">
    <w:nsid w:val="8138641"/>
    <w:multiLevelType w:val="hybridMultilevel"/>
    <w:lvl w:ilvl="0">
      <w:lvlJc w:val="left"/>
      <w:lvlText w:val="(%1)"/>
      <w:numFmt w:val="lowerLetter"/>
      <w:start w:val="24"/>
    </w:lvl>
  </w:abstractNum>
  <w:abstractNum w:abstractNumId="12">
    <w:nsid w:val="1E7FF521"/>
    <w:multiLevelType w:val="hybridMultilevel"/>
    <w:lvl w:ilvl="0">
      <w:lvlJc w:val="left"/>
      <w:lvlText w:val="(%1)"/>
      <w:numFmt w:val="lowerLetter"/>
      <w:start w:val="27"/>
    </w:lvl>
  </w:abstractNum>
  <w:abstractNum w:abstractNumId="13">
    <w:nsid w:val="7C3DBD3D"/>
    <w:multiLevelType w:val="hybridMultilevel"/>
    <w:lvl w:ilvl="0">
      <w:lvlJc w:val="left"/>
      <w:lvlText w:val="%1"/>
      <w:numFmt w:val="decimal"/>
      <w:start w:val="1"/>
    </w:lvl>
    <w:lvl w:ilvl="1">
      <w:lvlJc w:val="left"/>
      <w:lvlText w:val="(%2)"/>
      <w:numFmt w:val="lowerLetter"/>
      <w:start w:val="30"/>
    </w:lvl>
  </w:abstractNum>
  <w:abstractNum w:abstractNumId="14">
    <w:nsid w:val="737B8DDC"/>
    <w:multiLevelType w:val="hybridMultilevel"/>
    <w:lvl w:ilvl="0">
      <w:lvlJc w:val="left"/>
      <w:lvlText w:val="(%1)"/>
      <w:numFmt w:val="decimal"/>
      <w:start w:val="1"/>
    </w:lvl>
    <w:lvl w:ilvl="1">
      <w:lvlJc w:val="left"/>
      <w:lvlText w:val="(%2)"/>
      <w:numFmt w:val="lowerLetter"/>
      <w:start w:val="32"/>
    </w:lvl>
  </w:abstractNum>
  <w:abstractNum w:abstractNumId="15">
    <w:nsid w:val="6CEAF087"/>
    <w:multiLevelType w:val="hybridMultilevel"/>
    <w:lvl w:ilvl="0">
      <w:lvlJc w:val="left"/>
      <w:lvlText w:val="%1"/>
      <w:numFmt w:val="lowerRoman"/>
      <w:start w:val="1"/>
    </w:lvl>
    <w:lvl w:ilvl="1">
      <w:lvlJc w:val="left"/>
      <w:lvlText w:val="(%2)"/>
      <w:numFmt w:val="lowerLetter"/>
      <w:start w:val="33"/>
    </w:lvl>
  </w:abstractNum>
  <w:abstractNum w:abstractNumId="16">
    <w:nsid w:val="22221A70"/>
    <w:multiLevelType w:val="hybridMultilevel"/>
    <w:lvl w:ilvl="0">
      <w:lvlJc w:val="left"/>
      <w:lvlText w:val="(%1)"/>
      <w:numFmt w:val="lowerRoman"/>
      <w:start w:val="4"/>
    </w:lvl>
    <w:lvl w:ilvl="1">
      <w:lvlJc w:val="left"/>
      <w:lvlText w:val="(%2)"/>
      <w:numFmt w:val="lowerLetter"/>
      <w:start w:val="38"/>
    </w:lvl>
  </w:abstractNum>
  <w:abstractNum w:abstractNumId="17">
    <w:nsid w:val="4516DDE9"/>
    <w:multiLevelType w:val="hybridMultilevel"/>
    <w:lvl w:ilvl="0">
      <w:lvlJc w:val="left"/>
      <w:lvlText w:val="%1"/>
      <w:numFmt w:val="lowerRoman"/>
      <w:start w:val="1"/>
    </w:lvl>
    <w:lvl w:ilvl="1">
      <w:lvlJc w:val="left"/>
      <w:lvlText w:val="(%2)"/>
      <w:numFmt w:val="lowerLetter"/>
      <w:start w:val="39"/>
    </w:lvl>
  </w:abstractNum>
  <w:abstractNum w:abstractNumId="18">
    <w:nsid w:val="3006C83E"/>
    <w:multiLevelType w:val="hybridMultilevel"/>
    <w:lvl w:ilvl="0">
      <w:lvlJc w:val="left"/>
      <w:lvlText w:val="(%1)"/>
      <w:numFmt w:val="lowerRoman"/>
      <w:start w:val="4"/>
    </w:lvl>
    <w:lvl w:ilvl="1">
      <w:lvlJc w:val="left"/>
      <w:lvlText w:val="%2"/>
      <w:numFmt w:val="lowerLetter"/>
      <w:start w:val="1"/>
    </w:lvl>
  </w:abstractNum>
  <w:abstractNum w:abstractNumId="19">
    <w:nsid w:val="614FD4A1"/>
    <w:multiLevelType w:val="hybridMultilevel"/>
    <w:lvl w:ilvl="0">
      <w:lvlJc w:val="left"/>
      <w:lvlText w:val="(%1)"/>
      <w:numFmt w:val="lowerLetter"/>
      <w:start w:val="43"/>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lowerLetter"/>
      <w:start w:val="1"/>
    </w:lvl>
    <w:lvl w:ilvl="1">
      <w:lvlJc w:val="left"/>
      <w:lvlText w:val="(%2)"/>
      <w:numFmt w:val="lowerLetter"/>
      <w:start w:val="9"/>
    </w:lvl>
  </w:abstractNum>
  <w:abstractNum w:abstractNumId="22">
    <w:nsid w:val="440BADFC"/>
    <w:multiLevelType w:val="hybridMultilevel"/>
    <w:lvl w:ilvl="0">
      <w:lvlJc w:val="left"/>
      <w:lvlText w:val="(%1)"/>
      <w:numFmt w:val="lowerLetter"/>
      <w:start w:val="25"/>
    </w:lvl>
    <w:lvl w:ilvl="1">
      <w:lvlJc w:val="left"/>
      <w:lvlText w:val="%2"/>
      <w:numFmt w:val="lowerLetter"/>
      <w:start w:val="1"/>
    </w:lvl>
  </w:abstractNum>
  <w:abstractNum w:abstractNumId="23">
    <w:nsid w:val="5072367"/>
    <w:multiLevelType w:val="hybridMultilevel"/>
    <w:lvl w:ilvl="0">
      <w:lvlJc w:val="left"/>
      <w:lvlText w:val="(%1)"/>
      <w:numFmt w:val="lowerRoman"/>
      <w:start w:val="2"/>
    </w:lvl>
  </w:abstractNum>
  <w:abstractNum w:abstractNumId="24">
    <w:nsid w:val="3804823E"/>
    <w:multiLevelType w:val="hybridMultilevel"/>
    <w:lvl w:ilvl="0">
      <w:lvlJc w:val="left"/>
      <w:lvlText w:val="%1"/>
      <w:numFmt w:val="lowerRoman"/>
      <w:start w:val="1"/>
    </w:lvl>
    <w:lvl w:ilvl="1">
      <w:lvlJc w:val="left"/>
      <w:lvlText w:val="(%2)"/>
      <w:numFmt w:val="lowerRoman"/>
      <w:start w:val="3"/>
    </w:lvl>
  </w:abstractNum>
  <w:abstractNum w:abstractNumId="25">
    <w:nsid w:val="77465F01"/>
    <w:multiLevelType w:val="hybridMultilevel"/>
    <w:lvl w:ilvl="0">
      <w:lvlJc w:val="left"/>
      <w:lvlText w:val="(%1)"/>
      <w:numFmt w:val="lowerRoman"/>
      <w:start w:val="5"/>
    </w:lvl>
    <w:lvl w:ilvl="1">
      <w:lvlJc w:val="left"/>
      <w:lvlText w:val="(%2)"/>
      <w:numFmt w:val="lowerRoman"/>
      <w:start w:val="7"/>
    </w:lvl>
  </w:abstractNum>
  <w:abstractNum w:abstractNumId="26">
    <w:nsid w:val="7724C67E"/>
    <w:multiLevelType w:val="hybridMultilevel"/>
    <w:lvl w:ilvl="0">
      <w:lvlJc w:val="left"/>
      <w:lvlText w:val="%1"/>
      <w:numFmt w:val="lowerLetter"/>
      <w:start w:val="1"/>
    </w:lvl>
    <w:lvl w:ilvl="1">
      <w:lvlJc w:val="left"/>
      <w:lvlText w:val="(%2)"/>
      <w:numFmt w:val="lowerRoman"/>
      <w:start w:val="8"/>
    </w:lvl>
  </w:abstractNum>
  <w:abstractNum w:abstractNumId="27">
    <w:nsid w:val="5C482A97"/>
    <w:multiLevelType w:val="hybridMultilevel"/>
    <w:lvl w:ilvl="0">
      <w:lvlJc w:val="left"/>
      <w:lvlText w:val="(%1)"/>
      <w:numFmt w:val="lowerLetter"/>
      <w:start w:val="3"/>
    </w:lvl>
    <w:lvl w:ilvl="1">
      <w:lvlJc w:val="left"/>
      <w:lvlText w:val="%2"/>
      <w:numFmt w:val="lowerRoman"/>
      <w:start w:val="1"/>
    </w:lvl>
  </w:abstractNum>
  <w:abstractNum w:abstractNumId="28">
    <w:nsid w:val="2463B9EA"/>
    <w:multiLevelType w:val="hybridMultilevel"/>
    <w:lvl w:ilvl="0">
      <w:lvlJc w:val="left"/>
      <w:lvlText w:val="%1"/>
      <w:numFmt w:val="upperLetter"/>
      <w:start w:val="1"/>
    </w:lvl>
    <w:lvl w:ilvl="1">
      <w:lvlJc w:val="left"/>
      <w:lvlText w:val="(%2)"/>
      <w:numFmt w:val="lowerLetter"/>
      <w:start w:val="1"/>
    </w:lvl>
  </w:abstractNum>
  <w:abstractNum w:abstractNumId="29">
    <w:nsid w:val="5E884ADC"/>
    <w:multiLevelType w:val="hybridMultilevel"/>
    <w:lvl w:ilvl="0">
      <w:lvlJc w:val="left"/>
      <w:lvlText w:val="(%1)"/>
      <w:numFmt w:val="upperLetter"/>
      <w:start w:val="2"/>
    </w:lvl>
    <w:lvl w:ilvl="1">
      <w:lvlJc w:val="left"/>
      <w:lvlText w:val="(%2)"/>
      <w:numFmt w:val="lowerLetter"/>
      <w:start w:val="2"/>
    </w:lvl>
  </w:abstractNum>
  <w:abstractNum w:abstractNumId="30">
    <w:nsid w:val="51EAD36B"/>
    <w:multiLevelType w:val="hybridMultilevel"/>
    <w:lvl w:ilvl="0">
      <w:lvlJc w:val="left"/>
      <w:lvlText w:val="(%1)"/>
      <w:numFmt w:val="lowerLetter"/>
      <w:start w:val="4"/>
    </w:lvl>
  </w:abstractNum>
  <w:abstractNum w:abstractNumId="31">
    <w:nsid w:val="2D517796"/>
    <w:multiLevelType w:val="hybridMultilevel"/>
    <w:lvl w:ilvl="0">
      <w:lvlJc w:val="left"/>
      <w:lvlText w:val="(%1)"/>
      <w:numFmt w:val="lowerLetter"/>
      <w:start w:val="8"/>
    </w:lvl>
  </w:abstractNum>
  <w:abstractNum w:abstractNumId="32">
    <w:nsid w:val="580BD78F"/>
    <w:multiLevelType w:val="hybridMultilevel"/>
    <w:lvl w:ilvl="0">
      <w:lvlJc w:val="left"/>
      <w:lvlText w:val="(%1)"/>
      <w:numFmt w:val="lowerLetter"/>
      <w:start w:val="11"/>
    </w:lvl>
    <w:lvl w:ilvl="1">
      <w:lvlJc w:val="left"/>
      <w:lvlText w:val="(%2)"/>
      <w:numFmt w:val="upperLetter"/>
      <w:start w:val="1"/>
    </w:lvl>
  </w:abstractNum>
  <w:abstractNum w:abstractNumId="33">
    <w:nsid w:val="153EA438"/>
    <w:multiLevelType w:val="hybridMultilevel"/>
    <w:lvl w:ilvl="0">
      <w:lvlJc w:val="left"/>
      <w:lvlText w:val="(%1)"/>
      <w:numFmt w:val="lowerLetter"/>
      <w:start w:val="16"/>
    </w:lvl>
  </w:abstractNum>
  <w:abstractNum w:abstractNumId="34">
    <w:nsid w:val="3855585C"/>
    <w:multiLevelType w:val="hybridMultilevel"/>
    <w:lvl w:ilvl="0">
      <w:lvlJc w:val="left"/>
      <w:lvlText w:val="(%1)"/>
      <w:numFmt w:val="lowerLetter"/>
      <w:start w:val="18"/>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Roman"/>
      <w:start w:val="1"/>
    </w:lvl>
  </w:abstractNum>
  <w:abstractNum w:abstractNumId="37">
    <w:nsid w:val="2A487CB0"/>
    <w:multiLevelType w:val="hybridMultilevel"/>
    <w:lvl w:ilvl="0">
      <w:lvlJc w:val="left"/>
      <w:lvlText w:val="(%1)"/>
      <w:numFmt w:val="lowerRoman"/>
      <w:start w:val="4"/>
    </w:lvl>
  </w:abstractNum>
  <w:abstractNum w:abstractNumId="38">
    <w:nsid w:val="1D4ED43B"/>
    <w:multiLevelType w:val="hybridMultilevel"/>
    <w:lvl w:ilvl="0">
      <w:lvlJc w:val="left"/>
      <w:lvlText w:val="(%1)"/>
      <w:numFmt w:val="lowerLetter"/>
      <w:start w:val="2"/>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2"/>
    </w:lvl>
  </w:abstractNum>
  <w:abstractNum w:abstractNumId="41">
    <w:nsid w:val="57E4CCAF"/>
    <w:multiLevelType w:val="hybridMultilevel"/>
    <w:lvl w:ilvl="0">
      <w:lvlJc w:val="left"/>
      <w:lvlText w:val="(%1)"/>
      <w:numFmt w:val="lowerLetter"/>
      <w:start w:val="3"/>
    </w:lvl>
  </w:abstractNum>
  <w:abstractNum w:abstractNumId="42">
    <w:nsid w:val="7A6D8D3C"/>
    <w:multiLevelType w:val="hybridMultilevel"/>
    <w:lvl w:ilvl="0">
      <w:lvlJc w:val="left"/>
      <w:lvlText w:val="(%1)"/>
      <w:numFmt w:val="lowerLetter"/>
      <w:start w:val="5"/>
    </w:lvl>
  </w:abstractNum>
  <w:abstractNum w:abstractNumId="43">
    <w:nsid w:val="4B588F54"/>
    <w:multiLevelType w:val="hybridMultilevel"/>
    <w:lvl w:ilvl="0">
      <w:lvlJc w:val="left"/>
      <w:lvlText w:val="(%1)"/>
      <w:numFmt w:val="lowerLetter"/>
      <w:start w:val="1"/>
    </w:lvl>
    <w:lvl w:ilvl="1">
      <w:lvlJc w:val="left"/>
      <w:lvlText w:val="(%2)"/>
      <w:numFmt w:val="lowerRoman"/>
      <w:start w:val="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Letter"/>
      <w:start w:val="2"/>
    </w:lvl>
  </w:abstractNum>
  <w:abstractNum w:abstractNumId="46">
    <w:nsid w:val="38437FDB"/>
    <w:multiLevelType w:val="hybridMultilevel"/>
    <w:lvl w:ilvl="0">
      <w:lvlJc w:val="left"/>
      <w:lvlText w:val="(%1)"/>
      <w:numFmt w:val="lowerLetter"/>
      <w:start w:val="5"/>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2020-04-14T08:41:59Z</dcterms:created>
  <dcterms:modified xsi:type="dcterms:W3CDTF">2020-04-14T08:41:59Z</dcterms:modified>
</cp:coreProperties>
</file>