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695960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721360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SECURITIES AND EXCHANGE COMMISSION</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March 28, 2023</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DAVE &amp; BUSTER’S ENTERTAINMENT,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9"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1920" w:type="dxa"/>
            <w:vAlign w:val="bottom"/>
          </w:tcPr>
          <w:p>
            <w:pPr>
              <w:jc w:val="center"/>
              <w:ind w:right="83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8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7"/>
              </w:rPr>
              <w:t>001-35664</w:t>
            </w:r>
          </w:p>
        </w:tc>
        <w:tc>
          <w:tcPr>
            <w:tcW w:w="2400" w:type="dxa"/>
            <w:vAlign w:val="bottom"/>
          </w:tcPr>
          <w:p>
            <w:pPr>
              <w:jc w:val="center"/>
              <w:ind w:left="691"/>
              <w:spacing w:after="0"/>
              <w:rPr>
                <w:sz w:val="20"/>
                <w:szCs w:val="20"/>
                <w:color w:val="auto"/>
              </w:rPr>
            </w:pPr>
            <w:r>
              <w:rPr>
                <w:rFonts w:ascii="Times New Roman" w:cs="Times New Roman" w:eastAsia="Times New Roman" w:hAnsi="Times New Roman"/>
                <w:sz w:val="18"/>
                <w:szCs w:val="18"/>
                <w:b w:val="1"/>
                <w:bCs w:val="1"/>
                <w:color w:val="auto"/>
                <w:w w:val="98"/>
              </w:rPr>
              <w:t>35-2382255</w:t>
            </w:r>
          </w:p>
        </w:tc>
      </w:tr>
      <w:tr>
        <w:trPr>
          <w:trHeight w:val="220"/>
        </w:trPr>
        <w:tc>
          <w:tcPr>
            <w:tcW w:w="1920" w:type="dxa"/>
            <w:vAlign w:val="bottom"/>
          </w:tcPr>
          <w:p>
            <w:pPr>
              <w:jc w:val="center"/>
              <w:ind w:right="831"/>
              <w:spacing w:after="0"/>
              <w:rPr>
                <w:sz w:val="20"/>
                <w:szCs w:val="20"/>
                <w:color w:val="auto"/>
              </w:rPr>
            </w:pPr>
            <w:r>
              <w:rPr>
                <w:rFonts w:ascii="Times New Roman" w:cs="Times New Roman" w:eastAsia="Times New Roman" w:hAnsi="Times New Roman"/>
                <w:sz w:val="18"/>
                <w:szCs w:val="18"/>
                <w:color w:val="auto"/>
                <w:w w:val="97"/>
              </w:rPr>
              <w:t>(State of</w:t>
            </w:r>
          </w:p>
        </w:tc>
        <w:tc>
          <w:tcPr>
            <w:tcW w:w="44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(Commission File</w:t>
            </w:r>
          </w:p>
        </w:tc>
        <w:tc>
          <w:tcPr>
            <w:tcW w:w="240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w w:val="96"/>
              </w:rPr>
              <w:t>(IRS Employer</w:t>
            </w:r>
          </w:p>
        </w:tc>
      </w:tr>
      <w:tr>
        <w:trPr>
          <w:trHeight w:val="232"/>
        </w:trPr>
        <w:tc>
          <w:tcPr>
            <w:tcW w:w="1920" w:type="dxa"/>
            <w:vAlign w:val="bottom"/>
          </w:tcPr>
          <w:p>
            <w:pPr>
              <w:jc w:val="center"/>
              <w:ind w:right="831"/>
              <w:spacing w:after="0"/>
              <w:rPr>
                <w:sz w:val="20"/>
                <w:szCs w:val="20"/>
                <w:color w:val="auto"/>
              </w:rPr>
            </w:pPr>
            <w:r>
              <w:rPr>
                <w:rFonts w:ascii="Times New Roman" w:cs="Times New Roman" w:eastAsia="Times New Roman" w:hAnsi="Times New Roman"/>
                <w:sz w:val="18"/>
                <w:szCs w:val="18"/>
                <w:color w:val="auto"/>
                <w:w w:val="97"/>
              </w:rPr>
              <w:t>incorporation)</w:t>
            </w:r>
          </w:p>
        </w:tc>
        <w:tc>
          <w:tcPr>
            <w:tcW w:w="44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Number)</w:t>
            </w:r>
          </w:p>
        </w:tc>
        <w:tc>
          <w:tcPr>
            <w:tcW w:w="240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w w:val="97"/>
              </w:rPr>
              <w:t>Identification Number)</w:t>
            </w:r>
          </w:p>
        </w:tc>
      </w:tr>
      <w:tr>
        <w:trPr>
          <w:trHeight w:val="563"/>
        </w:trPr>
        <w:tc>
          <w:tcPr>
            <w:tcW w:w="1920" w:type="dxa"/>
            <w:vAlign w:val="bottom"/>
          </w:tcPr>
          <w:p>
            <w:pPr>
              <w:spacing w:after="0"/>
              <w:rPr>
                <w:sz w:val="24"/>
                <w:szCs w:val="24"/>
                <w:color w:val="auto"/>
              </w:rPr>
            </w:pPr>
          </w:p>
        </w:tc>
        <w:tc>
          <w:tcPr>
            <w:tcW w:w="448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1221 S. Belt Line Rd., Suite 500</w:t>
            </w:r>
          </w:p>
        </w:tc>
        <w:tc>
          <w:tcPr>
            <w:tcW w:w="2400" w:type="dxa"/>
            <w:vAlign w:val="bottom"/>
          </w:tcPr>
          <w:p>
            <w:pPr>
              <w:spacing w:after="0"/>
              <w:rPr>
                <w:sz w:val="24"/>
                <w:szCs w:val="24"/>
                <w:color w:val="auto"/>
              </w:rPr>
            </w:pPr>
          </w:p>
        </w:tc>
      </w:tr>
      <w:tr>
        <w:trPr>
          <w:trHeight w:val="234"/>
        </w:trPr>
        <w:tc>
          <w:tcPr>
            <w:tcW w:w="1920" w:type="dxa"/>
            <w:vAlign w:val="bottom"/>
          </w:tcPr>
          <w:p>
            <w:pPr>
              <w:spacing w:after="0"/>
              <w:rPr>
                <w:sz w:val="20"/>
                <w:szCs w:val="20"/>
                <w:color w:val="auto"/>
              </w:rPr>
            </w:pPr>
          </w:p>
        </w:tc>
        <w:tc>
          <w:tcPr>
            <w:tcW w:w="448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7"/>
              </w:rPr>
              <w:t>Coppell, TX 75019</w:t>
            </w:r>
          </w:p>
        </w:tc>
        <w:tc>
          <w:tcPr>
            <w:tcW w:w="2400" w:type="dxa"/>
            <w:vAlign w:val="bottom"/>
          </w:tcPr>
          <w:p>
            <w:pPr>
              <w:spacing w:after="0"/>
              <w:rPr>
                <w:sz w:val="20"/>
                <w:szCs w:val="20"/>
                <w:color w:val="auto"/>
              </w:rPr>
            </w:pPr>
          </w:p>
        </w:tc>
      </w:tr>
      <w:tr>
        <w:trPr>
          <w:trHeight w:val="266"/>
        </w:trPr>
        <w:tc>
          <w:tcPr>
            <w:tcW w:w="1920" w:type="dxa"/>
            <w:vAlign w:val="bottom"/>
          </w:tcPr>
          <w:p>
            <w:pPr>
              <w:spacing w:after="0"/>
              <w:rPr>
                <w:sz w:val="23"/>
                <w:szCs w:val="23"/>
                <w:color w:val="auto"/>
              </w:rPr>
            </w:pPr>
          </w:p>
        </w:tc>
        <w:tc>
          <w:tcPr>
            <w:tcW w:w="44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2400" w:type="dxa"/>
            <w:vAlign w:val="bottom"/>
          </w:tcPr>
          <w:p>
            <w:pPr>
              <w:spacing w:after="0"/>
              <w:rPr>
                <w:sz w:val="23"/>
                <w:szCs w:val="23"/>
                <w:color w:val="auto"/>
              </w:rPr>
            </w:pPr>
          </w:p>
        </w:tc>
      </w:tr>
    </w:tbl>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(214) 357-9588</w:t>
      </w:r>
    </w:p>
    <w:p>
      <w:pPr>
        <w:spacing w:after="0" w:line="220"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reporting obligation of the registrant under any of the following provisions:</w:t>
      </w:r>
    </w:p>
    <w:p>
      <w:pPr>
        <w:spacing w:after="0" w:line="284" w:lineRule="exact"/>
        <w:rPr>
          <w:sz w:val="24"/>
          <w:szCs w:val="24"/>
          <w:color w:val="auto"/>
        </w:rPr>
      </w:pPr>
    </w:p>
    <w:p>
      <w:pPr>
        <w:ind w:left="780" w:hanging="716"/>
        <w:spacing w:after="0"/>
        <w:tabs>
          <w:tab w:leader="none" w:pos="780" w:val="left"/>
        </w:tabs>
        <w:numPr>
          <w:ilvl w:val="0"/>
          <w:numId w:val="1"/>
        </w:numPr>
        <w:rPr>
          <w:rFonts w:ascii="MS PGothic" w:cs="MS PGothic" w:eastAsia="MS PGothic" w:hAnsi="MS PGothic"/>
          <w:sz w:val="35"/>
          <w:szCs w:val="35"/>
          <w:color w:val="auto"/>
          <w:vertAlign w:val="superscript"/>
        </w:rPr>
      </w:pPr>
      <w:r>
        <w:rPr>
          <w:rFonts w:ascii="Times New Roman" w:cs="Times New Roman" w:eastAsia="Times New Roman" w:hAnsi="Times New Roman"/>
          <w:sz w:val="18"/>
          <w:szCs w:val="18"/>
          <w:color w:val="auto"/>
        </w:rPr>
        <w:t>Written communications pursuant to Rule 425 under the Securities Act</w:t>
      </w:r>
    </w:p>
    <w:p>
      <w:pPr>
        <w:spacing w:after="0" w:line="184" w:lineRule="exact"/>
        <w:rPr>
          <w:rFonts w:ascii="MS PGothic" w:cs="MS PGothic" w:eastAsia="MS PGothic" w:hAnsi="MS PGothic"/>
          <w:sz w:val="35"/>
          <w:szCs w:val="35"/>
          <w:color w:val="auto"/>
          <w:vertAlign w:val="superscript"/>
        </w:rPr>
      </w:pPr>
    </w:p>
    <w:p>
      <w:pPr>
        <w:ind w:left="780" w:hanging="716"/>
        <w:spacing w:after="0" w:line="180" w:lineRule="auto"/>
        <w:tabs>
          <w:tab w:leader="none" w:pos="7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7"/>
          <w:szCs w:val="17"/>
          <w:color w:val="auto"/>
        </w:rPr>
        <w:t>Soliciting material pursuant to Rule 14a-12 of the Exchange Act</w:t>
      </w:r>
    </w:p>
    <w:p>
      <w:pPr>
        <w:spacing w:after="0" w:line="184" w:lineRule="exact"/>
        <w:rPr>
          <w:rFonts w:ascii="MS PGothic" w:cs="MS PGothic" w:eastAsia="MS PGothic" w:hAnsi="MS PGothic"/>
          <w:sz w:val="32"/>
          <w:szCs w:val="32"/>
          <w:color w:val="auto"/>
          <w:vertAlign w:val="superscript"/>
        </w:rPr>
      </w:pPr>
    </w:p>
    <w:p>
      <w:pPr>
        <w:ind w:left="780" w:hanging="716"/>
        <w:spacing w:after="0" w:line="180" w:lineRule="auto"/>
        <w:tabs>
          <w:tab w:leader="none" w:pos="7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7"/>
          <w:szCs w:val="17"/>
          <w:color w:val="auto"/>
        </w:rPr>
        <w:t>Pre-commencement communications pursuant to Rule 14d-2(b) Exchange Act</w:t>
      </w:r>
    </w:p>
    <w:p>
      <w:pPr>
        <w:spacing w:after="0" w:line="193" w:lineRule="exact"/>
        <w:rPr>
          <w:rFonts w:ascii="MS PGothic" w:cs="MS PGothic" w:eastAsia="MS PGothic" w:hAnsi="MS PGothic"/>
          <w:sz w:val="32"/>
          <w:szCs w:val="32"/>
          <w:color w:val="auto"/>
          <w:vertAlign w:val="superscript"/>
        </w:rPr>
      </w:pPr>
    </w:p>
    <w:p>
      <w:pPr>
        <w:ind w:right="4920" w:firstLine="64"/>
        <w:spacing w:after="0" w:line="355" w:lineRule="auto"/>
        <w:tabs>
          <w:tab w:leader="none" w:pos="775" w:val="left"/>
        </w:tabs>
        <w:numPr>
          <w:ilvl w:val="0"/>
          <w:numId w:val="1"/>
        </w:numPr>
        <w:rPr>
          <w:rFonts w:ascii="MS PGothic" w:cs="MS PGothic" w:eastAsia="MS PGothic" w:hAnsi="MS PGothic"/>
          <w:sz w:val="35"/>
          <w:szCs w:val="35"/>
          <w:color w:val="auto"/>
          <w:vertAlign w:val="superscript"/>
        </w:rPr>
      </w:pPr>
      <w:r>
        <w:rPr>
          <w:rFonts w:ascii="Times New Roman" w:cs="Times New Roman" w:eastAsia="Times New Roman" w:hAnsi="Times New Roman"/>
          <w:sz w:val="18"/>
          <w:szCs w:val="18"/>
          <w:color w:val="auto"/>
        </w:rPr>
        <w:t>Pre-commencement communications pursuant to Rule 13e-4(c) Exchange Act 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25"/>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$0.01 par value</w:t>
            </w:r>
          </w:p>
        </w:tc>
        <w:tc>
          <w:tcPr>
            <w:tcW w:w="1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PLAY</w:t>
            </w:r>
          </w:p>
        </w:tc>
        <w:tc>
          <w:tcPr>
            <w:tcW w:w="8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Stock Market LLC</w:t>
            </w:r>
          </w:p>
        </w:tc>
      </w:tr>
    </w:tbl>
    <w:p>
      <w:pPr>
        <w:spacing w:after="0" w:line="281"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811530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157480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0"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Exhibit attached hereto, is being furnished and shall not be deemed to be “filed” for the purposes of Section 18 of the Securities Exchange Act of 1934, as amended, or otherwise subject to the liabilities of that Section. Furthermore, the information contained in Item 2.02 of this Current Report on Form 8-K shall not be deemed to be incorporated by reference into any registration statement or other document filed pursuant to the Securities Act of 1933, as amended.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March 28, 2023, Dave &amp; Buster’s Entertainment, Inc. (the “Company”) issued a press release announcing results its fourth quarter 2022 results.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Press Release is attached hereto as 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Press Release, the Company also announced that on March 27, 2023, the Board of Directors authorized a $100 million share repurchase program</w:t>
      </w:r>
    </w:p>
    <w:p>
      <w:pPr>
        <w:spacing w:after="0" w:line="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through the end of fiscal 2023. The Company may repurchase shares from time to time in open market transactions and may also repurchase shares in accelerated share repurchases, tender offers, privately negotiated transactions or by other means, and by plans pursuant to Rule 10b5-1 under the Securities and Exchange Act of 1934, as amended, and the timing and amount of transactions will be determined by the Company’s management in consultation with the Finance Committee of the Board of Directors based on an evaluation of market conditions, the Company’s share price, legal requirements, restricted payment capacity under its debt instruments and other factors.</w:t>
      </w:r>
    </w:p>
    <w:p>
      <w:pPr>
        <w:spacing w:after="0" w:line="19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0" w:lineRule="exact"/>
        <w:rPr>
          <w:sz w:val="20"/>
          <w:szCs w:val="20"/>
          <w:color w:val="auto"/>
        </w:rPr>
      </w:pPr>
    </w:p>
    <w:p>
      <w:pPr>
        <w:ind w:left="1280" w:hanging="636"/>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8" w:lineRule="exact"/>
        <w:rPr>
          <w:sz w:val="20"/>
          <w:szCs w:val="20"/>
          <w:color w:val="auto"/>
        </w:rPr>
      </w:pPr>
    </w:p>
    <w:p>
      <w:pPr>
        <w:ind w:left="76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FF"/>
        </w:rPr>
        <w:t>Press release dated March 28, 2023.</w:t>
      </w:r>
    </w:p>
    <w:p>
      <w:pPr>
        <w:spacing w:after="0" w:line="25" w:lineRule="exact"/>
        <w:rPr>
          <w:sz w:val="20"/>
          <w:szCs w:val="20"/>
          <w:color w:val="auto"/>
        </w:rPr>
      </w:pPr>
    </w:p>
    <w:p>
      <w:pPr>
        <w:ind w:left="1600" w:hanging="832"/>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63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DAVE &amp; BUSTER’S ENTERTAINMENT, INC.</w:t>
      </w:r>
    </w:p>
    <w:p>
      <w:pPr>
        <w:sectPr>
          <w:pgSz w:w="11900" w:h="16838" w:orient="portrait"/>
          <w:cols w:equalWidth="0" w:num="1">
            <w:col w:w="11240"/>
          </w:cols>
          <w:pgMar w:left="320" w:top="1128" w:right="339" w:bottom="1440" w:gutter="0" w:footer="0" w:header="0"/>
        </w:sectPr>
      </w:pP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28, 2023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22225</wp:posOffset>
            </wp:positionV>
            <wp:extent cx="3061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133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960" w:space="720"/>
            <w:col w:w="5560"/>
          </w:cols>
          <w:pgMar w:left="320" w:top="1128" w:right="339" w:bottom="1440" w:gutter="0" w:footer="0" w:header="0"/>
          <w:type w:val="continuous"/>
        </w:sectPr>
      </w:pPr>
    </w:p>
    <w:p>
      <w:pPr>
        <w:ind w:left="5680"/>
        <w:spacing w:after="0"/>
        <w:rPr>
          <w:sz w:val="20"/>
          <w:szCs w:val="20"/>
          <w:color w:val="auto"/>
        </w:rPr>
      </w:pPr>
      <w:r>
        <w:rPr>
          <w:rFonts w:ascii="Times New Roman" w:cs="Times New Roman" w:eastAsia="Times New Roman" w:hAnsi="Times New Roman"/>
          <w:sz w:val="18"/>
          <w:szCs w:val="18"/>
          <w:color w:val="auto"/>
        </w:rPr>
        <w:t>Michael Quartieri</w:t>
      </w:r>
    </w:p>
    <w:p>
      <w:pPr>
        <w:spacing w:after="0" w:line="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1128"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180465" cy="910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0465" cy="91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Dave &amp; Buster’s Reports Record Fourth Quarter and Fiscal Year End 2022 Financial Results;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Company Announces $100 Million Share Repurchase Program and Achievement of its Synergy Target</w:t>
      </w:r>
    </w:p>
    <w:p>
      <w:pPr>
        <w:spacing w:after="0" w:line="24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DALLAS, March 28, 2023 (GLOBE NEWSWIRE) -- Dave &amp; Buster's Entertainment, Inc., (NASDAQ: PLAY), ("Dave &amp; Buster's" or "the Company"), an owner and operator of entertainment and dining venues, today announced financial results for its fourth quarter and fiscal year ended January 29,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Fourth Quarter 2022 Highlights</w:t>
      </w:r>
    </w:p>
    <w:p>
      <w:pPr>
        <w:spacing w:after="0" w:line="180" w:lineRule="exact"/>
        <w:rPr>
          <w:sz w:val="20"/>
          <w:szCs w:val="20"/>
          <w:color w:val="auto"/>
        </w:rPr>
      </w:pPr>
    </w:p>
    <w:p>
      <w:pPr>
        <w:ind w:left="320" w:hanging="314"/>
        <w:spacing w:after="0" w:line="27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$563.8 million in the quarter increased 64.3% from the fourth quarter of 2021 and increased 62.4% from the fourth quarter of 2019. Including the pro forma contribution of Main Event in the fourth quarter of 2021 and 2019, this quarter’s revenue grew 27.7% and 30.1%, respectively.</w:t>
      </w:r>
    </w:p>
    <w:p>
      <w:pPr>
        <w:spacing w:after="0" w:line="136" w:lineRule="exact"/>
        <w:rPr>
          <w:rFonts w:ascii="Times New Roman" w:cs="Times New Roman" w:eastAsia="Times New Roman" w:hAnsi="Times New Roman"/>
          <w:sz w:val="18"/>
          <w:szCs w:val="18"/>
          <w:color w:val="auto"/>
        </w:rPr>
      </w:pPr>
    </w:p>
    <w:p>
      <w:pPr>
        <w:ind w:left="320" w:hanging="314"/>
        <w:spacing w:after="0" w:line="27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combined comparable store sales (including Main Event branded stores) increased 19.0% compared with the same period in 2021 and 14.1% compared with the same period in 2019.</w:t>
      </w:r>
    </w:p>
    <w:p>
      <w:pPr>
        <w:spacing w:after="0" w:line="123" w:lineRule="exact"/>
        <w:rPr>
          <w:rFonts w:ascii="Times New Roman" w:cs="Times New Roman" w:eastAsia="Times New Roman" w:hAnsi="Times New Roman"/>
          <w:sz w:val="18"/>
          <w:szCs w:val="18"/>
          <w:color w:val="auto"/>
        </w:rPr>
      </w:pPr>
    </w:p>
    <w:p>
      <w:pPr>
        <w:ind w:left="320" w:right="20" w:hanging="314"/>
        <w:spacing w:after="0" w:line="27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$39.1 million, or 80 cents per diluted share, compared with net income of $25.7 million, or 52 cents per diluted share in the fourth quarter of 2021 and net income of $25.0 million, or 80 cents per diluted share in the fourth quarter of 2019.</w:t>
      </w:r>
    </w:p>
    <w:p>
      <w:pPr>
        <w:spacing w:after="0" w:line="123"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(as newly defined to not add back pre-opening expense) of $138.4 million in the quarter increased 62.9% from the fourth quarter of 2021 and increased 85.1% from the fourth quarter of 2019. Including the pro forma contribution of Main Event in the fourth quarter of 2021 and 2019, this quarter’s Adjusted EBITDA grew 30.7% and 48.4%, respectively.</w:t>
      </w:r>
    </w:p>
    <w:p>
      <w:pPr>
        <w:spacing w:after="0" w:line="13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a new Main Event store in Beaumont, TX.</w:t>
      </w:r>
    </w:p>
    <w:p>
      <w:pPr>
        <w:spacing w:after="0" w:line="191" w:lineRule="exact"/>
        <w:rPr>
          <w:rFonts w:ascii="Times New Roman" w:cs="Times New Roman" w:eastAsia="Times New Roman" w:hAnsi="Times New Roman"/>
          <w:sz w:val="18"/>
          <w:szCs w:val="18"/>
          <w:color w:val="auto"/>
        </w:rPr>
      </w:pPr>
    </w:p>
    <w:p>
      <w:pPr>
        <w:ind w:left="320" w:hanging="314"/>
        <w:spacing w:after="0" w:line="27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ended the quarter with $672.7 million of liquidity, which included $181.6 million in cash and $491.1 million available under its $500 million revolving credit facility.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Fiscal Year 2022 Highlights</w:t>
      </w:r>
    </w:p>
    <w:p>
      <w:pPr>
        <w:spacing w:after="0" w:line="180"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$2.0 billion in fiscal year 2022 increased 50.6% from fiscal year 2021 and increased 45.0% from fiscal year 2019.</w:t>
      </w:r>
    </w:p>
    <w:p>
      <w:pPr>
        <w:spacing w:after="0" w:line="178" w:lineRule="exact"/>
        <w:rPr>
          <w:rFonts w:ascii="Times New Roman" w:cs="Times New Roman" w:eastAsia="Times New Roman" w:hAnsi="Times New Roman"/>
          <w:sz w:val="18"/>
          <w:szCs w:val="18"/>
          <w:color w:val="auto"/>
        </w:rPr>
      </w:pPr>
    </w:p>
    <w:p>
      <w:pPr>
        <w:ind w:left="320" w:hanging="314"/>
        <w:spacing w:after="0" w:line="27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totaled $137.1 million, or $2.79 per diluted share, in fiscal year 2022 compared with net income of $108.6 million, or $2.21 per diluted share, in fiscal year 2021 and net income of $100.3 million, or $2.94 per diluted share in fiscal 2019.</w:t>
      </w:r>
    </w:p>
    <w:p>
      <w:pPr>
        <w:spacing w:after="0" w:line="136" w:lineRule="exact"/>
        <w:rPr>
          <w:rFonts w:ascii="Times New Roman" w:cs="Times New Roman" w:eastAsia="Times New Roman" w:hAnsi="Times New Roman"/>
          <w:sz w:val="18"/>
          <w:szCs w:val="18"/>
          <w:color w:val="auto"/>
        </w:rPr>
      </w:pPr>
    </w:p>
    <w:p>
      <w:pPr>
        <w:ind w:left="320" w:hanging="314"/>
        <w:spacing w:after="0" w:line="27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its acquisition of Main Event on June 29, 2022. The Company successfully achieved implementation of the activities for its forecasted $25 million annual synergy target previously disclosed and continues to identify opportunities in excess of that target.</w:t>
      </w:r>
    </w:p>
    <w:p>
      <w:pPr>
        <w:spacing w:after="0" w:line="123"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seven new Dave &amp; Buster's locations and one new Main Event location in fiscal year 2022. Subsequent to the end of the year, the Company has opened an additional Dave &amp; Buster's location in Puerto Rico and two additional Main Event locations in Little Rock, AR and Tucson, AZ taking the total combined store count to 207.</w:t>
      </w:r>
    </w:p>
    <w:p>
      <w:pPr>
        <w:spacing w:after="0" w:line="13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$480.4 million in fiscal year 2022 increased 42.8% from fiscal year 2021 and increased 58.3% from fiscal year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28"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“Driven by robust comparable walk-in sales growth and the tailwind of our special events business continuing its recovery toward pre-pandemic norms, we are pleased to report another strong quarter of financial results to mark our first fiscal year-end as a combined company. As a testament to this strength as well as the confidence we have in our future growth initiatives, our Board authorized a share repurchase program up to $100 million,” said Chris Morris, Dave &amp; Buster’s Chief Executive Officer. “Fresh off the heels of our annual general manager's conference, our exceptional team of operators and shared service center employees is motivated and energized to deliver on our goals we've set for the business in 2023 and beyond to realize our full potential. We look forward to sharing our progress with you throughout the course of the year as we continue to drive value creation for our stakeholders.”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2022 Results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Total revenue was a record $563.8 million, an increase of 64.3% from $343.1 million in the fourth quarter of 2021 and an increase of 62.4% from $347.2 million in the fourth quarter of 2019. Including the pro forma contribution of Main Event stores in the prior periods, total revenue increased 27.7% versus the fourth quarter of 2021 and increased 30.1% versus the fourth quarter of 2019.</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 forma combined comparable store sales (including Main Event branded stores) increased 19.0% compared with the fourth quarter of 2021 and increased 14.1% compared with the fourth quarter of 2019. Pro forma combined walk-in comparable store sales increased 12.1% while Special Event comparable store sales increased 89.5% compared with the same period in 2021. Pro forma combined walk-in comparable store sales increased 18.0% while consolidated Special Event comparable store sales declined 6.4% compared with the same period in 2019. Non-comparable store revenue totaled $131.5 million in the fourth quarter.</w:t>
      </w:r>
    </w:p>
    <w:p>
      <w:pPr>
        <w:spacing w:after="0" w:line="1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Operating income totaled $77.2 million, or 13.8% of revenue, compared with operating income of $46.5 million, or 13.6% of revenue in the fourth quarter of 2021 and operating income of $37.6 million, or 10.9% of revenue in the fourth quarter of 2019.</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Net income totaled $39.1 million, or 80 cents per diluted share, compared with net income of $25.7 million, or 52 cents per diluted share in the fourth quarter of 2021 and net income of $25.0 million, or 80 cents per diluted share in the fourth quarter of 2019.</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Adjusted EBITDA totaled $138.4 million, or 24.5% of revenue, compared with Adjusted EBITDA of $84.9 million, or 24.8% of revenue in the fourth quarter of 2021 and Adjusted EBITDA of $74.8 million, or 21.5% of revenue in the fourth quarter of 2019.</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Store operating income before depreciation and amortization totaled $169.1 million, or 30.0% of revenue, compared with store operating income before depreciation and amortization of $101.1 million, or 29.5% of revenue in the fourth quarter of 2021 and store operating income before depreciation and amortization of $96.3 million, or 27.7% of revenue in the fourth quarter of 2019.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Company generated $143.5 million in operating cash flow during the fourth quarter, ending the quarter with $181.6 million in cash and $491.1 million of availability under its $500 million revolving credit facility, net of $8.9 million in outstanding letters of credit. The Company ended the year with a Net Total Leverage Ratio of 1.9x as defined under its Credit Agreement as the ratio of the aggregate principal amount of any Consolidated Debt less Unrestricted Cash and unrestricted Permitted Investments to Credit Adjusted EBITDA. The Company's maximum permitted Net Total Leverage Ratio is 3.5x.</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“Entering our strongest quarter from a seasonal cash generation perspective with nearly $673 million of liquidity, we are in an enviable position to execute on our long-term new store growth goals, remodel existing stores to drive incremental traffic, and return capital to shareholders,” said Michael Quartieri, Dave &amp; Buster’s Chief Financial Officer. "We've completed all the initiatives required to achieve our previously disclosed $25 million synergy target ahead of schedule, which is a testament to the incredible work our team has done to integrate these two great brands. We remain committed to achieving operational excellence and continuous improvement as we progress into the future."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3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Share Repurchase Authorization</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announced today that its Board of Directors has approved a share repurchase program authorizing the Company to repurchase up to $100 million of its common stock through the end of fiscal 2023. The program may be suspended or discontinued at any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10-K Available</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Company’s Annual Report on Form 10-K, will be available at www.sec.gov and on the Company’s investor relations website, contains a thorough review of its financial results for the fiscal year and fourth quarter ended January 29,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will hold a conference call to report these results on Tuesday, March 28, 2023, at 4:00 p.m. Central Time (5:00 p.m. Eastern Time). Participants can access the conference call by dialing toll-free (877) 883-0383. The international dial-in for participants is (412) 902-6506. The participant entry number is 5052728. A replay will be available after the call for one year beginning at 6:00 p.m. Central Time (7:00 p.m. Eastern Time) and can be accessed by dialing toll-free (877) 344-7529 or by the international toll number (412) 317-0088; the replay access code 4609682. Additionally, a live and archived webcast of the conference call will be available under the Investor Relations section at www.daveandbusters.com.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Dave &amp; Buster’s Entertainment, Inc.</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Founded in 1982 and headquartered in Coppell, Texas, Dave &amp; Buster's Entertainment, Inc., is the owner and operator of 207 venues in North America that offer premier entertainment and dining experiences to guests through two distinct brands: Dave &amp; Buster’s and Main Event. The Company has 152 Dave &amp; Buster’s branded stores in 41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The Company also operates 55 Main Event branded stores in 18 states across the country, and offers state-of-the-art bowling, laser tag, hundreds of arcade games and virtual reality, making it the perfect place for families to connect and make memories. For more information about each brand, visit daveandbusters.com and mainevent.com.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cautions that this release contains forward-looking statements. These forward-looking statements involve risks and uncertainties, including: our ability to continue as a going concern; our ability to obtain waivers, and thereafter continue to satisfy covenant requirements, under our revolving credit facility; our ability to access other funding sources; our overall level of indebtedness; general business and economic conditions, including as a result of the coronavirus pandemic and any new coronavirus variants; the impact of competition; the seasonality of the Company’s business; adverse weather conditions; future commodity prices; guest and employee complaints and litigation; fuel and utility costs; labor costs and availability; changes in consumer and corporate spending; changes in demographic trends; changes in governmental regulations; unfavorable publicity, our ability to open new stores, and acts of God. Accordingly, actual results may differ materially from the forward-looking statements, and the Company therefore cautions you against relying on such forward-looking statements. Dave &amp; Buster’s intends these forward-looking statements to speak only as of the time of this release and does not undertake to update or revise them as more appropriate information becomes available,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To supplement its consolidated financial statements, which are prepared and presented in accordance with GAAP, the Company uses the following non-GAAP financial measures: EBITDA, EBITDA margin, Adjusted EBITDA, Adjusted EBITDA margin, Credit Adjusted EBITDA (calculated in accordance with the Company's credit agreement, additional details of which can be found in the Company's Annual Report on Form 10-K), Credit Adjusted EBITDA margin, Store operating income before depreciation and amortization, Store operating income before depreciation and amortization margin, and pro forma financials including Main Event branded stores prior to the Company's ownership, reconciliations of which can be found on our website (collectively the “non-GAAP financial measures”). The presentation of this financial information is not intended to be considered in isolation or as a substitute for, or superior to, the financial information prepared and presented in accordance with GAAP. The Company uses these non-GAAP financial measures for financial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28"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and operational decision making and as a means to evaluate period-to-period comparisons. The Company believes that they provide useful information about operating results, enhance the overall understanding of our operating performance and future prospects, and allow for greater transparency with respect to key metrics used by management in its financial and operational decision making. The non-GAAP measures used by the Company in this press release may be different from the measures used by other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Relations Inquiries: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Cory Hatton, VP Investor Relations &amp; Treasurer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cory.hatton@daveandbusters.com</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30"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200" w:type="dxa"/>
            <w:vAlign w:val="bottom"/>
          </w:tcPr>
          <w:p>
            <w:pPr>
              <w:spacing w:after="0"/>
              <w:rPr>
                <w:sz w:val="18"/>
                <w:szCs w:val="18"/>
                <w:color w:val="auto"/>
              </w:rPr>
            </w:pPr>
          </w:p>
        </w:tc>
        <w:tc>
          <w:tcPr>
            <w:tcW w:w="21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220" w:type="dxa"/>
            <w:vAlign w:val="bottom"/>
          </w:tcPr>
          <w:p>
            <w:pPr>
              <w:spacing w:after="0"/>
              <w:rPr>
                <w:sz w:val="18"/>
                <w:szCs w:val="18"/>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13 Weeks Ended</w:t>
            </w:r>
          </w:p>
        </w:tc>
      </w:tr>
      <w:tr>
        <w:trPr>
          <w:trHeight w:val="215"/>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January 29, 2023</w:t>
            </w:r>
          </w:p>
        </w:tc>
        <w:tc>
          <w:tcPr>
            <w:tcW w:w="200" w:type="dxa"/>
            <w:vAlign w:val="bottom"/>
          </w:tcPr>
          <w:p>
            <w:pPr>
              <w:spacing w:after="0"/>
              <w:rPr>
                <w:sz w:val="18"/>
                <w:szCs w:val="18"/>
                <w:color w:val="auto"/>
              </w:rPr>
            </w:pPr>
          </w:p>
        </w:tc>
        <w:tc>
          <w:tcPr>
            <w:tcW w:w="210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January 30, 2022</w:t>
            </w:r>
          </w:p>
        </w:tc>
        <w:tc>
          <w:tcPr>
            <w:tcW w:w="220" w:type="dxa"/>
            <w:vAlign w:val="bottom"/>
          </w:tcPr>
          <w:p>
            <w:pPr>
              <w:spacing w:after="0"/>
              <w:rPr>
                <w:sz w:val="18"/>
                <w:szCs w:val="18"/>
                <w:color w:val="auto"/>
              </w:rPr>
            </w:pPr>
          </w:p>
        </w:tc>
        <w:tc>
          <w:tcPr>
            <w:tcW w:w="20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February 2, 2020</w:t>
            </w:r>
          </w:p>
        </w:tc>
      </w:tr>
      <w:tr>
        <w:trPr>
          <w:trHeight w:val="208"/>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Food and beverage revenues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$203,571</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$120,126</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$152,797</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44.0 %</w:t>
            </w:r>
          </w:p>
        </w:tc>
      </w:tr>
      <w:tr>
        <w:trPr>
          <w:trHeight w:val="210"/>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Amusement and other revenues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360,190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222,976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194,361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56.0 %</w:t>
            </w:r>
          </w:p>
        </w:tc>
      </w:tr>
      <w:tr>
        <w:trPr>
          <w:trHeight w:val="208"/>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563,761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343,102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6"/>
        </w:trPr>
        <w:tc>
          <w:tcPr>
            <w:tcW w:w="3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59"/>
        </w:trPr>
        <w:tc>
          <w:tcPr>
            <w:tcW w:w="38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Cost of food and beverage (as a percentage of food and</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55,087</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27.1 %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32,757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27.3 %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39,124</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6"/>
                <w:szCs w:val="16"/>
                <w:color w:val="auto"/>
              </w:rPr>
              <w:t>25.6 %</w:t>
            </w:r>
          </w:p>
        </w:tc>
      </w:tr>
      <w:tr>
        <w:trPr>
          <w:trHeight w:val="21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beverage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59"/>
        </w:trPr>
        <w:tc>
          <w:tcPr>
            <w:tcW w:w="38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Cost of amusement and other (as a percentage of</w:t>
            </w:r>
          </w:p>
        </w:tc>
        <w:tc>
          <w:tcPr>
            <w:tcW w:w="2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31,965</w:t>
            </w:r>
          </w:p>
        </w:tc>
        <w:tc>
          <w:tcPr>
            <w:tcW w:w="10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8.9 %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22,119</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9.9 %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20,659</w:t>
            </w:r>
          </w:p>
        </w:tc>
        <w:tc>
          <w:tcPr>
            <w:tcW w:w="10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10.6 %</w:t>
            </w:r>
          </w:p>
        </w:tc>
      </w:tr>
      <w:tr>
        <w:trPr>
          <w:trHeight w:val="210"/>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amusement and other revenues)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8"/>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cost of products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87,052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Operating payroll and benefits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137,776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77,366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83,005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r>
      <w:tr>
        <w:trPr>
          <w:trHeight w:val="21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store operating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169,857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109,778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108,097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1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10"/>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Pre-opening costs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08"/>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costs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486,545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296,553</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86.4 %</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309,542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89.1 %</w:t>
            </w:r>
          </w:p>
        </w:tc>
      </w:tr>
      <w:tr>
        <w:trPr>
          <w:trHeight w:val="204"/>
        </w:trPr>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77,216</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46,549</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37,616</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1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Loss on debt extinguishment / refinancing</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8"/>
        </w:trPr>
        <w:tc>
          <w:tcPr>
            <w:tcW w:w="3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31,822</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10"/>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33"/>
        </w:trPr>
        <w:tc>
          <w:tcPr>
            <w:tcW w:w="3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24,982</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used in per share calculations: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 shares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48,328,524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48,416,687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30,584,360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 shares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49,006,140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49,268,800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31,158,919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8"/>
        </w:trPr>
        <w:tc>
          <w:tcPr>
            <w:tcW w:w="3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 stores at end of period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Store operating weeks in the period</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 per store operating weeks in the period</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60"/>
          </w:cols>
          <w:pgMar w:left="620" w:top="1128" w:right="6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to EBITDA and Adjusted EBITDA for the periods shown: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500" w:type="dxa"/>
            <w:vAlign w:val="bottom"/>
          </w:tcPr>
          <w:p>
            <w:pPr>
              <w:spacing w:after="0"/>
              <w:rPr>
                <w:sz w:val="18"/>
                <w:szCs w:val="18"/>
                <w:color w:val="auto"/>
              </w:rPr>
            </w:pPr>
          </w:p>
        </w:tc>
      </w:tr>
      <w:tr>
        <w:trPr>
          <w:trHeight w:val="215"/>
        </w:trPr>
        <w:tc>
          <w:tcPr>
            <w:tcW w:w="44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w w:val="99"/>
              </w:rPr>
              <w:t>January 29, 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w w:val="99"/>
              </w:rPr>
              <w:t>January 30, 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w w:val="99"/>
              </w:rPr>
              <w:t>February 2, 2020</w:t>
            </w:r>
          </w:p>
        </w:tc>
        <w:tc>
          <w:tcPr>
            <w:tcW w:w="500" w:type="dxa"/>
            <w:vAlign w:val="bottom"/>
            <w:tcBorders>
              <w:bottom w:val="single" w:sz="8" w:color="auto"/>
            </w:tcBorders>
          </w:tcPr>
          <w:p>
            <w:pPr>
              <w:spacing w:after="0"/>
              <w:rPr>
                <w:sz w:val="18"/>
                <w:szCs w:val="18"/>
                <w:color w:val="auto"/>
              </w:rPr>
            </w:pPr>
          </w:p>
        </w:tc>
      </w:tr>
      <w:tr>
        <w:trPr>
          <w:trHeight w:val="20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$39,144</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$25,650</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$24,982</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0"/>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 Interest expense,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30,481</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11,939</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Loss on debt extinguishment / refinancing</w:t>
            </w:r>
          </w:p>
        </w:tc>
        <w:tc>
          <w:tcPr>
            <w:tcW w:w="17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r>
      <w:tr>
        <w:trPr>
          <w:trHeight w:val="210"/>
        </w:trPr>
        <w:tc>
          <w:tcPr>
            <w:tcW w:w="44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7,591</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6,468</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48,972</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33,974</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35,234</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4"/>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126,188</w:t>
            </w:r>
          </w:p>
        </w:tc>
        <w:tc>
          <w:tcPr>
            <w:tcW w:w="5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80,523</w:t>
            </w:r>
          </w:p>
        </w:tc>
        <w:tc>
          <w:tcPr>
            <w:tcW w:w="5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72,850</w:t>
            </w:r>
          </w:p>
        </w:tc>
        <w:tc>
          <w:tcPr>
            <w:tcW w:w="6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5"/>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back: Loss on asset disposal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0"/>
        </w:trPr>
        <w:tc>
          <w:tcPr>
            <w:tcW w:w="44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Impairment of long-lived assets and lease termination costs</w:t>
            </w: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r>
      <w:tr>
        <w:trPr>
          <w:trHeight w:val="215"/>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0"/>
        </w:trPr>
        <w:tc>
          <w:tcPr>
            <w:tcW w:w="44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Merger &amp; integration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r>
      <w:tr>
        <w:trPr>
          <w:trHeight w:val="212"/>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Information systems implementation costs and other items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8"/>
        </w:trPr>
        <w:tc>
          <w:tcPr>
            <w:tcW w:w="4460" w:type="dxa"/>
            <w:vAlign w:val="bottom"/>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Adjusted EBITDA, a non-GAAP measure </w:t>
            </w:r>
            <w:r>
              <w:rPr>
                <w:rFonts w:ascii="Times New Roman" w:cs="Times New Roman" w:eastAsia="Times New Roman" w:hAnsi="Times New Roman"/>
                <w:sz w:val="20"/>
                <w:szCs w:val="20"/>
                <w:color w:val="auto"/>
                <w:vertAlign w:val="superscript"/>
              </w:rPr>
              <w:t>(1)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$138,382</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$84,936</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$74,765</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21.5 %</w:t>
            </w:r>
          </w:p>
        </w:tc>
      </w:tr>
      <w:tr>
        <w:trPr>
          <w:trHeight w:val="20"/>
        </w:trPr>
        <w:tc>
          <w:tcPr>
            <w:tcW w:w="4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32" w:lineRule="exact"/>
        <w:rPr>
          <w:sz w:val="20"/>
          <w:szCs w:val="20"/>
          <w:color w:val="auto"/>
        </w:rPr>
      </w:pPr>
    </w:p>
    <w:p>
      <w:pPr>
        <w:jc w:val="both"/>
        <w:ind w:left="320" w:hanging="314"/>
        <w:spacing w:after="0" w:line="210" w:lineRule="auto"/>
        <w:tabs>
          <w:tab w:leader="none" w:pos="361" w:val="left"/>
        </w:tabs>
        <w:numPr>
          <w:ilvl w:val="0"/>
          <w:numId w:val="6"/>
        </w:numPr>
        <w:rPr>
          <w:rFonts w:ascii="Arial" w:cs="Arial" w:eastAsia="Arial" w:hAnsi="Arial"/>
          <w:sz w:val="28"/>
          <w:szCs w:val="28"/>
          <w:color w:val="auto"/>
          <w:vertAlign w:val="superscript"/>
        </w:rPr>
      </w:pPr>
      <w:r>
        <w:rPr>
          <w:rFonts w:ascii="Times New Roman" w:cs="Times New Roman" w:eastAsia="Times New Roman" w:hAnsi="Times New Roman"/>
          <w:sz w:val="16"/>
          <w:szCs w:val="16"/>
          <w:color w:val="auto"/>
        </w:rPr>
        <w:t>To more closely align our reported Adjusted EBITDA with recurring operating cash flows, we excluded pre-opening costs from Adjusted EBITDA beginning with the 13 Weeks Ended January 29, 2023. Adjusted EBITDA for the 13 Weeks Ended January 30, 2022 and February 2, 2020 has been adjusted to reflect comparable presentations.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operating income to store operating income before depreciation and amortization for the periods shown: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January 29, 2023</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January 30, 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February 2, 2020</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$77,216</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13.7 %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$37,616</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General and administrative expenses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39,053</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20,422</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48,972</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33,974</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35,234</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Pre-opening costs</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6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6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6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Store operating income before depreciation and amortization, a non-</w:t>
            </w:r>
          </w:p>
        </w:tc>
        <w:tc>
          <w:tcPr>
            <w:tcW w:w="3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169,076</w:t>
            </w:r>
          </w:p>
        </w:tc>
        <w:tc>
          <w:tcPr>
            <w:tcW w:w="60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  $</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101,082</w:t>
            </w:r>
          </w:p>
        </w:tc>
        <w:tc>
          <w:tcPr>
            <w:tcW w:w="60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29.5 %  $</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96,273</w:t>
            </w:r>
          </w:p>
        </w:tc>
        <w:tc>
          <w:tcPr>
            <w:tcW w:w="6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measure</w:t>
            </w:r>
          </w:p>
        </w:tc>
        <w:tc>
          <w:tcPr>
            <w:tcW w:w="3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3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560" w:type="dxa"/>
            <w:vAlign w:val="bottom"/>
          </w:tcPr>
          <w:p>
            <w:pPr>
              <w:spacing w:after="0"/>
              <w:rPr>
                <w:sz w:val="18"/>
                <w:szCs w:val="18"/>
                <w:color w:val="auto"/>
              </w:rPr>
            </w:pPr>
          </w:p>
        </w:tc>
      </w:tr>
      <w:tr>
        <w:trPr>
          <w:trHeight w:val="215"/>
        </w:trPr>
        <w:tc>
          <w:tcPr>
            <w:tcW w:w="4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January 29, 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January 30, 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w w:val="99"/>
              </w:rPr>
              <w:t>February 2, 2020</w:t>
            </w:r>
          </w:p>
        </w:tc>
        <w:tc>
          <w:tcPr>
            <w:tcW w:w="560" w:type="dxa"/>
            <w:vAlign w:val="bottom"/>
            <w:tcBorders>
              <w:bottom w:val="single" w:sz="8" w:color="auto"/>
            </w:tcBorders>
          </w:tcPr>
          <w:p>
            <w:pPr>
              <w:spacing w:after="0"/>
              <w:rPr>
                <w:sz w:val="18"/>
                <w:szCs w:val="18"/>
                <w:color w:val="auto"/>
              </w:rPr>
            </w:pPr>
          </w:p>
        </w:tc>
      </w:tr>
      <w:tr>
        <w:trPr>
          <w:trHeight w:val="20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 revenue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41.6 %</w:t>
            </w:r>
          </w:p>
        </w:tc>
      </w:tr>
      <w:tr>
        <w:trPr>
          <w:trHeight w:val="22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Amusement and other revenue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1,286,094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867,419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791,115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58.4 %</w:t>
            </w:r>
          </w:p>
        </w:tc>
      </w:tr>
      <w:tr>
        <w:trPr>
          <w:trHeight w:val="206"/>
        </w:trPr>
        <w:tc>
          <w:tcPr>
            <w:tcW w:w="4120" w:type="dxa"/>
            <w:vAlign w:val="bottom"/>
            <w:shd w:val="clear" w:color="auto" w:fill="CCEEFF"/>
          </w:tcPr>
          <w:p>
            <w:pPr>
              <w:ind w:left="340"/>
              <w:spacing w:after="0" w:line="206" w:lineRule="exact"/>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1,964,427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100.0 %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1,304,056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100.0 %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1,354,691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100.0 %</w:t>
            </w:r>
          </w:p>
        </w:tc>
      </w:tr>
      <w:tr>
        <w:trPr>
          <w:trHeight w:val="266"/>
        </w:trPr>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73"/>
        </w:trPr>
        <w:tc>
          <w:tcPr>
            <w:tcW w:w="41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Cost of food and beverage (as a percentage of food and</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193,742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28.6 %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119,123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27.3 %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148,196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26.3 %</w:t>
            </w:r>
          </w:p>
        </w:tc>
      </w:tr>
      <w:tr>
        <w:trPr>
          <w:trHeight w:val="23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revenue)</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173"/>
        </w:trPr>
        <w:tc>
          <w:tcPr>
            <w:tcW w:w="41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Cost of amusement and other (as a percentage of</w:t>
            </w:r>
          </w:p>
        </w:tc>
        <w:tc>
          <w:tcPr>
            <w:tcW w:w="26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115,122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85,848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85,115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10.8 %</w:t>
            </w:r>
          </w:p>
        </w:tc>
      </w:tr>
      <w:tr>
        <w:trPr>
          <w:trHeight w:val="235"/>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amusement and other revenue)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209"/>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products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308,864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r>
      <w:tr>
        <w:trPr>
          <w:trHeight w:val="22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470,729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600,568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r>
      <w:tr>
        <w:trPr>
          <w:trHeight w:val="22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137,837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169,302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2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Pre-opening costs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6"/>
        </w:trPr>
        <w:tc>
          <w:tcPr>
            <w:tcW w:w="412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Total operating costs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1,701,919</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1,116,875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1,206,612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89.0 %</w:t>
            </w:r>
          </w:p>
        </w:tc>
      </w:tr>
      <w:tr>
        <w:trPr>
          <w:trHeight w:val="206"/>
        </w:trPr>
        <w:tc>
          <w:tcPr>
            <w:tcW w:w="4120" w:type="dxa"/>
            <w:vAlign w:val="bottom"/>
          </w:tcPr>
          <w:p>
            <w:pPr>
              <w:ind w:left="340"/>
              <w:spacing w:after="0" w:line="206" w:lineRule="exact"/>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262,508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187,181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148,079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2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refinancing / extinguishment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6"/>
        </w:trPr>
        <w:tc>
          <w:tcPr>
            <w:tcW w:w="4120" w:type="dxa"/>
            <w:vAlign w:val="bottom"/>
            <w:tcBorders>
              <w:top w:val="single" w:sz="8" w:color="CCEEFF"/>
            </w:tcBorders>
            <w:shd w:val="clear" w:color="auto" w:fill="CCEEFF"/>
          </w:tcPr>
          <w:p>
            <w:pPr>
              <w:ind w:left="340"/>
              <w:spacing w:after="0" w:line="206" w:lineRule="exact"/>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173,666</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127,654</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127,142</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2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31"/>
        </w:trPr>
        <w:tc>
          <w:tcPr>
            <w:tcW w:w="4120" w:type="dxa"/>
            <w:vAlign w:val="bottom"/>
            <w:tcBorders>
              <w:bottom w:val="single" w:sz="8" w:color="CCEEFF"/>
            </w:tcBorders>
            <w:shd w:val="clear" w:color="auto" w:fill="CCEEFF"/>
          </w:tcPr>
          <w:p>
            <w:pPr>
              <w:ind w:left="340"/>
              <w:spacing w:after="0" w:line="206" w:lineRule="exact"/>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137,135</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100,263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6"/>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6"/>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6"/>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shares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48,498,053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48,142,090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33,450,217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6"/>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shares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49,176,977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49,263,720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34,099,378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66"/>
        </w:trPr>
        <w:tc>
          <w:tcPr>
            <w:tcW w:w="4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2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6"/>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Company-owned stores at end of period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6"/>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Store operating weeks in the period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6"/>
        </w:trPr>
        <w:tc>
          <w:tcPr>
            <w:tcW w:w="4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Total revenue per store operating weeks in the period </w:t>
            </w: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891"/>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112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to EBITDA and Adjusted EBITDA for the periods shown: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78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January 29, 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January 30, 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February 2, 2020</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$137,135</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9"/>
              </w:rPr>
              <w:t>$108,640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$100,263</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10"/>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 Interest expense,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53,910</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Loss on debt extinguishment / refinancing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36,531</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26,879</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169,302</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138,329</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132,460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431,810</w:t>
            </w:r>
          </w:p>
        </w:tc>
        <w:tc>
          <w:tcPr>
            <w:tcW w:w="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325,510</w:t>
            </w:r>
          </w:p>
        </w:tc>
        <w:tc>
          <w:tcPr>
            <w:tcW w:w="5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280,539</w:t>
            </w:r>
          </w:p>
        </w:tc>
        <w:tc>
          <w:tcPr>
            <w:tcW w:w="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0" w:type="dxa"/>
            <w:vAlign w:val="bottom"/>
          </w:tcPr>
          <w:p>
            <w:pPr>
              <w:spacing w:after="0"/>
              <w:rPr>
                <w:sz w:val="1"/>
                <w:szCs w:val="1"/>
                <w:color w:val="auto"/>
              </w:rPr>
            </w:pPr>
          </w:p>
        </w:tc>
      </w:tr>
      <w:tr>
        <w:trPr>
          <w:trHeight w:val="215"/>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back: Loss on asset disposal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ind w:left="440"/>
              <w:spacing w:after="0" w:line="159" w:lineRule="exact"/>
              <w:rPr>
                <w:sz w:val="20"/>
                <w:szCs w:val="20"/>
                <w:color w:val="auto"/>
              </w:rPr>
            </w:pPr>
            <w:r>
              <w:rPr>
                <w:rFonts w:ascii="Times New Roman" w:cs="Times New Roman" w:eastAsia="Times New Roman" w:hAnsi="Times New Roman"/>
                <w:sz w:val="16"/>
                <w:szCs w:val="16"/>
                <w:color w:val="auto"/>
              </w:rPr>
              <w:t>Impairment of long-lived assets and lease termination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costs</w:t>
            </w:r>
          </w:p>
        </w:tc>
        <w:tc>
          <w:tcPr>
            <w:tcW w:w="12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19,994</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12,472</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Merger &amp; integration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ind w:left="440"/>
              <w:spacing w:after="0" w:line="161" w:lineRule="exact"/>
              <w:rPr>
                <w:sz w:val="20"/>
                <w:szCs w:val="20"/>
                <w:color w:val="auto"/>
              </w:rPr>
            </w:pPr>
            <w:r>
              <w:rPr>
                <w:rFonts w:ascii="Times New Roman" w:cs="Times New Roman" w:eastAsia="Times New Roman" w:hAnsi="Times New Roman"/>
                <w:sz w:val="16"/>
                <w:szCs w:val="16"/>
                <w:color w:val="auto"/>
              </w:rPr>
              <w:t>Information systems implementation costs and other</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5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5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items</w:t>
            </w: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tcPr>
          <w:p>
            <w:pPr>
              <w:ind w:left="20"/>
              <w:spacing w:after="0" w:line="208" w:lineRule="exact"/>
              <w:rPr>
                <w:sz w:val="20"/>
                <w:szCs w:val="20"/>
                <w:color w:val="auto"/>
              </w:rPr>
            </w:pPr>
            <w:r>
              <w:rPr>
                <w:rFonts w:ascii="Times New Roman" w:cs="Times New Roman" w:eastAsia="Times New Roman" w:hAnsi="Times New Roman"/>
                <w:sz w:val="16"/>
                <w:szCs w:val="16"/>
                <w:color w:val="auto"/>
              </w:rPr>
              <w:t xml:space="preserve">Adjusted EBITDA, a non-GAAP measure </w:t>
            </w:r>
            <w:r>
              <w:rPr>
                <w:rFonts w:ascii="Times New Roman" w:cs="Times New Roman" w:eastAsia="Times New Roman" w:hAnsi="Times New Roman"/>
                <w:sz w:val="20"/>
                <w:szCs w:val="20"/>
                <w:color w:val="auto"/>
                <w:vertAlign w:val="superscript"/>
              </w:rPr>
              <w:t>(1)</w:t>
            </w:r>
          </w:p>
        </w:tc>
        <w:tc>
          <w:tcPr>
            <w:tcW w:w="12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99"/>
              </w:rPr>
              <w:t>$480,367</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tcPr>
          <w:p>
            <w:pPr>
              <w:spacing w:after="0"/>
              <w:rPr>
                <w:sz w:val="18"/>
                <w:szCs w:val="18"/>
                <w:color w:val="auto"/>
              </w:rPr>
            </w:pPr>
          </w:p>
        </w:tc>
        <w:tc>
          <w:tcPr>
            <w:tcW w:w="1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w w:val="99"/>
              </w:rPr>
              <w:t>$343,575</w:t>
            </w: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80" w:type="dxa"/>
            <w:vAlign w:val="bottom"/>
          </w:tcPr>
          <w:p>
            <w:pPr>
              <w:spacing w:after="0"/>
              <w:rPr>
                <w:sz w:val="18"/>
                <w:szCs w:val="18"/>
                <w:color w:val="auto"/>
              </w:rPr>
            </w:pPr>
          </w:p>
        </w:tc>
        <w:tc>
          <w:tcPr>
            <w:tcW w:w="12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99"/>
              </w:rPr>
              <w:t>$289,251</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
        <w:spacing w:after="0" w:line="205" w:lineRule="auto"/>
        <w:tabs>
          <w:tab w:leader="none" w:pos="217" w:val="left"/>
        </w:tabs>
        <w:numPr>
          <w:ilvl w:val="0"/>
          <w:numId w:val="7"/>
        </w:numPr>
        <w:rPr>
          <w:rFonts w:ascii="Arial" w:cs="Arial" w:eastAsia="Arial" w:hAnsi="Arial"/>
          <w:sz w:val="25"/>
          <w:szCs w:val="25"/>
          <w:color w:val="auto"/>
          <w:vertAlign w:val="superscript"/>
        </w:rPr>
      </w:pPr>
      <w:r>
        <w:rPr>
          <w:rFonts w:ascii="Times New Roman" w:cs="Times New Roman" w:eastAsia="Times New Roman" w:hAnsi="Times New Roman"/>
          <w:sz w:val="15"/>
          <w:szCs w:val="15"/>
          <w:color w:val="auto"/>
        </w:rPr>
        <w:t>To more closely align our reported Adjusted EBITDA with recurring operating cash flows, we excluded pre-opening costs from Adjusted EBITDA beginning with the 52 Weeks Ended January 29, 2023. Adjusted EBITDA for the 52 Weeks Ended January 30, 2022 and February 2, 2020 has been adjusted to reflect comparable presentations.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operating income to store operating income before depreciation and amortization for the periods shown: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January 29, 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January 30, 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February 2, 2020</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$262,508</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$187,181</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14.4 %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$148,079</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10"/>
        </w:trPr>
        <w:tc>
          <w:tcPr>
            <w:tcW w:w="4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 General and administrative expenses</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137,837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75,501</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69,469</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169,302</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138,329</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132,460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Pre-opening costs</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14,619</w:t>
            </w:r>
          </w:p>
        </w:tc>
        <w:tc>
          <w:tcPr>
            <w:tcW w:w="5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5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18,971</w:t>
            </w:r>
          </w:p>
        </w:tc>
        <w:tc>
          <w:tcPr>
            <w:tcW w:w="5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Store operating income before depreciation and amortization, a</w:t>
            </w:r>
          </w:p>
        </w:tc>
        <w:tc>
          <w:tcPr>
            <w:tcW w:w="34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584,266</w:t>
            </w:r>
          </w:p>
        </w:tc>
        <w:tc>
          <w:tcPr>
            <w:tcW w:w="56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29.7 %  $</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409,161</w:t>
            </w:r>
          </w:p>
        </w:tc>
        <w:tc>
          <w:tcPr>
            <w:tcW w:w="56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31.4 %  $</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368,979</w:t>
            </w:r>
          </w:p>
        </w:tc>
        <w:tc>
          <w:tcPr>
            <w:tcW w:w="5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measure</w:t>
            </w:r>
          </w:p>
        </w:tc>
        <w:tc>
          <w:tcPr>
            <w:tcW w:w="3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30" w:right="339" w:bottom="1440" w:gutter="0" w:footer="0" w:header="0"/>
        </w:sectPr>
      </w:pPr>
    </w:p>
    <w:bookmarkStart w:id="11" w:name="page12"/>
    <w:bookmarkEnd w:id="11"/>
    <w:p>
      <w:pPr>
        <w:ind w:right="560"/>
        <w:spacing w:after="0" w:line="275"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to Credit Adjusted EBITDA, as defined in our senior secured credit facility, for the periods shown: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13 Weeks Ended January</w:t>
            </w: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52 Weeks Ended January</w:t>
            </w:r>
          </w:p>
        </w:tc>
      </w:tr>
      <w:tr>
        <w:trPr>
          <w:trHeight w:val="192"/>
        </w:trPr>
        <w:tc>
          <w:tcPr>
            <w:tcW w:w="76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29, 2023</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29, 2023</w:t>
            </w:r>
          </w:p>
        </w:tc>
      </w:tr>
      <w:tr>
        <w:trPr>
          <w:trHeight w:val="21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$39,144</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$137,135</w:t>
            </w:r>
          </w:p>
        </w:tc>
      </w:tr>
      <w:tr>
        <w:trPr>
          <w:trHeight w:val="210"/>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back: Interest expense, net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30,481</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87,363</w:t>
            </w:r>
          </w:p>
        </w:tc>
      </w:tr>
      <w:tr>
        <w:trPr>
          <w:trHeight w:val="215"/>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Loss on debt extinguishment / refinancing</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r>
      <w:tr>
        <w:trPr>
          <w:trHeight w:val="210"/>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7,591</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36,531</w:t>
            </w:r>
          </w:p>
        </w:tc>
      </w:tr>
      <w:tr>
        <w:trPr>
          <w:trHeight w:val="215"/>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48,972</w:t>
            </w:r>
          </w:p>
        </w:tc>
        <w:tc>
          <w:tcPr>
            <w:tcW w:w="12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169,302</w:t>
            </w: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126,188</w:t>
            </w: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431,810</w:t>
            </w:r>
          </w:p>
        </w:tc>
      </w:tr>
      <w:tr>
        <w:trPr>
          <w:trHeight w:val="215"/>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back: Loss on asset disposal</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10"/>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Impairment of long-lived assets and lease termination costs</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w:t>
            </w:r>
          </w:p>
        </w:tc>
      </w:tr>
      <w:tr>
        <w:trPr>
          <w:trHeight w:val="215"/>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19,994</w:t>
            </w:r>
          </w:p>
        </w:tc>
      </w:tr>
      <w:tr>
        <w:trPr>
          <w:trHeight w:val="210"/>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Pre-opening costs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14,619</w:t>
            </w:r>
          </w:p>
        </w:tc>
      </w:tr>
      <w:tr>
        <w:trPr>
          <w:trHeight w:val="215"/>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Merger and integration costs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25,257</w:t>
            </w:r>
          </w:p>
        </w:tc>
      </w:tr>
      <w:tr>
        <w:trPr>
          <w:trHeight w:val="210"/>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Amusement deferrals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6,383</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14,853</w:t>
            </w:r>
          </w:p>
        </w:tc>
      </w:tr>
      <w:tr>
        <w:trPr>
          <w:trHeight w:val="215"/>
        </w:trPr>
        <w:tc>
          <w:tcPr>
            <w:tcW w:w="7680" w:type="dxa"/>
            <w:vAlign w:val="bottom"/>
            <w:shd w:val="clear" w:color="auto" w:fill="CCEEFF"/>
          </w:tcPr>
          <w:p>
            <w:pPr>
              <w:ind w:left="440"/>
              <w:spacing w:after="0" w:line="215" w:lineRule="exact"/>
              <w:rPr>
                <w:sz w:val="20"/>
                <w:szCs w:val="20"/>
                <w:color w:val="auto"/>
              </w:rPr>
            </w:pPr>
            <w:r>
              <w:rPr>
                <w:rFonts w:ascii="Times New Roman" w:cs="Times New Roman" w:eastAsia="Times New Roman" w:hAnsi="Times New Roman"/>
                <w:sz w:val="16"/>
                <w:szCs w:val="16"/>
                <w:color w:val="auto"/>
              </w:rPr>
              <w:t xml:space="preserve">Proforma Main Event adjustments </w:t>
            </w:r>
            <w:r>
              <w:rPr>
                <w:rFonts w:ascii="Times New Roman" w:cs="Times New Roman" w:eastAsia="Times New Roman" w:hAnsi="Times New Roman"/>
                <w:sz w:val="20"/>
                <w:szCs w:val="20"/>
                <w:color w:val="auto"/>
                <w:vertAlign w:val="superscript"/>
              </w:rPr>
              <w:t>(1)</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49,886</w:t>
            </w:r>
          </w:p>
        </w:tc>
      </w:tr>
      <w:tr>
        <w:trPr>
          <w:trHeight w:val="210"/>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Information systems implementation costs and other items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3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Adjusted EBITDA, a non-GAAP measure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$148,600</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$559,725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6"/>
        <w:spacing w:after="0" w:line="222" w:lineRule="auto"/>
        <w:tabs>
          <w:tab w:leader="none" w:pos="197" w:val="left"/>
        </w:tabs>
        <w:numPr>
          <w:ilvl w:val="0"/>
          <w:numId w:val="8"/>
        </w:numPr>
        <w:rPr>
          <w:rFonts w:ascii="Arial" w:cs="Arial" w:eastAsia="Arial" w:hAnsi="Arial"/>
          <w:sz w:val="23"/>
          <w:szCs w:val="23"/>
          <w:color w:val="auto"/>
          <w:vertAlign w:val="superscript"/>
        </w:rPr>
      </w:pPr>
      <w:r>
        <w:rPr>
          <w:rFonts w:ascii="Times New Roman" w:cs="Times New Roman" w:eastAsia="Times New Roman" w:hAnsi="Times New Roman"/>
          <w:sz w:val="14"/>
          <w:szCs w:val="14"/>
          <w:color w:val="auto"/>
        </w:rPr>
        <w:t>Total adjustment amount for Main Event for periods prior to the Company's ownership during the trailing four quarter Test Period, as defined on a Pro Forma Basis in our senior secured credit facility.</w:t>
      </w:r>
    </w:p>
    <w:p>
      <w:pPr>
        <w:spacing w:after="0" w:line="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calculation of Net Total Leverage Ratio, as defined in our senior secured credit facility, for the period shown:</w:t>
      </w:r>
    </w:p>
    <w:p>
      <w:pPr>
        <w:spacing w:after="0" w:line="26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As of and for Fiscal Ye</w:t>
            </w:r>
          </w:p>
        </w:tc>
        <w:tc>
          <w:tcPr>
            <w:tcW w:w="0" w:type="dxa"/>
            <w:vAlign w:val="bottom"/>
          </w:tcPr>
          <w:p>
            <w:pPr>
              <w:spacing w:after="0"/>
              <w:rPr>
                <w:sz w:val="1"/>
                <w:szCs w:val="1"/>
                <w:color w:val="auto"/>
              </w:rPr>
            </w:pPr>
          </w:p>
        </w:tc>
      </w:tr>
      <w:tr>
        <w:trPr>
          <w:trHeight w:val="173"/>
        </w:trPr>
        <w:tc>
          <w:tcPr>
            <w:tcW w:w="9480" w:type="dxa"/>
            <w:vAlign w:val="bottom"/>
          </w:tcPr>
          <w:p>
            <w:pPr>
              <w:spacing w:after="0"/>
              <w:rPr>
                <w:sz w:val="15"/>
                <w:szCs w:val="15"/>
                <w:color w:val="auto"/>
              </w:rPr>
            </w:pPr>
          </w:p>
        </w:tc>
        <w:tc>
          <w:tcPr>
            <w:tcW w:w="138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6"/>
        </w:trPr>
        <w:tc>
          <w:tcPr>
            <w:tcW w:w="948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0" w:type="dxa"/>
            <w:vAlign w:val="bottom"/>
          </w:tcPr>
          <w:p>
            <w:pPr>
              <w:spacing w:after="0"/>
              <w:rPr>
                <w:sz w:val="1"/>
                <w:szCs w:val="1"/>
                <w:color w:val="auto"/>
              </w:rPr>
            </w:pPr>
          </w:p>
        </w:tc>
      </w:tr>
      <w:tr>
        <w:trPr>
          <w:trHeight w:val="38"/>
        </w:trPr>
        <w:tc>
          <w:tcPr>
            <w:tcW w:w="94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Adjusted EBITDA (a)</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80" w:type="dxa"/>
            <w:vAlign w:val="bottom"/>
            <w:vMerge w:val="continue"/>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0" w:type="dxa"/>
            <w:vAlign w:val="bottom"/>
          </w:tcPr>
          <w:p>
            <w:pPr>
              <w:spacing w:after="0"/>
              <w:rPr>
                <w:sz w:val="1"/>
                <w:szCs w:val="1"/>
                <w:color w:val="auto"/>
              </w:rPr>
            </w:pPr>
          </w:p>
        </w:tc>
      </w:tr>
      <w:tr>
        <w:trPr>
          <w:trHeight w:val="241"/>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w:t>
            </w:r>
          </w:p>
        </w:tc>
        <w:tc>
          <w:tcPr>
            <w:tcW w:w="0" w:type="dxa"/>
            <w:vAlign w:val="bottom"/>
          </w:tcPr>
          <w:p>
            <w:pPr>
              <w:spacing w:after="0"/>
              <w:rPr>
                <w:sz w:val="1"/>
                <w:szCs w:val="1"/>
                <w:color w:val="auto"/>
              </w:rPr>
            </w:pPr>
          </w:p>
        </w:tc>
      </w:tr>
      <w:tr>
        <w:trPr>
          <w:trHeight w:val="21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Outstanding letters of credit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6"/>
        </w:trPr>
        <w:tc>
          <w:tcPr>
            <w:tcW w:w="9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debt (b)</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0" w:type="dxa"/>
            <w:vAlign w:val="bottom"/>
          </w:tcPr>
          <w:p>
            <w:pPr>
              <w:spacing w:after="0"/>
              <w:rPr>
                <w:sz w:val="1"/>
                <w:szCs w:val="1"/>
                <w:color w:val="auto"/>
              </w:rPr>
            </w:pPr>
          </w:p>
        </w:tc>
      </w:tr>
      <w:tr>
        <w:trPr>
          <w:trHeight w:val="208"/>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Total Leverage Ratio (b / a)</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320" w:top="1130"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8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29, 2023</w:t>
            </w:r>
          </w:p>
        </w:tc>
        <w:tc>
          <w:tcPr>
            <w:tcW w:w="14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$25,910</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112,116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119,661</w:t>
            </w: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360"/>
              <w:spacing w:after="0" w:line="206" w:lineRule="exact"/>
              <w:rPr>
                <w:sz w:val="20"/>
                <w:szCs w:val="20"/>
                <w:color w:val="auto"/>
              </w:rPr>
            </w:pPr>
            <w:r>
              <w:rPr>
                <w:rFonts w:ascii="Times New Roman" w:cs="Times New Roman" w:eastAsia="Times New Roman" w:hAnsi="Times New Roman"/>
                <w:sz w:val="18"/>
                <w:szCs w:val="18"/>
                <w:color w:val="auto"/>
              </w:rPr>
              <w:t>Total current assets</w:t>
            </w:r>
          </w:p>
        </w:tc>
        <w:tc>
          <w:tcPr>
            <w:tcW w:w="34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293,707</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145,571</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1,180,231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778,597</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1,333,596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1,037,197</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953,459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384,425</w:t>
            </w:r>
          </w:p>
        </w:tc>
        <w:tc>
          <w:tcPr>
            <w:tcW w:w="0" w:type="dxa"/>
            <w:vAlign w:val="bottom"/>
          </w:tcPr>
          <w:p>
            <w:pPr>
              <w:spacing w:after="0"/>
              <w:rPr>
                <w:sz w:val="1"/>
                <w:szCs w:val="1"/>
                <w:color w:val="auto"/>
              </w:rPr>
            </w:pPr>
          </w:p>
        </w:tc>
      </w:tr>
      <w:tr>
        <w:trPr>
          <w:trHeight w:val="231"/>
        </w:trPr>
        <w:tc>
          <w:tcPr>
            <w:tcW w:w="4700" w:type="dxa"/>
            <w:vAlign w:val="bottom"/>
            <w:tcBorders>
              <w:top w:val="single" w:sz="8" w:color="CCEEFF"/>
              <w:bottom w:val="single" w:sz="8" w:color="CCEEFF"/>
            </w:tcBorders>
            <w:shd w:val="clear" w:color="auto" w:fill="CCEEFF"/>
          </w:tcPr>
          <w:p>
            <w:pPr>
              <w:ind w:left="580"/>
              <w:spacing w:after="0" w:line="206" w:lineRule="exact"/>
              <w:rPr>
                <w:sz w:val="20"/>
                <w:szCs w:val="20"/>
                <w:color w:val="auto"/>
              </w:rPr>
            </w:pPr>
            <w:r>
              <w:rPr>
                <w:rFonts w:ascii="Times New Roman" w:cs="Times New Roman" w:eastAsia="Times New Roman" w:hAnsi="Times New Roman"/>
                <w:sz w:val="18"/>
                <w:szCs w:val="18"/>
                <w:color w:val="auto"/>
              </w:rPr>
              <w:t>Total assets</w:t>
            </w:r>
          </w:p>
        </w:tc>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$2,345,790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700" w:type="dxa"/>
            <w:vAlign w:val="bottom"/>
            <w:shd w:val="clear" w:color="auto" w:fill="CCEEFF"/>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700" w:type="dxa"/>
            <w:vAlign w:val="bottom"/>
            <w:shd w:val="clear" w:color="auto" w:fill="CCEEFF"/>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$438,037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$311,515</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1,567,794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1,277,539</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121,916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49,881</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1,222,711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431,395</w:t>
            </w:r>
          </w:p>
        </w:tc>
        <w:tc>
          <w:tcPr>
            <w:tcW w:w="0" w:type="dxa"/>
            <w:vAlign w:val="bottom"/>
          </w:tcPr>
          <w:p>
            <w:pPr>
              <w:spacing w:after="0"/>
              <w:rPr>
                <w:sz w:val="1"/>
                <w:szCs w:val="1"/>
                <w:color w:val="auto"/>
              </w:rPr>
            </w:pPr>
          </w:p>
        </w:tc>
      </w:tr>
      <w:tr>
        <w:trPr>
          <w:trHeight w:val="206"/>
        </w:trPr>
        <w:tc>
          <w:tcPr>
            <w:tcW w:w="4700" w:type="dxa"/>
            <w:vAlign w:val="bottom"/>
            <w:tcBorders>
              <w:bottom w:val="single" w:sz="8" w:color="CCEEFF"/>
            </w:tcBorders>
          </w:tcPr>
          <w:p>
            <w:pPr>
              <w:ind w:left="20"/>
              <w:spacing w:after="0" w:line="206" w:lineRule="exact"/>
              <w:rPr>
                <w:sz w:val="20"/>
                <w:szCs w:val="20"/>
                <w:color w:val="auto"/>
              </w:rPr>
            </w:pPr>
            <w:r>
              <w:rPr>
                <w:rFonts w:ascii="Times New Roman" w:cs="Times New Roman" w:eastAsia="Times New Roman" w:hAnsi="Times New Roman"/>
                <w:sz w:val="18"/>
                <w:szCs w:val="18"/>
                <w:color w:val="auto"/>
              </w:rPr>
              <w:t>Stockholders' equity</w:t>
            </w:r>
          </w:p>
        </w:tc>
        <w:tc>
          <w:tcPr>
            <w:tcW w:w="348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410,535</w:t>
            </w:r>
          </w:p>
        </w:tc>
        <w:tc>
          <w:tcPr>
            <w:tcW w:w="10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275,460</w:t>
            </w: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580"/>
              <w:spacing w:after="0" w:line="20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$3,760,993</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$2,345,790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2379"/>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47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2023-03-28T16:11:50Z</dcterms:created>
  <dcterms:modified xsi:type="dcterms:W3CDTF">2023-03-28T16:11:50Z</dcterms:modified>
</cp:coreProperties>
</file>