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19"/>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3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DAVE &amp; BUSTER’S ENTERTAINMENT, INC.</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80" w:right="180" w:hanging="564"/>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-3533775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-2505075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-139065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306070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1020"/>
          </w:cols>
          <w:pgMar w:left="320" w:top="230" w:right="559" w:bottom="106"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985520</wp:posOffset>
            </wp:positionV>
            <wp:extent cx="2468880" cy="2468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6888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880"/>
        <w:spacing w:after="0"/>
        <w:rPr>
          <w:sz w:val="20"/>
          <w:szCs w:val="20"/>
          <w:color w:val="auto"/>
        </w:rPr>
      </w:pPr>
      <w:r>
        <w:rPr>
          <w:rFonts w:ascii="Arial" w:cs="Arial" w:eastAsia="Arial" w:hAnsi="Arial"/>
          <w:sz w:val="43"/>
          <w:szCs w:val="43"/>
          <w:b w:val="1"/>
          <w:bCs w:val="1"/>
          <w:color w:val="003B71"/>
        </w:rPr>
        <w:t>EAT DRINK PLAY WATCH</w:t>
      </w:r>
      <w:r>
        <w:rPr>
          <w:rFonts w:ascii="Arial" w:cs="Arial" w:eastAsia="Arial" w:hAnsi="Arial"/>
          <w:sz w:val="36"/>
          <w:szCs w:val="36"/>
          <w:color w:val="003B7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20"/>
        <w:spacing w:after="0"/>
        <w:rPr>
          <w:sz w:val="20"/>
          <w:szCs w:val="20"/>
          <w:color w:val="auto"/>
        </w:rPr>
      </w:pPr>
      <w:r>
        <w:rPr>
          <w:rFonts w:ascii="Arial" w:cs="Arial" w:eastAsia="Arial" w:hAnsi="Arial"/>
          <w:sz w:val="115"/>
          <w:szCs w:val="115"/>
          <w:color w:val="003B71"/>
        </w:rPr>
        <w:t>2020</w:t>
      </w:r>
    </w:p>
    <w:p>
      <w:pPr>
        <w:jc w:val="center"/>
        <w:ind w:right="-1120"/>
        <w:spacing w:after="0"/>
        <w:rPr>
          <w:sz w:val="20"/>
          <w:szCs w:val="20"/>
          <w:color w:val="auto"/>
        </w:rPr>
      </w:pPr>
      <w:r>
        <w:rPr>
          <w:rFonts w:ascii="Arial" w:cs="Arial" w:eastAsia="Arial" w:hAnsi="Arial"/>
          <w:sz w:val="43"/>
          <w:szCs w:val="43"/>
          <w:color w:val="003B71"/>
        </w:rPr>
        <w:t>NOTICE OF ANNUAL MEETING</w:t>
      </w:r>
    </w:p>
    <w:p>
      <w:pPr>
        <w:spacing w:after="0" w:line="5" w:lineRule="exact"/>
        <w:rPr>
          <w:sz w:val="20"/>
          <w:szCs w:val="20"/>
          <w:color w:val="auto"/>
        </w:rPr>
      </w:pPr>
    </w:p>
    <w:p>
      <w:pPr>
        <w:jc w:val="center"/>
        <w:ind w:right="-1120"/>
        <w:spacing w:after="0"/>
        <w:rPr>
          <w:sz w:val="20"/>
          <w:szCs w:val="20"/>
          <w:color w:val="auto"/>
        </w:rPr>
      </w:pPr>
      <w:r>
        <w:rPr>
          <w:rFonts w:ascii="Arial" w:cs="Arial" w:eastAsia="Arial" w:hAnsi="Arial"/>
          <w:sz w:val="43"/>
          <w:szCs w:val="43"/>
          <w:color w:val="003B71"/>
        </w:rPr>
        <w:t>AND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ind w:right="1159"/>
        <w:spacing w:after="0"/>
        <w:rPr>
          <w:sz w:val="20"/>
          <w:szCs w:val="20"/>
          <w:color w:val="auto"/>
        </w:rPr>
      </w:pPr>
      <w:r>
        <w:rPr>
          <w:rFonts w:ascii="Arial" w:cs="Arial" w:eastAsia="Arial" w:hAnsi="Arial"/>
          <w:sz w:val="25"/>
          <w:szCs w:val="25"/>
          <w:b w:val="1"/>
          <w:bCs w:val="1"/>
          <w:color w:val="003B71"/>
        </w:rPr>
        <w:t>Tuesday, June 23, 2020, 8:30 a.m., Central Daylight Time</w:t>
      </w:r>
    </w:p>
    <w:p>
      <w:pPr>
        <w:sectPr>
          <w:pgSz w:w="11900" w:h="16838" w:orient="portrait"/>
          <w:cols w:equalWidth="0" w:num="1">
            <w:col w:w="10139"/>
          </w:cols>
          <w:pgMar w:left="320" w:top="459" w:right="1440" w:bottom="1440" w:gutter="0" w:footer="0" w:header="0"/>
        </w:sectPr>
      </w:pPr>
    </w:p>
    <w:p>
      <w:pPr>
        <w:spacing w:after="0" w:line="39" w:lineRule="exact"/>
        <w:rPr>
          <w:sz w:val="20"/>
          <w:szCs w:val="20"/>
          <w:color w:val="auto"/>
        </w:rPr>
      </w:pPr>
    </w:p>
    <w:p>
      <w:pPr>
        <w:ind w:left="2840"/>
        <w:spacing w:after="0"/>
        <w:rPr>
          <w:sz w:val="20"/>
          <w:szCs w:val="20"/>
          <w:color w:val="auto"/>
        </w:rPr>
      </w:pPr>
      <w:r>
        <w:rPr>
          <w:rFonts w:ascii="Arial" w:cs="Arial" w:eastAsia="Arial" w:hAnsi="Arial"/>
          <w:sz w:val="17"/>
          <w:szCs w:val="17"/>
          <w:b w:val="1"/>
          <w:bCs w:val="1"/>
          <w:color w:val="4C4C4C"/>
        </w:rPr>
        <w:t>Virtual Meeting, for details visit www.meetingcenter.io/226537069</w:t>
      </w:r>
    </w:p>
    <w:p>
      <w:pPr>
        <w:sectPr>
          <w:pgSz w:w="11900" w:h="16838" w:orient="portrait"/>
          <w:cols w:equalWidth="0" w:num="1">
            <w:col w:w="10139"/>
          </w:cols>
          <w:pgMar w:left="320" w:top="459" w:right="1440"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205740</wp:posOffset>
            </wp:positionV>
            <wp:extent cx="1234440" cy="1234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003B71"/>
        </w:rPr>
        <w:t>May 13, 2020</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Shareholders:</w:t>
      </w:r>
    </w:p>
    <w:p>
      <w:pPr>
        <w:spacing w:after="0" w:line="212"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On behalf of the Board of Directors, it is our pleasure to cordially invite you to participate in the 2020 Annual Meeting of Shareholders of Dave &amp; Buster’s Entertainment, Inc. (the “Annual Meeting”) on June 23, 2020, at 8:30 a.m. Central Daylight Time. We are pleased to announce that this year’s Annual Meeting will be our first time hosting a completely virtual meeting of shareholders, which will be conducted solely online via live webcast. You will be able to listen to the Annual Meeting live online, vote your shares electronically and submit your questions prior to and during the Annual Meeting. You may access the Annual Meeting by visiting www.meetingcenter.io/226537069 on the meeting date and at the time described in the accompanying Notice of Annual Meeting of Shareholders and Proxy Statement. The password for the Annual Meeting is: PLAY2020. Please be sure to check in early to ensure that you can access the Annual Meeting on your computer or other electronic device. You will find information regarding the matters expected to be addressed at the Annual Meeting described in detail in the accompanying Notice of Annual Meeting of Shareholders and Proxy Statement.</w:t>
      </w:r>
    </w:p>
    <w:p>
      <w:pPr>
        <w:spacing w:after="0" w:line="206"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 xml:space="preserve">Your vote is important to us. While we invite you to listen online to the Annual Meeting and exercise your right to vote your shares online during the meeting, we recognize that many of you may not be able to listen or may choose not to do so. Whether or not you plan to listen, we respectfully request you vote as soon as possible over the Internet, by telephone, or, upon your request, after receipt of paper copies of the proxy materials. Your vote will mean that you are represented at the Annual Meeting regardless of whether you participate online during the meeting. You may also request a paper copy of the proxy card to submit your vote, if you prefer. If you have voted by the Internet, by mail or by telephone and later decide to participate in the Annual Meeting virtually, you may do so and vote online during the Annual Meeting. </w:t>
      </w:r>
      <w:r>
        <w:rPr>
          <w:rFonts w:ascii="Arial" w:cs="Arial" w:eastAsia="Arial" w:hAnsi="Arial"/>
          <w:sz w:val="18"/>
          <w:szCs w:val="18"/>
          <w:b w:val="1"/>
          <w:bCs w:val="1"/>
          <w:color w:val="auto"/>
        </w:rPr>
        <w:t>We encourage you to vote by Internet.</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 for being a shareholder and we look forward to the Annual Meeting in this new virtual format.</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1019810" cy="805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1981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Stephen M. King</w:t>
      </w:r>
    </w:p>
    <w:p>
      <w:pPr>
        <w:ind w:left="120"/>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1139825" cy="591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3982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Brian A. Jenkins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234440" cy="1234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003B71"/>
        </w:rPr>
        <w:t>DAVE &amp; BUSTER’S ENTERTAINMENT, INC.</w:t>
      </w:r>
    </w:p>
    <w:p>
      <w:pPr>
        <w:spacing w:after="0" w:line="1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2481 Mañana Drive</w:t>
      </w:r>
    </w:p>
    <w:p>
      <w:pPr>
        <w:ind w:left="2980"/>
        <w:spacing w:after="0"/>
        <w:rPr>
          <w:sz w:val="20"/>
          <w:szCs w:val="20"/>
          <w:color w:val="auto"/>
        </w:rPr>
      </w:pPr>
      <w:r>
        <w:rPr>
          <w:rFonts w:ascii="Arial" w:cs="Arial" w:eastAsia="Arial" w:hAnsi="Arial"/>
          <w:sz w:val="18"/>
          <w:szCs w:val="18"/>
          <w:color w:val="auto"/>
        </w:rPr>
        <w:t>Dallas, TX 75220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40"/>
          <w:szCs w:val="40"/>
          <w:color w:val="003B71"/>
        </w:rPr>
        <w:t>NOTICE OF ANNUAL MEETING</w:t>
      </w:r>
    </w:p>
    <w:p>
      <w:pPr>
        <w:jc w:val="center"/>
        <w:ind w:right="-119"/>
        <w:spacing w:after="0"/>
        <w:rPr>
          <w:sz w:val="20"/>
          <w:szCs w:val="20"/>
          <w:color w:val="auto"/>
        </w:rPr>
      </w:pPr>
      <w:r>
        <w:rPr>
          <w:rFonts w:ascii="Arial" w:cs="Arial" w:eastAsia="Arial" w:hAnsi="Arial"/>
          <w:sz w:val="40"/>
          <w:szCs w:val="40"/>
          <w:color w:val="003B71"/>
        </w:rPr>
        <w:t>OF SHAREHOLDERS</w:t>
      </w: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Shareholders: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NOTICE IS HEREBY GIVEN that the 2020 Annual Meeting of Shareholders of Dave &amp; Buster’s Entertainment, Inc. (the “Annual Meeting”)</w:t>
      </w:r>
    </w:p>
    <w:p>
      <w:pPr>
        <w:ind w:left="120"/>
        <w:spacing w:after="0"/>
        <w:rPr>
          <w:sz w:val="20"/>
          <w:szCs w:val="20"/>
          <w:color w:val="auto"/>
        </w:rPr>
      </w:pPr>
      <w:r>
        <w:rPr>
          <w:rFonts w:ascii="Arial" w:cs="Arial" w:eastAsia="Arial" w:hAnsi="Arial"/>
          <w:sz w:val="18"/>
          <w:szCs w:val="18"/>
          <w:color w:val="auto"/>
        </w:rPr>
        <w:t>will be held virtually at the noted time and webpage below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186055</wp:posOffset>
            </wp:positionV>
            <wp:extent cx="6995160" cy="2074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2074545"/>
                    </a:xfrm>
                    <a:prstGeom prst="rect">
                      <a:avLst/>
                    </a:prstGeom>
                    <a:noFill/>
                  </pic:spPr>
                </pic:pic>
              </a:graphicData>
            </a:graphic>
          </wp:anchor>
        </w:drawing>
      </w:r>
    </w:p>
    <w:p>
      <w:pPr>
        <w:sectPr>
          <w:pgSz w:w="11900" w:h="16838" w:orient="portrait"/>
          <w:cols w:equalWidth="0" w:num="1">
            <w:col w:w="11120"/>
          </w:cols>
          <w:pgMar w:left="320" w:top="459" w:right="459" w:bottom="1051" w:gutter="0" w:footer="0" w:header="0"/>
        </w:sectPr>
      </w:pPr>
    </w:p>
    <w:p>
      <w:pPr>
        <w:spacing w:after="0" w:line="307" w:lineRule="exact"/>
        <w:rPr>
          <w:sz w:val="20"/>
          <w:szCs w:val="20"/>
          <w:color w:val="auto"/>
        </w:rPr>
      </w:pPr>
    </w:p>
    <w:p>
      <w:pPr>
        <w:ind w:left="300"/>
        <w:spacing w:after="0"/>
        <w:tabs>
          <w:tab w:leader="none" w:pos="1380" w:val="left"/>
        </w:tabs>
        <w:rPr>
          <w:sz w:val="20"/>
          <w:szCs w:val="20"/>
          <w:color w:val="auto"/>
        </w:rPr>
      </w:pPr>
      <w:r>
        <w:rPr>
          <w:rFonts w:ascii="Arial" w:cs="Arial" w:eastAsia="Arial" w:hAnsi="Arial"/>
          <w:sz w:val="18"/>
          <w:szCs w:val="18"/>
          <w:b w:val="1"/>
          <w:bCs w:val="1"/>
          <w:color w:val="FFFFFF"/>
        </w:rPr>
        <w:t>When:</w:t>
      </w:r>
      <w:r>
        <w:rPr>
          <w:sz w:val="20"/>
          <w:szCs w:val="20"/>
          <w:color w:val="auto"/>
        </w:rPr>
        <w:tab/>
      </w:r>
      <w:r>
        <w:rPr>
          <w:rFonts w:ascii="Arial" w:cs="Arial" w:eastAsia="Arial" w:hAnsi="Arial"/>
          <w:sz w:val="18"/>
          <w:szCs w:val="18"/>
          <w:color w:val="FFFFFF"/>
        </w:rPr>
        <w:t>8:30 a.m.</w:t>
      </w:r>
    </w:p>
    <w:p>
      <w:pPr>
        <w:spacing w:after="0" w:line="18" w:lineRule="exact"/>
        <w:rPr>
          <w:sz w:val="20"/>
          <w:szCs w:val="20"/>
          <w:color w:val="auto"/>
        </w:rPr>
      </w:pPr>
    </w:p>
    <w:p>
      <w:pPr>
        <w:ind w:left="1400"/>
        <w:spacing w:after="0"/>
        <w:rPr>
          <w:sz w:val="20"/>
          <w:szCs w:val="20"/>
          <w:color w:val="auto"/>
        </w:rPr>
      </w:pPr>
      <w:r>
        <w:rPr>
          <w:rFonts w:ascii="Arial" w:cs="Arial" w:eastAsia="Arial" w:hAnsi="Arial"/>
          <w:sz w:val="18"/>
          <w:szCs w:val="18"/>
          <w:color w:val="FFFFFF"/>
        </w:rPr>
        <w:t>Central Daylight Time</w:t>
      </w:r>
    </w:p>
    <w:p>
      <w:pPr>
        <w:ind w:left="1400"/>
        <w:spacing w:after="0" w:line="234" w:lineRule="auto"/>
        <w:rPr>
          <w:sz w:val="20"/>
          <w:szCs w:val="20"/>
          <w:color w:val="auto"/>
        </w:rPr>
      </w:pPr>
      <w:r>
        <w:rPr>
          <w:rFonts w:ascii="Arial" w:cs="Arial" w:eastAsia="Arial" w:hAnsi="Arial"/>
          <w:sz w:val="18"/>
          <w:szCs w:val="18"/>
          <w:color w:val="FFFFFF"/>
        </w:rPr>
        <w:t>Tuesday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18"/>
          <w:szCs w:val="18"/>
          <w:color w:val="FFFFFF"/>
        </w:rPr>
        <w:t>June 23, 2020</w:t>
      </w:r>
    </w:p>
    <w:p>
      <w:pPr>
        <w:spacing w:after="0" w:line="144" w:lineRule="exact"/>
        <w:rPr>
          <w:sz w:val="20"/>
          <w:szCs w:val="20"/>
          <w:color w:val="auto"/>
        </w:rPr>
      </w:pPr>
    </w:p>
    <w:p>
      <w:pPr>
        <w:ind w:left="300"/>
        <w:spacing w:after="0"/>
        <w:tabs>
          <w:tab w:leader="none" w:pos="1380" w:val="left"/>
        </w:tabs>
        <w:rPr>
          <w:sz w:val="20"/>
          <w:szCs w:val="20"/>
          <w:color w:val="auto"/>
        </w:rPr>
      </w:pPr>
      <w:r>
        <w:rPr>
          <w:rFonts w:ascii="Arial" w:cs="Arial" w:eastAsia="Arial" w:hAnsi="Arial"/>
          <w:sz w:val="18"/>
          <w:szCs w:val="18"/>
          <w:color w:val="FFFFFF"/>
        </w:rPr>
        <w:t>Where:</w:t>
      </w:r>
      <w:r>
        <w:rPr>
          <w:sz w:val="20"/>
          <w:szCs w:val="20"/>
          <w:color w:val="auto"/>
        </w:rPr>
        <w:tab/>
      </w:r>
      <w:r>
        <w:rPr>
          <w:rFonts w:ascii="Arial" w:cs="Arial" w:eastAsia="Arial" w:hAnsi="Arial"/>
          <w:sz w:val="18"/>
          <w:szCs w:val="18"/>
          <w:color w:val="FFFFFF"/>
        </w:rPr>
        <w:t>The Annual Meeting will be held virtually.</w:t>
      </w:r>
    </w:p>
    <w:p>
      <w:pPr>
        <w:spacing w:after="0" w:line="144" w:lineRule="exact"/>
        <w:rPr>
          <w:sz w:val="20"/>
          <w:szCs w:val="20"/>
          <w:color w:val="auto"/>
        </w:rPr>
      </w:pPr>
    </w:p>
    <w:p>
      <w:pPr>
        <w:ind w:left="300"/>
        <w:spacing w:after="0"/>
        <w:tabs>
          <w:tab w:leader="none" w:pos="1380" w:val="left"/>
        </w:tabs>
        <w:rPr>
          <w:sz w:val="20"/>
          <w:szCs w:val="20"/>
          <w:color w:val="auto"/>
        </w:rPr>
      </w:pPr>
      <w:r>
        <w:rPr>
          <w:rFonts w:ascii="Arial" w:cs="Arial" w:eastAsia="Arial" w:hAnsi="Arial"/>
          <w:sz w:val="18"/>
          <w:szCs w:val="18"/>
          <w:color w:val="FFFFFF"/>
        </w:rPr>
        <w:t>Webpage:</w:t>
      </w:r>
      <w:r>
        <w:rPr>
          <w:sz w:val="20"/>
          <w:szCs w:val="20"/>
          <w:color w:val="auto"/>
        </w:rPr>
        <w:tab/>
      </w:r>
      <w:r>
        <w:rPr>
          <w:rFonts w:ascii="Arial" w:cs="Arial" w:eastAsia="Arial" w:hAnsi="Arial"/>
          <w:sz w:val="18"/>
          <w:szCs w:val="18"/>
          <w:color w:val="FFFFFF"/>
        </w:rPr>
        <w:t>www.meetingcenter.io/226537069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186055</wp:posOffset>
            </wp:positionV>
            <wp:extent cx="3257550" cy="7454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7550" cy="745490"/>
                    </a:xfrm>
                    <a:prstGeom prst="rect">
                      <a:avLst/>
                    </a:prstGeom>
                    <a:noFill/>
                  </pic:spPr>
                </pic:pic>
              </a:graphicData>
            </a:graphic>
          </wp:anchor>
        </w:drawing>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3B71"/>
        </w:rPr>
        <w:t>Who Can Vote:</w:t>
      </w:r>
    </w:p>
    <w:p>
      <w:pPr>
        <w:spacing w:after="0" w:line="63" w:lineRule="exact"/>
        <w:rPr>
          <w:sz w:val="20"/>
          <w:szCs w:val="20"/>
          <w:color w:val="auto"/>
        </w:rPr>
      </w:pPr>
    </w:p>
    <w:p>
      <w:pPr>
        <w:jc w:val="both"/>
        <w:ind w:left="300" w:right="289"/>
        <w:spacing w:after="0" w:line="247" w:lineRule="auto"/>
        <w:rPr>
          <w:sz w:val="20"/>
          <w:szCs w:val="20"/>
          <w:color w:val="auto"/>
        </w:rPr>
      </w:pPr>
      <w:r>
        <w:rPr>
          <w:rFonts w:ascii="Arial" w:cs="Arial" w:eastAsia="Arial" w:hAnsi="Arial"/>
          <w:sz w:val="18"/>
          <w:szCs w:val="18"/>
          <w:b w:val="1"/>
          <w:bCs w:val="1"/>
          <w:i w:val="1"/>
          <w:iCs w:val="1"/>
          <w:color w:val="003B71"/>
        </w:rPr>
        <w:t>Only shareholders of record at the close of business on April 24, 2020, are entitled to notice of, and to vote at, the meeting or any adjournment or postponement thereof.</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003B71"/>
        </w:rPr>
        <w:t>Items of Business:</w:t>
      </w:r>
    </w:p>
    <w:p>
      <w:pPr>
        <w:spacing w:after="0" w:line="85" w:lineRule="exact"/>
        <w:rPr>
          <w:sz w:val="20"/>
          <w:szCs w:val="20"/>
          <w:color w:val="auto"/>
        </w:rPr>
      </w:pPr>
    </w:p>
    <w:p>
      <w:pPr>
        <w:jc w:val="both"/>
        <w:ind w:left="331" w:right="180" w:hanging="331"/>
        <w:spacing w:after="0" w:line="238" w:lineRule="auto"/>
        <w:tabs>
          <w:tab w:leader="none" w:pos="331" w:val="left"/>
        </w:tabs>
        <w:numPr>
          <w:ilvl w:val="0"/>
          <w:numId w:val="7"/>
        </w:numPr>
        <w:rPr>
          <w:rFonts w:ascii="Arial" w:cs="Arial" w:eastAsia="Arial" w:hAnsi="Arial"/>
          <w:sz w:val="18"/>
          <w:szCs w:val="18"/>
          <w:color w:val="003B71"/>
        </w:rPr>
      </w:pPr>
      <w:r>
        <w:rPr>
          <w:rFonts w:ascii="Arial" w:cs="Arial" w:eastAsia="Arial" w:hAnsi="Arial"/>
          <w:sz w:val="18"/>
          <w:szCs w:val="18"/>
          <w:color w:val="auto"/>
        </w:rPr>
        <w:t>To elect the nine directors named in the Proxy Statement, each to serve for one year or until his or her successor has been elected and qualified, or until his or her earlier death, resignation or removal.</w:t>
      </w:r>
    </w:p>
    <w:p>
      <w:pPr>
        <w:spacing w:after="0" w:line="56" w:lineRule="exact"/>
        <w:rPr>
          <w:rFonts w:ascii="Arial" w:cs="Arial" w:eastAsia="Arial" w:hAnsi="Arial"/>
          <w:sz w:val="18"/>
          <w:szCs w:val="18"/>
          <w:color w:val="003B71"/>
        </w:rPr>
      </w:pPr>
    </w:p>
    <w:p>
      <w:pPr>
        <w:jc w:val="both"/>
        <w:ind w:left="331" w:right="180" w:hanging="331"/>
        <w:spacing w:after="0"/>
        <w:tabs>
          <w:tab w:leader="none" w:pos="331" w:val="left"/>
        </w:tabs>
        <w:numPr>
          <w:ilvl w:val="0"/>
          <w:numId w:val="7"/>
        </w:numPr>
        <w:rPr>
          <w:rFonts w:ascii="Arial" w:cs="Arial" w:eastAsia="Arial" w:hAnsi="Arial"/>
          <w:sz w:val="18"/>
          <w:szCs w:val="18"/>
          <w:color w:val="003B71"/>
        </w:rPr>
      </w:pPr>
      <w:r>
        <w:rPr>
          <w:rFonts w:ascii="Arial" w:cs="Arial" w:eastAsia="Arial" w:hAnsi="Arial"/>
          <w:sz w:val="18"/>
          <w:szCs w:val="18"/>
          <w:color w:val="auto"/>
        </w:rPr>
        <w:t>To ratify the appointment of KPMG LLP as our independent registered public accounting firm for the year ending January 31, 2021.</w:t>
      </w:r>
    </w:p>
    <w:p>
      <w:pPr>
        <w:spacing w:after="0" w:line="54" w:lineRule="exact"/>
        <w:rPr>
          <w:rFonts w:ascii="Arial" w:cs="Arial" w:eastAsia="Arial" w:hAnsi="Arial"/>
          <w:sz w:val="18"/>
          <w:szCs w:val="18"/>
          <w:color w:val="003B71"/>
        </w:rPr>
      </w:pPr>
    </w:p>
    <w:p>
      <w:pPr>
        <w:ind w:left="331" w:hanging="331"/>
        <w:spacing w:after="0"/>
        <w:tabs>
          <w:tab w:leader="none" w:pos="331" w:val="left"/>
        </w:tabs>
        <w:numPr>
          <w:ilvl w:val="0"/>
          <w:numId w:val="7"/>
        </w:numPr>
        <w:rPr>
          <w:rFonts w:ascii="Arial" w:cs="Arial" w:eastAsia="Arial" w:hAnsi="Arial"/>
          <w:sz w:val="18"/>
          <w:szCs w:val="18"/>
          <w:color w:val="003B71"/>
        </w:rPr>
      </w:pPr>
      <w:r>
        <w:rPr>
          <w:rFonts w:ascii="Arial" w:cs="Arial" w:eastAsia="Arial" w:hAnsi="Arial"/>
          <w:sz w:val="18"/>
          <w:szCs w:val="18"/>
          <w:color w:val="auto"/>
        </w:rPr>
        <w:t>To cast an advisory vote on executive compensation.</w:t>
      </w:r>
    </w:p>
    <w:p>
      <w:pPr>
        <w:spacing w:after="0" w:line="63" w:lineRule="exact"/>
        <w:rPr>
          <w:rFonts w:ascii="Arial" w:cs="Arial" w:eastAsia="Arial" w:hAnsi="Arial"/>
          <w:sz w:val="18"/>
          <w:szCs w:val="18"/>
          <w:color w:val="003B71"/>
        </w:rPr>
      </w:pPr>
    </w:p>
    <w:p>
      <w:pPr>
        <w:ind w:left="331" w:right="180" w:hanging="331"/>
        <w:spacing w:after="0" w:line="246" w:lineRule="auto"/>
        <w:tabs>
          <w:tab w:leader="none" w:pos="331" w:val="left"/>
        </w:tabs>
        <w:numPr>
          <w:ilvl w:val="0"/>
          <w:numId w:val="7"/>
        </w:numPr>
        <w:rPr>
          <w:rFonts w:ascii="Arial" w:cs="Arial" w:eastAsia="Arial" w:hAnsi="Arial"/>
          <w:sz w:val="18"/>
          <w:szCs w:val="18"/>
          <w:color w:val="003B71"/>
        </w:rPr>
      </w:pPr>
      <w:r>
        <w:rPr>
          <w:rFonts w:ascii="Arial" w:cs="Arial" w:eastAsia="Arial" w:hAnsi="Arial"/>
          <w:sz w:val="18"/>
          <w:szCs w:val="18"/>
          <w:color w:val="auto"/>
        </w:rPr>
        <w:t>To approve the Company’s Amended and Restated 2014 Omnibus Incentive Plan.</w:t>
      </w:r>
    </w:p>
    <w:p>
      <w:pPr>
        <w:spacing w:after="0" w:line="48" w:lineRule="exact"/>
        <w:rPr>
          <w:rFonts w:ascii="Arial" w:cs="Arial" w:eastAsia="Arial" w:hAnsi="Arial"/>
          <w:sz w:val="18"/>
          <w:szCs w:val="18"/>
          <w:color w:val="003B71"/>
        </w:rPr>
      </w:pPr>
    </w:p>
    <w:p>
      <w:pPr>
        <w:jc w:val="both"/>
        <w:ind w:left="331" w:right="180" w:hanging="331"/>
        <w:spacing w:after="0"/>
        <w:tabs>
          <w:tab w:leader="none" w:pos="331" w:val="left"/>
        </w:tabs>
        <w:numPr>
          <w:ilvl w:val="0"/>
          <w:numId w:val="7"/>
        </w:numPr>
        <w:rPr>
          <w:rFonts w:ascii="Arial" w:cs="Arial" w:eastAsia="Arial" w:hAnsi="Arial"/>
          <w:sz w:val="18"/>
          <w:szCs w:val="18"/>
          <w:color w:val="003B71"/>
        </w:rPr>
      </w:pPr>
      <w:r>
        <w:rPr>
          <w:rFonts w:ascii="Arial" w:cs="Arial" w:eastAsia="Arial" w:hAnsi="Arial"/>
          <w:sz w:val="18"/>
          <w:szCs w:val="18"/>
          <w:color w:val="auto"/>
        </w:rPr>
        <w:t>To transact such other business as may properly come before the meeting or any adjournment or postponement thereof.</w:t>
      </w:r>
    </w:p>
    <w:p>
      <w:pPr>
        <w:spacing w:after="0" w:line="200" w:lineRule="exact"/>
        <w:rPr>
          <w:sz w:val="20"/>
          <w:szCs w:val="20"/>
          <w:color w:val="auto"/>
        </w:rPr>
      </w:pPr>
    </w:p>
    <w:p>
      <w:pPr>
        <w:sectPr>
          <w:pgSz w:w="11900" w:h="16838" w:orient="portrait"/>
          <w:cols w:equalWidth="0" w:num="2">
            <w:col w:w="5189" w:space="720"/>
            <w:col w:w="5211"/>
          </w:cols>
          <w:pgMar w:left="320" w:top="459" w:right="459" w:bottom="1051" w:gutter="0" w:footer="0" w:header="0"/>
          <w:type w:val="continuous"/>
        </w:sectPr>
      </w:pPr>
    </w:p>
    <w:p>
      <w:pPr>
        <w:spacing w:after="0" w:line="31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If you plan to attend the meeting virtually on the Internet, please follow the registration instructions as outlined in the Proxy Statement accompanying this Notice or visit www.meetingcenter.io/226537069. You will need to have your control number available from your Proxy Card or Notice Regarding the Availability of Proxy Materials. The password for the meeting will be PLAY2020. Please note that the webpage will not be active until approximately two weeks before the meeting date.</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12"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Beginning on May 13, 2020, we sent a Notice Regarding the Availability of Proxy Materials to all shareholders entitled to vote at the Annual Meeting, together with instructions on how to access our proxy materials over the Internet and how to vote.</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1225550" cy="651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2555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Robert W. Edmund</w:t>
      </w:r>
    </w:p>
    <w:p>
      <w:pPr>
        <w:ind w:left="120"/>
        <w:spacing w:after="0" w:line="234" w:lineRule="auto"/>
        <w:rPr>
          <w:sz w:val="20"/>
          <w:szCs w:val="20"/>
          <w:color w:val="auto"/>
        </w:rPr>
      </w:pPr>
      <w:r>
        <w:rPr>
          <w:rFonts w:ascii="Arial" w:cs="Arial" w:eastAsia="Arial" w:hAnsi="Arial"/>
          <w:sz w:val="18"/>
          <w:szCs w:val="18"/>
          <w:color w:val="auto"/>
        </w:rPr>
        <w:t>General Counsel, Secretary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SVP of Human Resources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Dallas, Texas</w:t>
      </w:r>
    </w:p>
    <w:p>
      <w:pPr>
        <w:ind w:left="120"/>
        <w:spacing w:after="0"/>
        <w:rPr>
          <w:sz w:val="20"/>
          <w:szCs w:val="20"/>
          <w:color w:val="auto"/>
        </w:rPr>
      </w:pPr>
      <w:r>
        <w:rPr>
          <w:rFonts w:ascii="Arial" w:cs="Arial" w:eastAsia="Arial" w:hAnsi="Arial"/>
          <w:sz w:val="18"/>
          <w:szCs w:val="18"/>
          <w:color w:val="auto"/>
        </w:rPr>
        <w:t>May 13, 2020</w:t>
      </w:r>
    </w:p>
    <w:p>
      <w:pPr>
        <w:spacing w:after="0" w:line="82"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JUNE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120650</wp:posOffset>
            </wp:positionV>
            <wp:extent cx="7011670" cy="342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1670" cy="342265"/>
                    </a:xfrm>
                    <a:prstGeom prst="rect">
                      <a:avLst/>
                    </a:prstGeom>
                    <a:noFill/>
                  </pic:spPr>
                </pic:pic>
              </a:graphicData>
            </a:graphic>
          </wp:anchor>
        </w:drawing>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Company’s Proxy Statement and Annual Report on Form 10-K</w:t>
      </w:r>
    </w:p>
    <w:p>
      <w:pPr>
        <w:jc w:val="center"/>
        <w:ind w:right="-119"/>
        <w:spacing w:after="0"/>
        <w:rPr>
          <w:sz w:val="20"/>
          <w:szCs w:val="20"/>
          <w:color w:val="auto"/>
        </w:rPr>
      </w:pPr>
      <w:r>
        <w:rPr>
          <w:rFonts w:ascii="Arial" w:cs="Arial" w:eastAsia="Arial" w:hAnsi="Arial"/>
          <w:sz w:val="18"/>
          <w:szCs w:val="18"/>
          <w:color w:val="auto"/>
        </w:rPr>
        <w:t>are available at http://edocumentview.com/play.</w:t>
      </w:r>
    </w:p>
    <w:p>
      <w:pPr>
        <w:sectPr>
          <w:pgSz w:w="11900" w:h="16838" w:orient="portrait"/>
          <w:cols w:equalWidth="0" w:num="1">
            <w:col w:w="11120"/>
          </w:cols>
          <w:pgMar w:left="320" w:top="459" w:right="459" w:bottom="1051"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003B71"/>
        </w:rPr>
        <w:t>DAVE &amp; BUSTER’S ENTERTAINMENT, INC.</w:t>
      </w:r>
    </w:p>
    <w:p>
      <w:pPr>
        <w:spacing w:after="0" w:line="206"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003B71"/>
        </w:rPr>
        <w:t>Proxy Statement</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003B71"/>
        </w:rPr>
        <w:t>For the Annual Meeting of Shareholders</w:t>
      </w:r>
    </w:p>
    <w:p>
      <w:pPr>
        <w:jc w:val="center"/>
        <w:ind w:right="-99"/>
        <w:spacing w:after="0"/>
        <w:rPr>
          <w:sz w:val="20"/>
          <w:szCs w:val="20"/>
          <w:color w:val="auto"/>
        </w:rPr>
      </w:pPr>
      <w:r>
        <w:rPr>
          <w:rFonts w:ascii="Arial" w:cs="Arial" w:eastAsia="Arial" w:hAnsi="Arial"/>
          <w:sz w:val="22"/>
          <w:szCs w:val="22"/>
          <w:b w:val="1"/>
          <w:bCs w:val="1"/>
          <w:color w:val="003B71"/>
        </w:rPr>
        <w:t>To Be Held on June 23, 2020</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40"/>
          <w:szCs w:val="40"/>
          <w:color w:val="003B71"/>
        </w:rPr>
        <w:t>TABLE OF CONTENTS</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500" w:type="dxa"/>
            <w:vAlign w:val="bottom"/>
            <w:tcBorders>
              <w:bottom w:val="single" w:sz="8" w:color="003B71"/>
            </w:tcBorders>
          </w:tcPr>
          <w:p>
            <w:pPr>
              <w:spacing w:after="0"/>
              <w:rPr>
                <w:sz w:val="15"/>
                <w:szCs w:val="15"/>
                <w:color w:val="auto"/>
              </w:rPr>
            </w:pPr>
          </w:p>
        </w:tc>
        <w:tc>
          <w:tcPr>
            <w:tcW w:w="1520" w:type="dxa"/>
            <w:vAlign w:val="bottom"/>
            <w:tcBorders>
              <w:bottom w:val="single" w:sz="8" w:color="003B71"/>
            </w:tcBorders>
          </w:tcPr>
          <w:p>
            <w:pPr>
              <w:jc w:val="right"/>
              <w:spacing w:after="0"/>
              <w:rPr>
                <w:sz w:val="20"/>
                <w:szCs w:val="20"/>
                <w:color w:val="auto"/>
              </w:rPr>
            </w:pPr>
            <w:r>
              <w:rPr>
                <w:rFonts w:ascii="Arial" w:cs="Arial" w:eastAsia="Arial" w:hAnsi="Arial"/>
                <w:sz w:val="14"/>
                <w:szCs w:val="14"/>
                <w:b w:val="1"/>
                <w:bCs w:val="1"/>
                <w:color w:val="003B71"/>
              </w:rPr>
              <w:t>Page</w:t>
            </w:r>
          </w:p>
        </w:tc>
      </w:tr>
      <w:tr>
        <w:trPr>
          <w:trHeight w:val="232"/>
        </w:trPr>
        <w:tc>
          <w:tcPr>
            <w:tcW w:w="9500" w:type="dxa"/>
            <w:vAlign w:val="bottom"/>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2020 Proxy Statement Summary</w:t>
              </w:r>
            </w:hyperlink>
          </w:p>
        </w:tc>
        <w:tc>
          <w:tcPr>
            <w:tcW w:w="1520" w:type="dxa"/>
            <w:vAlign w:val="bottom"/>
          </w:tcPr>
          <w:p>
            <w:pPr>
              <w:jc w:val="right"/>
              <w:spacing w:after="0"/>
              <w:rPr>
                <w:sz w:val="20"/>
                <w:szCs w:val="20"/>
                <w:color w:val="auto"/>
              </w:rPr>
            </w:pPr>
            <w:r>
              <w:rPr>
                <w:rFonts w:ascii="Arial" w:cs="Arial" w:eastAsia="Arial" w:hAnsi="Arial"/>
                <w:sz w:val="18"/>
                <w:szCs w:val="18"/>
                <w:b w:val="1"/>
                <w:bCs w:val="1"/>
                <w:color w:val="003B71"/>
              </w:rPr>
              <w:t>1</w:t>
            </w:r>
          </w:p>
        </w:tc>
      </w:tr>
      <w:tr>
        <w:trPr>
          <w:trHeight w:val="288"/>
        </w:trPr>
        <w:tc>
          <w:tcPr>
            <w:tcW w:w="9500" w:type="dxa"/>
            <w:vAlign w:val="bottom"/>
          </w:tcPr>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Proposal No. 1 – Election of Directors</w:t>
              </w:r>
            </w:hyperlink>
          </w:p>
        </w:tc>
        <w:tc>
          <w:tcPr>
            <w:tcW w:w="1520" w:type="dxa"/>
            <w:vAlign w:val="bottom"/>
          </w:tcPr>
          <w:p>
            <w:pPr>
              <w:jc w:val="right"/>
              <w:spacing w:after="0"/>
              <w:rPr>
                <w:sz w:val="20"/>
                <w:szCs w:val="20"/>
                <w:color w:val="auto"/>
              </w:rPr>
            </w:pPr>
            <w:r>
              <w:rPr>
                <w:rFonts w:ascii="Arial" w:cs="Arial" w:eastAsia="Arial" w:hAnsi="Arial"/>
                <w:sz w:val="18"/>
                <w:szCs w:val="18"/>
                <w:b w:val="1"/>
                <w:bCs w:val="1"/>
                <w:color w:val="003B71"/>
              </w:rPr>
              <w:t>5</w:t>
            </w:r>
          </w:p>
        </w:tc>
      </w:tr>
      <w:tr>
        <w:trPr>
          <w:trHeight w:val="310"/>
        </w:trPr>
        <w:tc>
          <w:tcPr>
            <w:tcW w:w="9500" w:type="dxa"/>
            <w:vAlign w:val="bottom"/>
          </w:tcPr>
          <w:p>
            <w:pPr>
              <w:spacing w:after="0"/>
              <w:rPr>
                <w:rFonts w:ascii="Arial" w:cs="Arial" w:eastAsia="Arial" w:hAnsi="Arial"/>
                <w:sz w:val="18"/>
                <w:szCs w:val="18"/>
                <w:b w:val="1"/>
                <w:bCs w:val="1"/>
                <w:u w:val="single" w:color="auto"/>
                <w:color w:val="0000EE"/>
              </w:rPr>
            </w:pPr>
            <w:hyperlink w:anchor="page18">
              <w:r>
                <w:rPr>
                  <w:rFonts w:ascii="Arial" w:cs="Arial" w:eastAsia="Arial" w:hAnsi="Arial"/>
                  <w:sz w:val="18"/>
                  <w:szCs w:val="18"/>
                  <w:b w:val="1"/>
                  <w:bCs w:val="1"/>
                  <w:u w:val="single" w:color="auto"/>
                  <w:color w:val="0000EE"/>
                </w:rPr>
                <w:t>Proposal No. 2 – Ratification of Appointment of Independent Registered Public Accounting Firm</w:t>
              </w:r>
            </w:hyperlink>
          </w:p>
        </w:tc>
        <w:tc>
          <w:tcPr>
            <w:tcW w:w="1520" w:type="dxa"/>
            <w:vAlign w:val="bottom"/>
          </w:tcPr>
          <w:p>
            <w:pPr>
              <w:jc w:val="right"/>
              <w:spacing w:after="0"/>
              <w:rPr>
                <w:sz w:val="20"/>
                <w:szCs w:val="20"/>
                <w:color w:val="auto"/>
              </w:rPr>
            </w:pPr>
            <w:r>
              <w:rPr>
                <w:rFonts w:ascii="Arial" w:cs="Arial" w:eastAsia="Arial" w:hAnsi="Arial"/>
                <w:sz w:val="18"/>
                <w:szCs w:val="18"/>
                <w:b w:val="1"/>
                <w:bCs w:val="1"/>
                <w:color w:val="003B71"/>
              </w:rPr>
              <w:t>11</w:t>
            </w:r>
          </w:p>
        </w:tc>
      </w:tr>
      <w:tr>
        <w:trPr>
          <w:trHeight w:val="311"/>
        </w:trPr>
        <w:tc>
          <w:tcPr>
            <w:tcW w:w="9500" w:type="dxa"/>
            <w:vAlign w:val="bottom"/>
          </w:tcPr>
          <w:p>
            <w:pPr>
              <w:spacing w:after="0"/>
              <w:rPr>
                <w:rFonts w:ascii="Arial" w:cs="Arial" w:eastAsia="Arial" w:hAnsi="Arial"/>
                <w:sz w:val="18"/>
                <w:szCs w:val="18"/>
                <w:b w:val="1"/>
                <w:bCs w:val="1"/>
                <w:u w:val="single" w:color="auto"/>
                <w:color w:val="0000EE"/>
              </w:rPr>
            </w:pPr>
            <w:hyperlink w:anchor="page19">
              <w:r>
                <w:rPr>
                  <w:rFonts w:ascii="Arial" w:cs="Arial" w:eastAsia="Arial" w:hAnsi="Arial"/>
                  <w:sz w:val="18"/>
                  <w:szCs w:val="18"/>
                  <w:b w:val="1"/>
                  <w:bCs w:val="1"/>
                  <w:u w:val="single" w:color="auto"/>
                  <w:color w:val="0000EE"/>
                </w:rPr>
                <w:t>Proposal No. 3 – Advisory Vote on Executive Compensation</w:t>
              </w:r>
            </w:hyperlink>
          </w:p>
        </w:tc>
        <w:tc>
          <w:tcPr>
            <w:tcW w:w="1520" w:type="dxa"/>
            <w:vAlign w:val="bottom"/>
          </w:tcPr>
          <w:p>
            <w:pPr>
              <w:jc w:val="right"/>
              <w:spacing w:after="0"/>
              <w:rPr>
                <w:sz w:val="20"/>
                <w:szCs w:val="20"/>
                <w:color w:val="auto"/>
              </w:rPr>
            </w:pPr>
            <w:r>
              <w:rPr>
                <w:rFonts w:ascii="Arial" w:cs="Arial" w:eastAsia="Arial" w:hAnsi="Arial"/>
                <w:sz w:val="18"/>
                <w:szCs w:val="18"/>
                <w:b w:val="1"/>
                <w:bCs w:val="1"/>
                <w:color w:val="003B71"/>
              </w:rPr>
              <w:t>12</w:t>
            </w:r>
          </w:p>
        </w:tc>
      </w:tr>
      <w:tr>
        <w:trPr>
          <w:trHeight w:val="310"/>
        </w:trPr>
        <w:tc>
          <w:tcPr>
            <w:tcW w:w="9500" w:type="dxa"/>
            <w:vAlign w:val="bottom"/>
          </w:tcPr>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Proposal No. 4 – Approval of the Company’s Amended and Restated 2014 Omnibus Incentive Plan</w:t>
              </w:r>
            </w:hyperlink>
          </w:p>
        </w:tc>
        <w:tc>
          <w:tcPr>
            <w:tcW w:w="1520" w:type="dxa"/>
            <w:vAlign w:val="bottom"/>
          </w:tcPr>
          <w:p>
            <w:pPr>
              <w:jc w:val="right"/>
              <w:spacing w:after="0"/>
              <w:rPr>
                <w:sz w:val="20"/>
                <w:szCs w:val="20"/>
                <w:color w:val="auto"/>
              </w:rPr>
            </w:pPr>
            <w:r>
              <w:rPr>
                <w:rFonts w:ascii="Arial" w:cs="Arial" w:eastAsia="Arial" w:hAnsi="Arial"/>
                <w:sz w:val="18"/>
                <w:szCs w:val="18"/>
                <w:b w:val="1"/>
                <w:bCs w:val="1"/>
                <w:color w:val="003B71"/>
              </w:rPr>
              <w:t>13</w:t>
            </w:r>
          </w:p>
        </w:tc>
      </w:tr>
      <w:tr>
        <w:trPr>
          <w:trHeight w:val="299"/>
        </w:trPr>
        <w:tc>
          <w:tcPr>
            <w:tcW w:w="9500" w:type="dxa"/>
            <w:vAlign w:val="bottom"/>
          </w:tcPr>
          <w:p>
            <w:pPr>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Directors and Corporate Governance</w:t>
              </w:r>
            </w:hyperlink>
          </w:p>
        </w:tc>
        <w:tc>
          <w:tcPr>
            <w:tcW w:w="1520" w:type="dxa"/>
            <w:vAlign w:val="bottom"/>
          </w:tcPr>
          <w:p>
            <w:pPr>
              <w:jc w:val="right"/>
              <w:spacing w:after="0"/>
              <w:rPr>
                <w:sz w:val="20"/>
                <w:szCs w:val="20"/>
                <w:color w:val="auto"/>
              </w:rPr>
            </w:pPr>
            <w:r>
              <w:rPr>
                <w:rFonts w:ascii="Arial" w:cs="Arial" w:eastAsia="Arial" w:hAnsi="Arial"/>
                <w:sz w:val="18"/>
                <w:szCs w:val="18"/>
                <w:b w:val="1"/>
                <w:bCs w:val="1"/>
                <w:color w:val="003B71"/>
              </w:rPr>
              <w:t>20</w:t>
            </w:r>
          </w:p>
        </w:tc>
      </w:tr>
      <w:tr>
        <w:trPr>
          <w:trHeight w:val="189"/>
        </w:trPr>
        <w:tc>
          <w:tcPr>
            <w:tcW w:w="9500" w:type="dxa"/>
            <w:vAlign w:val="bottom"/>
          </w:tcPr>
          <w:p>
            <w:pPr>
              <w:ind w:left="100"/>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Composition and Board Independence</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89"/>
        </w:trPr>
        <w:tc>
          <w:tcPr>
            <w:tcW w:w="9500" w:type="dxa"/>
            <w:vAlign w:val="bottom"/>
          </w:tcPr>
          <w:p>
            <w:pPr>
              <w:ind w:left="100"/>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Corporate Governance</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89"/>
        </w:trPr>
        <w:tc>
          <w:tcPr>
            <w:tcW w:w="9500" w:type="dxa"/>
            <w:vAlign w:val="bottom"/>
          </w:tcPr>
          <w:p>
            <w:pPr>
              <w:ind w:left="10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The Board’s Role in Risk Oversight</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89"/>
        </w:trPr>
        <w:tc>
          <w:tcPr>
            <w:tcW w:w="9500" w:type="dxa"/>
            <w:vAlign w:val="bottom"/>
          </w:tcPr>
          <w:p>
            <w:pPr>
              <w:ind w:left="10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Succession Planning</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89"/>
        </w:trPr>
        <w:tc>
          <w:tcPr>
            <w:tcW w:w="9500" w:type="dxa"/>
            <w:vAlign w:val="bottom"/>
          </w:tcPr>
          <w:p>
            <w:pPr>
              <w:ind w:left="10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Board of Directors Leadership Structure</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89"/>
        </w:trPr>
        <w:tc>
          <w:tcPr>
            <w:tcW w:w="9500" w:type="dxa"/>
            <w:vAlign w:val="bottom"/>
          </w:tcPr>
          <w:p>
            <w:pPr>
              <w:ind w:left="100"/>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Director Compensation</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189"/>
        </w:trPr>
        <w:tc>
          <w:tcPr>
            <w:tcW w:w="9500" w:type="dxa"/>
            <w:vAlign w:val="bottom"/>
          </w:tcPr>
          <w:p>
            <w:pPr>
              <w:ind w:left="100"/>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Director Stock Ownership Guidelines</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89"/>
        </w:trPr>
        <w:tc>
          <w:tcPr>
            <w:tcW w:w="9500" w:type="dxa"/>
            <w:vAlign w:val="bottom"/>
          </w:tcPr>
          <w:p>
            <w:pPr>
              <w:ind w:left="100"/>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Policy Regarding Shareholder Recommendations for Director Candidates</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89"/>
        </w:trPr>
        <w:tc>
          <w:tcPr>
            <w:tcW w:w="9500" w:type="dxa"/>
            <w:vAlign w:val="bottom"/>
          </w:tcPr>
          <w:p>
            <w:pPr>
              <w:ind w:left="100"/>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Director Qualifications</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89"/>
        </w:trPr>
        <w:tc>
          <w:tcPr>
            <w:tcW w:w="9500" w:type="dxa"/>
            <w:vAlign w:val="bottom"/>
          </w:tcPr>
          <w:p>
            <w:pPr>
              <w:ind w:left="100"/>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Current Nominations</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89"/>
        </w:trPr>
        <w:tc>
          <w:tcPr>
            <w:tcW w:w="9500" w:type="dxa"/>
            <w:vAlign w:val="bottom"/>
          </w:tcPr>
          <w:p>
            <w:pPr>
              <w:ind w:left="100"/>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Code of Business Conduct and Ethics and Whistle Blower Policy</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89"/>
        </w:trPr>
        <w:tc>
          <w:tcPr>
            <w:tcW w:w="9500" w:type="dxa"/>
            <w:vAlign w:val="bottom"/>
          </w:tcPr>
          <w:p>
            <w:pPr>
              <w:ind w:left="100"/>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Compensation Committee Interlocks and Insider Participation</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95"/>
        </w:trPr>
        <w:tc>
          <w:tcPr>
            <w:tcW w:w="9500" w:type="dxa"/>
            <w:vAlign w:val="bottom"/>
          </w:tcPr>
          <w:p>
            <w:pPr>
              <w:ind w:left="100"/>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Communications with the Board of Directors</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17"/>
        </w:trPr>
        <w:tc>
          <w:tcPr>
            <w:tcW w:w="9500" w:type="dxa"/>
            <w:vAlign w:val="bottom"/>
          </w:tcPr>
          <w:p>
            <w:pPr>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Security Ownership of Certain Beneficial Owners and Management</w:t>
              </w:r>
            </w:hyperlink>
          </w:p>
        </w:tc>
        <w:tc>
          <w:tcPr>
            <w:tcW w:w="1520" w:type="dxa"/>
            <w:vAlign w:val="bottom"/>
          </w:tcPr>
          <w:p>
            <w:pPr>
              <w:jc w:val="right"/>
              <w:spacing w:after="0"/>
              <w:rPr>
                <w:sz w:val="20"/>
                <w:szCs w:val="20"/>
                <w:color w:val="auto"/>
              </w:rPr>
            </w:pPr>
            <w:r>
              <w:rPr>
                <w:rFonts w:ascii="Arial" w:cs="Arial" w:eastAsia="Arial" w:hAnsi="Arial"/>
                <w:sz w:val="18"/>
                <w:szCs w:val="18"/>
                <w:b w:val="1"/>
                <w:bCs w:val="1"/>
                <w:color w:val="003B71"/>
              </w:rPr>
              <w:t>26</w:t>
            </w:r>
          </w:p>
        </w:tc>
      </w:tr>
      <w:tr>
        <w:trPr>
          <w:trHeight w:val="310"/>
        </w:trPr>
        <w:tc>
          <w:tcPr>
            <w:tcW w:w="950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Executive Officers</w:t>
              </w:r>
            </w:hyperlink>
          </w:p>
        </w:tc>
        <w:tc>
          <w:tcPr>
            <w:tcW w:w="1520" w:type="dxa"/>
            <w:vAlign w:val="bottom"/>
          </w:tcPr>
          <w:p>
            <w:pPr>
              <w:jc w:val="right"/>
              <w:spacing w:after="0"/>
              <w:rPr>
                <w:sz w:val="20"/>
                <w:szCs w:val="20"/>
                <w:color w:val="auto"/>
              </w:rPr>
            </w:pPr>
            <w:r>
              <w:rPr>
                <w:rFonts w:ascii="Arial" w:cs="Arial" w:eastAsia="Arial" w:hAnsi="Arial"/>
                <w:sz w:val="18"/>
                <w:szCs w:val="18"/>
                <w:b w:val="1"/>
                <w:bCs w:val="1"/>
                <w:color w:val="003B71"/>
              </w:rPr>
              <w:t>29</w:t>
            </w:r>
          </w:p>
        </w:tc>
      </w:tr>
      <w:tr>
        <w:trPr>
          <w:trHeight w:val="299"/>
        </w:trPr>
        <w:tc>
          <w:tcPr>
            <w:tcW w:w="9500" w:type="dxa"/>
            <w:vAlign w:val="bottom"/>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Executive Compensation</w:t>
              </w:r>
            </w:hyperlink>
          </w:p>
        </w:tc>
        <w:tc>
          <w:tcPr>
            <w:tcW w:w="1520" w:type="dxa"/>
            <w:vAlign w:val="bottom"/>
          </w:tcPr>
          <w:p>
            <w:pPr>
              <w:jc w:val="right"/>
              <w:spacing w:after="0"/>
              <w:rPr>
                <w:sz w:val="20"/>
                <w:szCs w:val="20"/>
                <w:color w:val="auto"/>
              </w:rPr>
            </w:pPr>
            <w:r>
              <w:rPr>
                <w:rFonts w:ascii="Arial" w:cs="Arial" w:eastAsia="Arial" w:hAnsi="Arial"/>
                <w:sz w:val="18"/>
                <w:szCs w:val="18"/>
                <w:b w:val="1"/>
                <w:bCs w:val="1"/>
                <w:color w:val="003B71"/>
              </w:rPr>
              <w:t>32</w:t>
            </w:r>
          </w:p>
        </w:tc>
      </w:tr>
      <w:tr>
        <w:trPr>
          <w:trHeight w:val="189"/>
        </w:trPr>
        <w:tc>
          <w:tcPr>
            <w:tcW w:w="9500" w:type="dxa"/>
            <w:vAlign w:val="bottom"/>
          </w:tcPr>
          <w:p>
            <w:pPr>
              <w:ind w:left="10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Compensation Discussion and Analysis</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89"/>
        </w:trPr>
        <w:tc>
          <w:tcPr>
            <w:tcW w:w="9500" w:type="dxa"/>
            <w:vAlign w:val="bottom"/>
          </w:tcPr>
          <w:p>
            <w:pPr>
              <w:ind w:left="22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Compensation Philosophy and Overall Objectives of Executive Compensation Programs</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89"/>
        </w:trPr>
        <w:tc>
          <w:tcPr>
            <w:tcW w:w="9500" w:type="dxa"/>
            <w:vAlign w:val="bottom"/>
          </w:tcPr>
          <w:p>
            <w:pPr>
              <w:ind w:left="220"/>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Compensation Practices</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89"/>
        </w:trPr>
        <w:tc>
          <w:tcPr>
            <w:tcW w:w="9500" w:type="dxa"/>
            <w:vAlign w:val="bottom"/>
          </w:tcPr>
          <w:p>
            <w:pPr>
              <w:ind w:left="220"/>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Shareholder Say-on-Pay Vote for 2019 and Compensation Actions Taken</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89"/>
        </w:trPr>
        <w:tc>
          <w:tcPr>
            <w:tcW w:w="9500" w:type="dxa"/>
            <w:vAlign w:val="bottom"/>
          </w:tcPr>
          <w:p>
            <w:pPr>
              <w:ind w:left="220"/>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Procedures for Determining Compensation</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89"/>
        </w:trPr>
        <w:tc>
          <w:tcPr>
            <w:tcW w:w="9500" w:type="dxa"/>
            <w:vAlign w:val="bottom"/>
          </w:tcPr>
          <w:p>
            <w:pPr>
              <w:ind w:left="220"/>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Pay for Performance Alignment</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189"/>
        </w:trPr>
        <w:tc>
          <w:tcPr>
            <w:tcW w:w="9500" w:type="dxa"/>
            <w:vAlign w:val="bottom"/>
          </w:tcPr>
          <w:p>
            <w:pPr>
              <w:ind w:left="220"/>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Elements of Compensation</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89"/>
        </w:trPr>
        <w:tc>
          <w:tcPr>
            <w:tcW w:w="9500" w:type="dxa"/>
            <w:vAlign w:val="bottom"/>
          </w:tcPr>
          <w:p>
            <w:pPr>
              <w:ind w:left="220"/>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Deductibility of Executive Compensation</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189"/>
        </w:trPr>
        <w:tc>
          <w:tcPr>
            <w:tcW w:w="9500" w:type="dxa"/>
            <w:vAlign w:val="bottom"/>
          </w:tcPr>
          <w:p>
            <w:pPr>
              <w:ind w:left="220"/>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CEO Pay Ratio</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189"/>
        </w:trPr>
        <w:tc>
          <w:tcPr>
            <w:tcW w:w="9500" w:type="dxa"/>
            <w:vAlign w:val="bottom"/>
          </w:tcPr>
          <w:p>
            <w:pPr>
              <w:ind w:left="220"/>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Stock Ownership Guidelines for Officers</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189"/>
        </w:trPr>
        <w:tc>
          <w:tcPr>
            <w:tcW w:w="9500" w:type="dxa"/>
            <w:vAlign w:val="bottom"/>
          </w:tcPr>
          <w:p>
            <w:pPr>
              <w:ind w:left="220"/>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Clawback Policy</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189"/>
        </w:trPr>
        <w:tc>
          <w:tcPr>
            <w:tcW w:w="9500" w:type="dxa"/>
            <w:vAlign w:val="bottom"/>
          </w:tcPr>
          <w:p>
            <w:pPr>
              <w:ind w:left="220"/>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Risk Assessment Disclosure</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189"/>
        </w:trPr>
        <w:tc>
          <w:tcPr>
            <w:tcW w:w="9500" w:type="dxa"/>
            <w:vAlign w:val="bottom"/>
          </w:tcPr>
          <w:p>
            <w:pPr>
              <w:ind w:left="220"/>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COVID-19 Pandemic Action Plan</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195"/>
        </w:trPr>
        <w:tc>
          <w:tcPr>
            <w:tcW w:w="9500" w:type="dxa"/>
            <w:vAlign w:val="bottom"/>
          </w:tcPr>
          <w:p>
            <w:pPr>
              <w:ind w:left="100"/>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Compensation Committee Report</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305"/>
        </w:trPr>
        <w:tc>
          <w:tcPr>
            <w:tcW w:w="9500" w:type="dxa"/>
            <w:vAlign w:val="bottom"/>
          </w:tcPr>
          <w:p>
            <w:pPr>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2019 Summary Compensation Table</w:t>
              </w:r>
            </w:hyperlink>
          </w:p>
        </w:tc>
        <w:tc>
          <w:tcPr>
            <w:tcW w:w="1520" w:type="dxa"/>
            <w:vAlign w:val="bottom"/>
          </w:tcPr>
          <w:p>
            <w:pPr>
              <w:jc w:val="right"/>
              <w:spacing w:after="0"/>
              <w:rPr>
                <w:sz w:val="20"/>
                <w:szCs w:val="20"/>
                <w:color w:val="auto"/>
              </w:rPr>
            </w:pPr>
            <w:r>
              <w:rPr>
                <w:rFonts w:ascii="Arial" w:cs="Arial" w:eastAsia="Arial" w:hAnsi="Arial"/>
                <w:sz w:val="18"/>
                <w:szCs w:val="18"/>
                <w:b w:val="1"/>
                <w:bCs w:val="1"/>
                <w:color w:val="003B71"/>
              </w:rPr>
              <w:t>45</w:t>
            </w:r>
          </w:p>
        </w:tc>
      </w:tr>
      <w:tr>
        <w:trPr>
          <w:trHeight w:val="189"/>
        </w:trPr>
        <w:tc>
          <w:tcPr>
            <w:tcW w:w="9500" w:type="dxa"/>
            <w:vAlign w:val="bottom"/>
          </w:tcPr>
          <w:p>
            <w:pPr>
              <w:ind w:left="100"/>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Grants of Plan-Based Awards in Fiscal 2019</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189"/>
        </w:trPr>
        <w:tc>
          <w:tcPr>
            <w:tcW w:w="9500" w:type="dxa"/>
            <w:vAlign w:val="bottom"/>
          </w:tcPr>
          <w:p>
            <w:pPr>
              <w:ind w:left="100"/>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Outstanding Equity Awards at Fiscal Year End 2019</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189"/>
        </w:trPr>
        <w:tc>
          <w:tcPr>
            <w:tcW w:w="9500" w:type="dxa"/>
            <w:vAlign w:val="bottom"/>
          </w:tcPr>
          <w:p>
            <w:pPr>
              <w:ind w:left="100"/>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Fiscal 2019 Option Exercises and Stock Vested</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89"/>
        </w:trPr>
        <w:tc>
          <w:tcPr>
            <w:tcW w:w="9500" w:type="dxa"/>
            <w:vAlign w:val="bottom"/>
          </w:tcPr>
          <w:p>
            <w:pPr>
              <w:ind w:left="100"/>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2019 Nonqualified Deferred Compensation</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189"/>
        </w:trPr>
        <w:tc>
          <w:tcPr>
            <w:tcW w:w="9500" w:type="dxa"/>
            <w:vAlign w:val="bottom"/>
          </w:tcPr>
          <w:p>
            <w:pPr>
              <w:ind w:left="100"/>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Employment Agreements</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189"/>
        </w:trPr>
        <w:tc>
          <w:tcPr>
            <w:tcW w:w="9500" w:type="dxa"/>
            <w:vAlign w:val="bottom"/>
          </w:tcPr>
          <w:p>
            <w:pPr>
              <w:ind w:left="100"/>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Potential Payments upon Termination or Change of Control</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195"/>
        </w:trPr>
        <w:tc>
          <w:tcPr>
            <w:tcW w:w="9500" w:type="dxa"/>
            <w:vAlign w:val="bottom"/>
          </w:tcPr>
          <w:p>
            <w:pPr>
              <w:ind w:left="100"/>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Equity Compensation Plan Information</w:t>
              </w:r>
            </w:hyperlink>
          </w:p>
        </w:tc>
        <w:tc>
          <w:tcPr>
            <w:tcW w:w="1520" w:type="dxa"/>
            <w:vAlign w:val="bottom"/>
          </w:tcPr>
          <w:p>
            <w:pPr>
              <w:jc w:val="right"/>
              <w:spacing w:after="0"/>
              <w:rPr>
                <w:sz w:val="20"/>
                <w:szCs w:val="20"/>
                <w:color w:val="auto"/>
              </w:rPr>
            </w:pPr>
            <w:r>
              <w:rPr>
                <w:rFonts w:ascii="Arial" w:cs="Arial" w:eastAsia="Arial" w:hAnsi="Arial"/>
                <w:sz w:val="16"/>
                <w:szCs w:val="16"/>
                <w:color w:val="auto"/>
              </w:rPr>
              <w:t>56</w:t>
            </w:r>
          </w:p>
        </w:tc>
      </w:tr>
    </w:tbl>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80" w:type="dxa"/>
            <w:vAlign w:val="bottom"/>
            <w:tcBorders>
              <w:bottom w:val="single" w:sz="8" w:color="003B71"/>
            </w:tcBorders>
          </w:tcPr>
          <w:p>
            <w:pPr>
              <w:spacing w:after="0"/>
              <w:rPr>
                <w:sz w:val="15"/>
                <w:szCs w:val="15"/>
                <w:color w:val="auto"/>
              </w:rPr>
            </w:pPr>
          </w:p>
        </w:tc>
        <w:tc>
          <w:tcPr>
            <w:tcW w:w="2840" w:type="dxa"/>
            <w:vAlign w:val="bottom"/>
            <w:tcBorders>
              <w:bottom w:val="single" w:sz="8" w:color="003B71"/>
            </w:tcBorders>
          </w:tcPr>
          <w:p>
            <w:pPr>
              <w:jc w:val="right"/>
              <w:spacing w:after="0"/>
              <w:rPr>
                <w:sz w:val="20"/>
                <w:szCs w:val="20"/>
                <w:color w:val="auto"/>
              </w:rPr>
            </w:pPr>
            <w:r>
              <w:rPr>
                <w:rFonts w:ascii="Arial" w:cs="Arial" w:eastAsia="Arial" w:hAnsi="Arial"/>
                <w:sz w:val="14"/>
                <w:szCs w:val="14"/>
                <w:b w:val="1"/>
                <w:bCs w:val="1"/>
                <w:color w:val="003B71"/>
              </w:rPr>
              <w:t>Page</w:t>
            </w:r>
          </w:p>
        </w:tc>
      </w:tr>
      <w:tr>
        <w:trPr>
          <w:trHeight w:val="304"/>
        </w:trPr>
        <w:tc>
          <w:tcPr>
            <w:tcW w:w="8180" w:type="dxa"/>
            <w:vAlign w:val="bottom"/>
          </w:tcPr>
          <w:p>
            <w:pPr>
              <w:spacing w:after="0"/>
              <w:rPr>
                <w:rFonts w:ascii="Arial" w:cs="Arial" w:eastAsia="Arial" w:hAnsi="Arial"/>
                <w:sz w:val="18"/>
                <w:szCs w:val="18"/>
                <w:b w:val="1"/>
                <w:bCs w:val="1"/>
                <w:u w:val="single" w:color="auto"/>
                <w:color w:val="0000EE"/>
              </w:rPr>
            </w:pPr>
            <w:hyperlink w:anchor="page64">
              <w:r>
                <w:rPr>
                  <w:rFonts w:ascii="Arial" w:cs="Arial" w:eastAsia="Arial" w:hAnsi="Arial"/>
                  <w:sz w:val="18"/>
                  <w:szCs w:val="18"/>
                  <w:b w:val="1"/>
                  <w:bCs w:val="1"/>
                  <w:u w:val="single" w:color="auto"/>
                  <w:color w:val="0000EE"/>
                </w:rPr>
                <w:t>Transactions with Related Persons</w:t>
              </w:r>
            </w:hyperlink>
          </w:p>
        </w:tc>
        <w:tc>
          <w:tcPr>
            <w:tcW w:w="2840" w:type="dxa"/>
            <w:vAlign w:val="bottom"/>
          </w:tcPr>
          <w:p>
            <w:pPr>
              <w:jc w:val="right"/>
              <w:spacing w:after="0"/>
              <w:rPr>
                <w:sz w:val="20"/>
                <w:szCs w:val="20"/>
                <w:color w:val="auto"/>
              </w:rPr>
            </w:pPr>
            <w:r>
              <w:rPr>
                <w:rFonts w:ascii="Arial" w:cs="Arial" w:eastAsia="Arial" w:hAnsi="Arial"/>
                <w:sz w:val="18"/>
                <w:szCs w:val="18"/>
                <w:b w:val="1"/>
                <w:bCs w:val="1"/>
                <w:color w:val="003B71"/>
              </w:rPr>
              <w:t>57</w:t>
            </w:r>
          </w:p>
        </w:tc>
      </w:tr>
      <w:tr>
        <w:trPr>
          <w:trHeight w:val="311"/>
        </w:trPr>
        <w:tc>
          <w:tcPr>
            <w:tcW w:w="8180" w:type="dxa"/>
            <w:vAlign w:val="bottom"/>
          </w:tcPr>
          <w:p>
            <w:pPr>
              <w:spacing w:after="0"/>
              <w:rPr>
                <w:rFonts w:ascii="Arial" w:cs="Arial" w:eastAsia="Arial" w:hAnsi="Arial"/>
                <w:sz w:val="18"/>
                <w:szCs w:val="18"/>
                <w:b w:val="1"/>
                <w:bCs w:val="1"/>
                <w:u w:val="single" w:color="auto"/>
                <w:color w:val="0000EE"/>
              </w:rPr>
            </w:pPr>
            <w:hyperlink w:anchor="page64">
              <w:r>
                <w:rPr>
                  <w:rFonts w:ascii="Arial" w:cs="Arial" w:eastAsia="Arial" w:hAnsi="Arial"/>
                  <w:sz w:val="18"/>
                  <w:szCs w:val="18"/>
                  <w:b w:val="1"/>
                  <w:bCs w:val="1"/>
                  <w:u w:val="single" w:color="auto"/>
                  <w:color w:val="0000EE"/>
                </w:rPr>
                <w:t>Report of the Audit Committee</w:t>
              </w:r>
            </w:hyperlink>
          </w:p>
        </w:tc>
        <w:tc>
          <w:tcPr>
            <w:tcW w:w="2840" w:type="dxa"/>
            <w:vAlign w:val="bottom"/>
          </w:tcPr>
          <w:p>
            <w:pPr>
              <w:jc w:val="right"/>
              <w:spacing w:after="0"/>
              <w:rPr>
                <w:sz w:val="20"/>
                <w:szCs w:val="20"/>
                <w:color w:val="auto"/>
              </w:rPr>
            </w:pPr>
            <w:r>
              <w:rPr>
                <w:rFonts w:ascii="Arial" w:cs="Arial" w:eastAsia="Arial" w:hAnsi="Arial"/>
                <w:sz w:val="18"/>
                <w:szCs w:val="18"/>
                <w:b w:val="1"/>
                <w:bCs w:val="1"/>
                <w:color w:val="003B71"/>
              </w:rPr>
              <w:t>57</w:t>
            </w:r>
          </w:p>
        </w:tc>
      </w:tr>
      <w:tr>
        <w:trPr>
          <w:trHeight w:val="311"/>
        </w:trPr>
        <w:tc>
          <w:tcPr>
            <w:tcW w:w="8180" w:type="dxa"/>
            <w:vAlign w:val="bottom"/>
          </w:tcPr>
          <w:p>
            <w:pPr>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Section 16(a) Beneficial Ownership Reporting Compliance</w:t>
              </w:r>
            </w:hyperlink>
          </w:p>
        </w:tc>
        <w:tc>
          <w:tcPr>
            <w:tcW w:w="2840" w:type="dxa"/>
            <w:vAlign w:val="bottom"/>
          </w:tcPr>
          <w:p>
            <w:pPr>
              <w:jc w:val="right"/>
              <w:spacing w:after="0"/>
              <w:rPr>
                <w:sz w:val="20"/>
                <w:szCs w:val="20"/>
                <w:color w:val="auto"/>
              </w:rPr>
            </w:pPr>
            <w:r>
              <w:rPr>
                <w:rFonts w:ascii="Arial" w:cs="Arial" w:eastAsia="Arial" w:hAnsi="Arial"/>
                <w:sz w:val="18"/>
                <w:szCs w:val="18"/>
                <w:b w:val="1"/>
                <w:bCs w:val="1"/>
                <w:color w:val="003B71"/>
              </w:rPr>
              <w:t>58</w:t>
            </w:r>
          </w:p>
        </w:tc>
      </w:tr>
      <w:tr>
        <w:trPr>
          <w:trHeight w:val="310"/>
        </w:trPr>
        <w:tc>
          <w:tcPr>
            <w:tcW w:w="8180" w:type="dxa"/>
            <w:vAlign w:val="bottom"/>
          </w:tcPr>
          <w:p>
            <w:pPr>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Shareholder Proposals</w:t>
              </w:r>
            </w:hyperlink>
          </w:p>
        </w:tc>
        <w:tc>
          <w:tcPr>
            <w:tcW w:w="2840" w:type="dxa"/>
            <w:vAlign w:val="bottom"/>
          </w:tcPr>
          <w:p>
            <w:pPr>
              <w:jc w:val="right"/>
              <w:spacing w:after="0"/>
              <w:rPr>
                <w:sz w:val="20"/>
                <w:szCs w:val="20"/>
                <w:color w:val="auto"/>
              </w:rPr>
            </w:pPr>
            <w:r>
              <w:rPr>
                <w:rFonts w:ascii="Arial" w:cs="Arial" w:eastAsia="Arial" w:hAnsi="Arial"/>
                <w:sz w:val="18"/>
                <w:szCs w:val="18"/>
                <w:b w:val="1"/>
                <w:bCs w:val="1"/>
                <w:color w:val="003B71"/>
              </w:rPr>
              <w:t>58</w:t>
            </w:r>
          </w:p>
        </w:tc>
      </w:tr>
      <w:tr>
        <w:trPr>
          <w:trHeight w:val="311"/>
        </w:trPr>
        <w:tc>
          <w:tcPr>
            <w:tcW w:w="8180" w:type="dxa"/>
            <w:vAlign w:val="bottom"/>
          </w:tcPr>
          <w:p>
            <w:pPr>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Other Business</w:t>
              </w:r>
            </w:hyperlink>
          </w:p>
        </w:tc>
        <w:tc>
          <w:tcPr>
            <w:tcW w:w="2840" w:type="dxa"/>
            <w:vAlign w:val="bottom"/>
          </w:tcPr>
          <w:p>
            <w:pPr>
              <w:jc w:val="right"/>
              <w:spacing w:after="0"/>
              <w:rPr>
                <w:sz w:val="20"/>
                <w:szCs w:val="20"/>
                <w:color w:val="auto"/>
              </w:rPr>
            </w:pPr>
            <w:r>
              <w:rPr>
                <w:rFonts w:ascii="Arial" w:cs="Arial" w:eastAsia="Arial" w:hAnsi="Arial"/>
                <w:sz w:val="18"/>
                <w:szCs w:val="18"/>
                <w:b w:val="1"/>
                <w:bCs w:val="1"/>
                <w:color w:val="003B71"/>
              </w:rPr>
              <w:t>58</w:t>
            </w:r>
          </w:p>
        </w:tc>
      </w:tr>
      <w:tr>
        <w:trPr>
          <w:trHeight w:val="310"/>
        </w:trPr>
        <w:tc>
          <w:tcPr>
            <w:tcW w:w="8180" w:type="dxa"/>
            <w:vAlign w:val="bottom"/>
          </w:tcPr>
          <w:p>
            <w:pPr>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Where You Can Find More Information</w:t>
              </w:r>
            </w:hyperlink>
          </w:p>
        </w:tc>
        <w:tc>
          <w:tcPr>
            <w:tcW w:w="2840" w:type="dxa"/>
            <w:vAlign w:val="bottom"/>
          </w:tcPr>
          <w:p>
            <w:pPr>
              <w:jc w:val="right"/>
              <w:spacing w:after="0"/>
              <w:rPr>
                <w:sz w:val="20"/>
                <w:szCs w:val="20"/>
                <w:color w:val="auto"/>
              </w:rPr>
            </w:pPr>
            <w:r>
              <w:rPr>
                <w:rFonts w:ascii="Arial" w:cs="Arial" w:eastAsia="Arial" w:hAnsi="Arial"/>
                <w:sz w:val="18"/>
                <w:szCs w:val="18"/>
                <w:b w:val="1"/>
                <w:bCs w:val="1"/>
                <w:color w:val="003B71"/>
              </w:rPr>
              <w:t>58</w:t>
            </w:r>
          </w:p>
        </w:tc>
      </w:tr>
      <w:tr>
        <w:trPr>
          <w:trHeight w:val="311"/>
        </w:trPr>
        <w:tc>
          <w:tcPr>
            <w:tcW w:w="8180" w:type="dxa"/>
            <w:vAlign w:val="bottom"/>
          </w:tcPr>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FAQs</w:t>
              </w:r>
            </w:hyperlink>
          </w:p>
        </w:tc>
        <w:tc>
          <w:tcPr>
            <w:tcW w:w="2840" w:type="dxa"/>
            <w:vAlign w:val="bottom"/>
          </w:tcPr>
          <w:p>
            <w:pPr>
              <w:jc w:val="right"/>
              <w:spacing w:after="0"/>
              <w:rPr>
                <w:sz w:val="20"/>
                <w:szCs w:val="20"/>
                <w:color w:val="auto"/>
              </w:rPr>
            </w:pPr>
            <w:r>
              <w:rPr>
                <w:rFonts w:ascii="Arial" w:cs="Arial" w:eastAsia="Arial" w:hAnsi="Arial"/>
                <w:sz w:val="18"/>
                <w:szCs w:val="18"/>
                <w:b w:val="1"/>
                <w:bCs w:val="1"/>
                <w:color w:val="003B71"/>
              </w:rPr>
              <w:t>59</w:t>
            </w:r>
          </w:p>
        </w:tc>
      </w:tr>
      <w:tr>
        <w:trPr>
          <w:trHeight w:val="310"/>
        </w:trPr>
        <w:tc>
          <w:tcPr>
            <w:tcW w:w="8180" w:type="dxa"/>
            <w:vAlign w:val="bottom"/>
          </w:tcPr>
          <w:p>
            <w:pPr>
              <w:spacing w:after="0"/>
              <w:rPr>
                <w:rFonts w:ascii="Arial" w:cs="Arial" w:eastAsia="Arial" w:hAnsi="Arial"/>
                <w:sz w:val="18"/>
                <w:szCs w:val="18"/>
                <w:b w:val="1"/>
                <w:bCs w:val="1"/>
                <w:u w:val="single" w:color="auto"/>
                <w:color w:val="0000EE"/>
              </w:rPr>
            </w:pPr>
            <w:hyperlink w:anchor="page71">
              <w:r>
                <w:rPr>
                  <w:rFonts w:ascii="Arial" w:cs="Arial" w:eastAsia="Arial" w:hAnsi="Arial"/>
                  <w:sz w:val="18"/>
                  <w:szCs w:val="18"/>
                  <w:b w:val="1"/>
                  <w:bCs w:val="1"/>
                  <w:u w:val="single" w:color="auto"/>
                  <w:color w:val="0000EE"/>
                </w:rPr>
                <w:t>Appendix A – Amended and Restated 2014 Omnibus Incentive Plan</w:t>
              </w:r>
            </w:hyperlink>
          </w:p>
        </w:tc>
        <w:tc>
          <w:tcPr>
            <w:tcW w:w="2840" w:type="dxa"/>
            <w:vAlign w:val="bottom"/>
          </w:tcPr>
          <w:p>
            <w:pPr>
              <w:jc w:val="right"/>
              <w:spacing w:after="0"/>
              <w:rPr>
                <w:sz w:val="20"/>
                <w:szCs w:val="20"/>
                <w:color w:val="auto"/>
              </w:rPr>
            </w:pPr>
            <w:r>
              <w:rPr>
                <w:rFonts w:ascii="Arial" w:cs="Arial" w:eastAsia="Arial" w:hAnsi="Arial"/>
                <w:sz w:val="18"/>
                <w:szCs w:val="18"/>
                <w:b w:val="1"/>
                <w:bCs w:val="1"/>
                <w:color w:val="003B71"/>
              </w:rPr>
              <w:t>A-1</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207645</wp:posOffset>
            </wp:positionV>
            <wp:extent cx="6990715" cy="85077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0715" cy="850773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40"/>
          <w:szCs w:val="40"/>
          <w:color w:val="003B71"/>
        </w:rPr>
        <w:t>2020 Proxy Statement Summary</w:t>
      </w:r>
    </w:p>
    <w:p>
      <w:pPr>
        <w:spacing w:after="0" w:line="208" w:lineRule="exact"/>
        <w:rPr>
          <w:sz w:val="20"/>
          <w:szCs w:val="20"/>
          <w:color w:val="auto"/>
        </w:rPr>
      </w:pPr>
    </w:p>
    <w:p>
      <w:pPr>
        <w:jc w:val="both"/>
        <w:ind w:left="300" w:right="200"/>
        <w:spacing w:after="0" w:line="238" w:lineRule="auto"/>
        <w:rPr>
          <w:sz w:val="20"/>
          <w:szCs w:val="20"/>
          <w:color w:val="auto"/>
        </w:rPr>
      </w:pPr>
      <w:r>
        <w:rPr>
          <w:rFonts w:ascii="Arial" w:cs="Arial" w:eastAsia="Arial" w:hAnsi="Arial"/>
          <w:sz w:val="18"/>
          <w:szCs w:val="18"/>
          <w:color w:val="auto"/>
        </w:rPr>
        <w:t>This summary highlights selected information on Dave and Buster’s Entertainment, Inc., a Delaware corporation (sometimes referred to herein as “we”, “us”, “our” or the “Company”) that is provided by our Board of Directors (the “Board of Directors” or the “Board”) in more detail throughout the Proxy Statement. This summary does not contain all of the information you should consider before voting, and you should read the entire Proxy Statement before casting your vote.</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4C4C4C"/>
        </w:rPr>
        <w:t>Annual Meeting Information</w:t>
      </w:r>
    </w:p>
    <w:p>
      <w:pPr>
        <w:sectPr>
          <w:pgSz w:w="11900" w:h="16838" w:orient="portrait"/>
          <w:cols w:equalWidth="0" w:num="1">
            <w:col w:w="11140"/>
          </w:cols>
          <w:pgMar w:left="320" w:top="459" w:right="439" w:bottom="1440" w:gutter="0" w:footer="0" w:header="0"/>
        </w:sectPr>
      </w:pPr>
    </w:p>
    <w:p>
      <w:pPr>
        <w:spacing w:after="0" w:line="39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FFFFFF"/>
        </w:rPr>
        <w:t>Date: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FFFFFF"/>
        </w:rPr>
        <w:t>Time: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FFFFFF"/>
        </w:rPr>
        <w:t>Place: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FFFFFF"/>
        </w:rPr>
        <w:t>Webpage:</w:t>
      </w:r>
    </w:p>
    <w:p>
      <w:pPr>
        <w:spacing w:after="0" w:line="200" w:lineRule="exact"/>
        <w:rPr>
          <w:sz w:val="20"/>
          <w:szCs w:val="20"/>
          <w:color w:val="auto"/>
        </w:rPr>
      </w:pPr>
    </w:p>
    <w:p>
      <w:pPr>
        <w:spacing w:after="0" w:line="214"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FFFFFF"/>
        </w:rPr>
        <w:t>Record Date:</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FFFFFF"/>
        </w:rPr>
        <w:t>Tuesday</w:t>
      </w:r>
    </w:p>
    <w:p>
      <w:pPr>
        <w:spacing w:after="0"/>
        <w:rPr>
          <w:sz w:val="20"/>
          <w:szCs w:val="20"/>
          <w:color w:val="auto"/>
        </w:rPr>
      </w:pPr>
      <w:r>
        <w:rPr>
          <w:rFonts w:ascii="Arial" w:cs="Arial" w:eastAsia="Arial" w:hAnsi="Arial"/>
          <w:sz w:val="18"/>
          <w:szCs w:val="18"/>
          <w:color w:val="FFFFFF"/>
        </w:rPr>
        <w:t>June 23, 2020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FFFFFF"/>
        </w:rPr>
        <w:t>8:30 a.m.</w:t>
      </w:r>
    </w:p>
    <w:p>
      <w:pPr>
        <w:spacing w:after="0"/>
        <w:rPr>
          <w:sz w:val="20"/>
          <w:szCs w:val="20"/>
          <w:color w:val="auto"/>
        </w:rPr>
      </w:pPr>
      <w:r>
        <w:rPr>
          <w:rFonts w:ascii="Arial" w:cs="Arial" w:eastAsia="Arial" w:hAnsi="Arial"/>
          <w:sz w:val="18"/>
          <w:szCs w:val="18"/>
          <w:color w:val="FFFFFF"/>
        </w:rPr>
        <w:t>Central Daylight Time</w:t>
      </w:r>
    </w:p>
    <w:p>
      <w:pPr>
        <w:spacing w:after="0" w:line="200" w:lineRule="exact"/>
        <w:rPr>
          <w:sz w:val="20"/>
          <w:szCs w:val="20"/>
          <w:color w:val="auto"/>
        </w:rPr>
      </w:pPr>
    </w:p>
    <w:p>
      <w:pPr>
        <w:spacing w:after="0" w:line="214"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FFFFFF"/>
        </w:rPr>
        <w:t>The Annual Meeting will be held virtually.</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FFFFFF"/>
        </w:rPr>
        <w:t>www.meetingcenter.io/226537069</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April 24, 2020</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Voting</w:t>
      </w:r>
    </w:p>
    <w:p>
      <w:pPr>
        <w:spacing w:after="0" w:line="99" w:lineRule="exact"/>
        <w:rPr>
          <w:sz w:val="20"/>
          <w:szCs w:val="20"/>
          <w:color w:val="auto"/>
        </w:rPr>
      </w:pPr>
    </w:p>
    <w:p>
      <w:pPr>
        <w:jc w:val="both"/>
        <w:ind w:right="200"/>
        <w:spacing w:after="0" w:line="246" w:lineRule="auto"/>
        <w:rPr>
          <w:sz w:val="20"/>
          <w:szCs w:val="20"/>
          <w:color w:val="auto"/>
        </w:rPr>
      </w:pPr>
      <w:r>
        <w:rPr>
          <w:rFonts w:ascii="Arial" w:cs="Arial" w:eastAsia="Arial" w:hAnsi="Arial"/>
          <w:sz w:val="18"/>
          <w:szCs w:val="18"/>
          <w:color w:val="auto"/>
        </w:rPr>
        <w:t>Only shareholders as of the Record Date (April 24, 2020) are entitled to vote.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Participating Online during the Annual Meeting</w:t>
      </w:r>
    </w:p>
    <w:p>
      <w:pPr>
        <w:spacing w:after="0" w:line="99"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If you are a registered shareholder (the shares are held in your name), you must register by following the instructions set forth at www.meetingcenter.io/226537069 or in the FAQs section of this Proxy Statement (page 59).</w:t>
      </w:r>
    </w:p>
    <w:p>
      <w:pPr>
        <w:spacing w:after="0" w:line="110" w:lineRule="exact"/>
        <w:rPr>
          <w:sz w:val="20"/>
          <w:szCs w:val="20"/>
          <w:color w:val="auto"/>
        </w:rPr>
      </w:pPr>
    </w:p>
    <w:p>
      <w:pPr>
        <w:jc w:val="both"/>
        <w:ind w:right="200"/>
        <w:spacing w:after="0" w:line="237" w:lineRule="auto"/>
        <w:rPr>
          <w:sz w:val="20"/>
          <w:szCs w:val="20"/>
          <w:color w:val="auto"/>
        </w:rPr>
      </w:pPr>
      <w:r>
        <w:rPr>
          <w:rFonts w:ascii="Arial" w:cs="Arial" w:eastAsia="Arial" w:hAnsi="Arial"/>
          <w:sz w:val="18"/>
          <w:szCs w:val="18"/>
          <w:color w:val="auto"/>
        </w:rPr>
        <w:t>If you are a beneficial shareholder (the shares are held in the name of your bank, brokerage firm or other nominee), you will need to obtain a “legal proxy” from the registered shareholder (your bank, brokerage firm or other nominee) to register to vote at the annual meeting and follow the instructions in the FAQs section of this Proxy Statement (page 59).</w:t>
      </w:r>
    </w:p>
    <w:p>
      <w:pPr>
        <w:spacing w:after="0" w:line="409" w:lineRule="exact"/>
        <w:rPr>
          <w:sz w:val="20"/>
          <w:szCs w:val="20"/>
          <w:color w:val="auto"/>
        </w:rPr>
      </w:pPr>
    </w:p>
    <w:p>
      <w:pPr>
        <w:sectPr>
          <w:pgSz w:w="11900" w:h="16838" w:orient="portrait"/>
          <w:cols w:equalWidth="0" w:num="3">
            <w:col w:w="1520" w:space="420"/>
            <w:col w:w="2760" w:space="720"/>
            <w:col w:w="572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2880" w:type="dxa"/>
            <w:vAlign w:val="bottom"/>
          </w:tcPr>
          <w:p>
            <w:pPr>
              <w:jc w:val="center"/>
              <w:ind w:right="1079"/>
              <w:spacing w:after="0"/>
              <w:rPr>
                <w:sz w:val="20"/>
                <w:szCs w:val="20"/>
                <w:color w:val="auto"/>
              </w:rPr>
            </w:pPr>
            <w:r>
              <w:rPr>
                <w:rFonts w:ascii="Arial" w:cs="Arial" w:eastAsia="Arial" w:hAnsi="Arial"/>
                <w:sz w:val="18"/>
                <w:szCs w:val="18"/>
                <w:b w:val="1"/>
                <w:bCs w:val="1"/>
                <w:color w:val="003B71"/>
                <w:w w:val="99"/>
              </w:rPr>
              <w:t>Vote via the Internet</w:t>
            </w:r>
          </w:p>
        </w:tc>
        <w:tc>
          <w:tcPr>
            <w:tcW w:w="3680" w:type="dxa"/>
            <w:vAlign w:val="bottom"/>
          </w:tcPr>
          <w:p>
            <w:pPr>
              <w:jc w:val="center"/>
              <w:ind w:right="364"/>
              <w:spacing w:after="0"/>
              <w:rPr>
                <w:sz w:val="20"/>
                <w:szCs w:val="20"/>
                <w:color w:val="auto"/>
              </w:rPr>
            </w:pPr>
            <w:r>
              <w:rPr>
                <w:rFonts w:ascii="Arial" w:cs="Arial" w:eastAsia="Arial" w:hAnsi="Arial"/>
                <w:sz w:val="18"/>
                <w:szCs w:val="18"/>
                <w:b w:val="1"/>
                <w:bCs w:val="1"/>
                <w:color w:val="003B71"/>
                <w:w w:val="99"/>
              </w:rPr>
              <w:t>Vote via Phone</w:t>
            </w:r>
          </w:p>
        </w:tc>
        <w:tc>
          <w:tcPr>
            <w:tcW w:w="1720" w:type="dxa"/>
            <w:vAlign w:val="bottom"/>
          </w:tcPr>
          <w:p>
            <w:pPr>
              <w:jc w:val="center"/>
              <w:ind w:right="83"/>
              <w:spacing w:after="0"/>
              <w:rPr>
                <w:sz w:val="20"/>
                <w:szCs w:val="20"/>
                <w:color w:val="auto"/>
              </w:rPr>
            </w:pPr>
            <w:r>
              <w:rPr>
                <w:rFonts w:ascii="Arial" w:cs="Arial" w:eastAsia="Arial" w:hAnsi="Arial"/>
                <w:sz w:val="18"/>
                <w:szCs w:val="18"/>
                <w:b w:val="1"/>
                <w:bCs w:val="1"/>
                <w:color w:val="003B71"/>
                <w:w w:val="98"/>
              </w:rPr>
              <w:t>Vote via Mail</w:t>
            </w:r>
          </w:p>
        </w:tc>
        <w:tc>
          <w:tcPr>
            <w:tcW w:w="1780" w:type="dxa"/>
            <w:vAlign w:val="bottom"/>
            <w:gridSpan w:val="3"/>
          </w:tcPr>
          <w:p>
            <w:pPr>
              <w:jc w:val="center"/>
              <w:ind w:left="421"/>
              <w:spacing w:after="0"/>
              <w:rPr>
                <w:sz w:val="20"/>
                <w:szCs w:val="20"/>
                <w:color w:val="auto"/>
              </w:rPr>
            </w:pPr>
            <w:r>
              <w:rPr>
                <w:rFonts w:ascii="Arial" w:cs="Arial" w:eastAsia="Arial" w:hAnsi="Arial"/>
                <w:sz w:val="18"/>
                <w:szCs w:val="18"/>
                <w:b w:val="1"/>
                <w:bCs w:val="1"/>
                <w:color w:val="003B71"/>
                <w:w w:val="99"/>
              </w:rPr>
              <w:t>Vote Online</w:t>
            </w:r>
          </w:p>
        </w:tc>
        <w:tc>
          <w:tcPr>
            <w:tcW w:w="0" w:type="dxa"/>
            <w:vAlign w:val="bottom"/>
          </w:tcPr>
          <w:p>
            <w:pPr>
              <w:spacing w:after="0"/>
              <w:rPr>
                <w:sz w:val="1"/>
                <w:szCs w:val="1"/>
                <w:color w:val="auto"/>
              </w:rPr>
            </w:pPr>
          </w:p>
        </w:tc>
      </w:tr>
      <w:tr>
        <w:trPr>
          <w:trHeight w:val="190"/>
        </w:trPr>
        <w:tc>
          <w:tcPr>
            <w:tcW w:w="3460" w:type="dxa"/>
            <w:vAlign w:val="bottom"/>
            <w:gridSpan w:val="2"/>
          </w:tcPr>
          <w:p>
            <w:pPr>
              <w:jc w:val="center"/>
              <w:ind w:right="519"/>
              <w:spacing w:after="0"/>
              <w:rPr>
                <w:sz w:val="20"/>
                <w:szCs w:val="20"/>
                <w:color w:val="auto"/>
              </w:rPr>
            </w:pPr>
            <w:r>
              <w:rPr>
                <w:rFonts w:ascii="Arial" w:cs="Arial" w:eastAsia="Arial" w:hAnsi="Arial"/>
                <w:sz w:val="14"/>
                <w:szCs w:val="14"/>
                <w:color w:val="auto"/>
              </w:rPr>
              <w:t>Follow the instructions on your</w:t>
            </w:r>
          </w:p>
        </w:tc>
        <w:tc>
          <w:tcPr>
            <w:tcW w:w="3680" w:type="dxa"/>
            <w:vAlign w:val="bottom"/>
          </w:tcPr>
          <w:p>
            <w:pPr>
              <w:jc w:val="center"/>
              <w:ind w:right="344"/>
              <w:spacing w:after="0"/>
              <w:rPr>
                <w:sz w:val="20"/>
                <w:szCs w:val="20"/>
                <w:color w:val="auto"/>
              </w:rPr>
            </w:pPr>
            <w:r>
              <w:rPr>
                <w:rFonts w:ascii="Arial" w:cs="Arial" w:eastAsia="Arial" w:hAnsi="Arial"/>
                <w:sz w:val="14"/>
                <w:szCs w:val="14"/>
                <w:color w:val="auto"/>
              </w:rPr>
              <w:t>Call the number on</w:t>
            </w:r>
          </w:p>
        </w:tc>
        <w:tc>
          <w:tcPr>
            <w:tcW w:w="1720" w:type="dxa"/>
            <w:vAlign w:val="bottom"/>
          </w:tcPr>
          <w:p>
            <w:pPr>
              <w:jc w:val="center"/>
              <w:ind w:right="103"/>
              <w:spacing w:after="0"/>
              <w:rPr>
                <w:sz w:val="20"/>
                <w:szCs w:val="20"/>
                <w:color w:val="auto"/>
              </w:rPr>
            </w:pPr>
            <w:r>
              <w:rPr>
                <w:rFonts w:ascii="Arial" w:cs="Arial" w:eastAsia="Arial" w:hAnsi="Arial"/>
                <w:sz w:val="14"/>
                <w:szCs w:val="14"/>
                <w:color w:val="auto"/>
              </w:rPr>
              <w:t>Follow the</w:t>
            </w:r>
          </w:p>
        </w:tc>
        <w:tc>
          <w:tcPr>
            <w:tcW w:w="1780" w:type="dxa"/>
            <w:vAlign w:val="bottom"/>
            <w:gridSpan w:val="3"/>
          </w:tcPr>
          <w:p>
            <w:pPr>
              <w:jc w:val="center"/>
              <w:ind w:left="421"/>
              <w:spacing w:after="0" w:line="189" w:lineRule="exact"/>
              <w:rPr>
                <w:sz w:val="20"/>
                <w:szCs w:val="20"/>
                <w:color w:val="auto"/>
              </w:rPr>
            </w:pPr>
            <w:r>
              <w:rPr>
                <w:rFonts w:ascii="Arial" w:cs="Arial" w:eastAsia="Arial" w:hAnsi="Arial"/>
                <w:sz w:val="18"/>
                <w:szCs w:val="18"/>
                <w:b w:val="1"/>
                <w:bCs w:val="1"/>
                <w:color w:val="003B71"/>
                <w:w w:val="99"/>
              </w:rPr>
              <w:t>during the</w:t>
            </w: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2880" w:type="dxa"/>
            <w:vAlign w:val="bottom"/>
          </w:tcPr>
          <w:p>
            <w:pPr>
              <w:jc w:val="center"/>
              <w:ind w:right="1059"/>
              <w:spacing w:after="0"/>
              <w:rPr>
                <w:sz w:val="20"/>
                <w:szCs w:val="20"/>
                <w:color w:val="auto"/>
              </w:rPr>
            </w:pPr>
            <w:r>
              <w:rPr>
                <w:rFonts w:ascii="Arial" w:cs="Arial" w:eastAsia="Arial" w:hAnsi="Arial"/>
                <w:sz w:val="14"/>
                <w:szCs w:val="14"/>
                <w:color w:val="auto"/>
              </w:rPr>
              <w:t>Notice or Proxy Card</w:t>
            </w:r>
          </w:p>
        </w:tc>
        <w:tc>
          <w:tcPr>
            <w:tcW w:w="3680" w:type="dxa"/>
            <w:vAlign w:val="bottom"/>
          </w:tcPr>
          <w:p>
            <w:pPr>
              <w:jc w:val="center"/>
              <w:ind w:right="344"/>
              <w:spacing w:after="0"/>
              <w:rPr>
                <w:sz w:val="20"/>
                <w:szCs w:val="20"/>
                <w:color w:val="auto"/>
              </w:rPr>
            </w:pPr>
            <w:r>
              <w:rPr>
                <w:rFonts w:ascii="Arial" w:cs="Arial" w:eastAsia="Arial" w:hAnsi="Arial"/>
                <w:sz w:val="14"/>
                <w:szCs w:val="14"/>
                <w:color w:val="auto"/>
              </w:rPr>
              <w:t>your Notice or Proxy Card</w:t>
            </w:r>
          </w:p>
        </w:tc>
        <w:tc>
          <w:tcPr>
            <w:tcW w:w="1720" w:type="dxa"/>
            <w:vAlign w:val="bottom"/>
          </w:tcPr>
          <w:p>
            <w:pPr>
              <w:jc w:val="center"/>
              <w:ind w:right="83"/>
              <w:spacing w:after="0"/>
              <w:rPr>
                <w:sz w:val="20"/>
                <w:szCs w:val="20"/>
                <w:color w:val="auto"/>
              </w:rPr>
            </w:pPr>
            <w:r>
              <w:rPr>
                <w:rFonts w:ascii="Arial" w:cs="Arial" w:eastAsia="Arial" w:hAnsi="Arial"/>
                <w:sz w:val="14"/>
                <w:szCs w:val="14"/>
                <w:color w:val="auto"/>
              </w:rPr>
              <w:t>instructions</w:t>
            </w:r>
          </w:p>
        </w:tc>
        <w:tc>
          <w:tcPr>
            <w:tcW w:w="780" w:type="dxa"/>
            <w:vAlign w:val="bottom"/>
          </w:tcPr>
          <w:p>
            <w:pPr>
              <w:spacing w:after="0"/>
              <w:rPr>
                <w:sz w:val="17"/>
                <w:szCs w:val="17"/>
                <w:color w:val="auto"/>
              </w:rPr>
            </w:pPr>
          </w:p>
        </w:tc>
        <w:tc>
          <w:tcPr>
            <w:tcW w:w="100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003B71"/>
                <w:w w:val="98"/>
              </w:rPr>
              <w:t>Annual</w:t>
            </w:r>
          </w:p>
        </w:tc>
        <w:tc>
          <w:tcPr>
            <w:tcW w:w="0" w:type="dxa"/>
            <w:vAlign w:val="bottom"/>
          </w:tcPr>
          <w:p>
            <w:pPr>
              <w:spacing w:after="0"/>
              <w:rPr>
                <w:sz w:val="1"/>
                <w:szCs w:val="1"/>
                <w:color w:val="auto"/>
              </w:rPr>
            </w:pPr>
          </w:p>
        </w:tc>
      </w:tr>
      <w:tr>
        <w:trPr>
          <w:trHeight w:val="126"/>
        </w:trPr>
        <w:tc>
          <w:tcPr>
            <w:tcW w:w="58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20" w:type="dxa"/>
            <w:vAlign w:val="bottom"/>
          </w:tcPr>
          <w:p>
            <w:pPr>
              <w:jc w:val="center"/>
              <w:ind w:right="103"/>
              <w:spacing w:after="0" w:line="127" w:lineRule="exact"/>
              <w:rPr>
                <w:sz w:val="20"/>
                <w:szCs w:val="20"/>
                <w:color w:val="auto"/>
              </w:rPr>
            </w:pPr>
            <w:r>
              <w:rPr>
                <w:rFonts w:ascii="Arial" w:cs="Arial" w:eastAsia="Arial" w:hAnsi="Arial"/>
                <w:sz w:val="14"/>
                <w:szCs w:val="14"/>
                <w:color w:val="auto"/>
              </w:rPr>
              <w:t>on your Notice or</w:t>
            </w:r>
          </w:p>
        </w:tc>
        <w:tc>
          <w:tcPr>
            <w:tcW w:w="78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003B71"/>
                <w:w w:val="99"/>
              </w:rPr>
              <w:t>Meeting</w:t>
            </w:r>
          </w:p>
        </w:tc>
        <w:tc>
          <w:tcPr>
            <w:tcW w:w="0" w:type="dxa"/>
            <w:vAlign w:val="bottom"/>
          </w:tcPr>
          <w:p>
            <w:pPr>
              <w:spacing w:after="0"/>
              <w:rPr>
                <w:sz w:val="1"/>
                <w:szCs w:val="1"/>
                <w:color w:val="auto"/>
              </w:rPr>
            </w:pPr>
          </w:p>
        </w:tc>
      </w:tr>
      <w:tr>
        <w:trPr>
          <w:trHeight w:val="130"/>
        </w:trPr>
        <w:tc>
          <w:tcPr>
            <w:tcW w:w="58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720" w:type="dxa"/>
            <w:vAlign w:val="bottom"/>
          </w:tcPr>
          <w:p>
            <w:pPr>
              <w:jc w:val="center"/>
              <w:ind w:right="83"/>
              <w:spacing w:after="0" w:line="131" w:lineRule="exact"/>
              <w:rPr>
                <w:sz w:val="20"/>
                <w:szCs w:val="20"/>
                <w:color w:val="auto"/>
              </w:rPr>
            </w:pPr>
            <w:r>
              <w:rPr>
                <w:rFonts w:ascii="Arial" w:cs="Arial" w:eastAsia="Arial" w:hAnsi="Arial"/>
                <w:sz w:val="14"/>
                <w:szCs w:val="14"/>
                <w:color w:val="auto"/>
              </w:rPr>
              <w:t>Proxy Card</w:t>
            </w:r>
          </w:p>
        </w:tc>
        <w:tc>
          <w:tcPr>
            <w:tcW w:w="7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color w:val="auto"/>
              </w:rPr>
              <w:t>Register to</w:t>
            </w: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80" w:type="dxa"/>
            <w:vAlign w:val="bottom"/>
            <w:gridSpan w:val="3"/>
          </w:tcPr>
          <w:p>
            <w:pPr>
              <w:jc w:val="center"/>
              <w:ind w:left="421"/>
              <w:spacing w:after="0"/>
              <w:rPr>
                <w:sz w:val="20"/>
                <w:szCs w:val="20"/>
                <w:color w:val="auto"/>
              </w:rPr>
            </w:pPr>
            <w:r>
              <w:rPr>
                <w:rFonts w:ascii="Arial" w:cs="Arial" w:eastAsia="Arial" w:hAnsi="Arial"/>
                <w:sz w:val="14"/>
                <w:szCs w:val="14"/>
                <w:color w:val="auto"/>
              </w:rPr>
              <w:t>participate in the</w:t>
            </w: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80" w:type="dxa"/>
            <w:vAlign w:val="bottom"/>
            <w:gridSpan w:val="3"/>
          </w:tcPr>
          <w:p>
            <w:pPr>
              <w:jc w:val="center"/>
              <w:ind w:left="421"/>
              <w:spacing w:after="0"/>
              <w:rPr>
                <w:sz w:val="20"/>
                <w:szCs w:val="20"/>
                <w:color w:val="auto"/>
              </w:rPr>
            </w:pPr>
            <w:r>
              <w:rPr>
                <w:rFonts w:ascii="Arial" w:cs="Arial" w:eastAsia="Arial" w:hAnsi="Arial"/>
                <w:sz w:val="14"/>
                <w:szCs w:val="14"/>
                <w:color w:val="auto"/>
              </w:rPr>
              <w:t>Annual Meeting</w:t>
            </w: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80" w:type="dxa"/>
            <w:vAlign w:val="bottom"/>
            <w:gridSpan w:val="3"/>
          </w:tcPr>
          <w:p>
            <w:pPr>
              <w:jc w:val="center"/>
              <w:ind w:left="421"/>
              <w:spacing w:after="0"/>
              <w:rPr>
                <w:sz w:val="20"/>
                <w:szCs w:val="20"/>
                <w:color w:val="auto"/>
              </w:rPr>
            </w:pPr>
            <w:r>
              <w:rPr>
                <w:rFonts w:ascii="Arial" w:cs="Arial" w:eastAsia="Arial" w:hAnsi="Arial"/>
                <w:sz w:val="14"/>
                <w:szCs w:val="14"/>
                <w:color w:val="auto"/>
              </w:rPr>
              <w:t>virtually and</w:t>
            </w: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color w:val="auto"/>
              </w:rPr>
              <w:t>Vote online</w:t>
            </w:r>
          </w:p>
        </w:tc>
        <w:tc>
          <w:tcPr>
            <w:tcW w:w="0" w:type="dxa"/>
            <w:vAlign w:val="bottom"/>
          </w:tcPr>
          <w:p>
            <w:pPr>
              <w:spacing w:after="0"/>
              <w:rPr>
                <w:sz w:val="1"/>
                <w:szCs w:val="1"/>
                <w:color w:val="auto"/>
              </w:rPr>
            </w:pPr>
          </w:p>
        </w:tc>
      </w:tr>
      <w:tr>
        <w:trPr>
          <w:trHeight w:val="520"/>
        </w:trPr>
        <w:tc>
          <w:tcPr>
            <w:tcW w:w="3460" w:type="dxa"/>
            <w:vAlign w:val="bottom"/>
            <w:gridSpan w:val="2"/>
          </w:tcPr>
          <w:p>
            <w:pPr>
              <w:spacing w:after="0"/>
              <w:rPr>
                <w:sz w:val="20"/>
                <w:szCs w:val="20"/>
                <w:color w:val="auto"/>
              </w:rPr>
            </w:pPr>
            <w:r>
              <w:rPr>
                <w:rFonts w:ascii="Arial" w:cs="Arial" w:eastAsia="Arial" w:hAnsi="Arial"/>
                <w:sz w:val="25"/>
                <w:szCs w:val="25"/>
                <w:b w:val="1"/>
                <w:bCs w:val="1"/>
                <w:color w:val="4C4C4C"/>
              </w:rPr>
              <w:t>Shareholders Action</w:t>
            </w:r>
          </w:p>
        </w:tc>
        <w:tc>
          <w:tcPr>
            <w:tcW w:w="3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80" w:type="dxa"/>
            <w:vAlign w:val="bottom"/>
            <w:tcBorders>
              <w:bottom w:val="single" w:sz="8" w:color="003B71"/>
            </w:tcBorders>
          </w:tcPr>
          <w:p>
            <w:pPr>
              <w:spacing w:after="0"/>
              <w:rPr>
                <w:sz w:val="3"/>
                <w:szCs w:val="3"/>
                <w:color w:val="auto"/>
              </w:rPr>
            </w:pPr>
          </w:p>
        </w:tc>
        <w:tc>
          <w:tcPr>
            <w:tcW w:w="2880" w:type="dxa"/>
            <w:vAlign w:val="bottom"/>
            <w:tcBorders>
              <w:bottom w:val="single" w:sz="8" w:color="003B71"/>
            </w:tcBorders>
          </w:tcPr>
          <w:p>
            <w:pPr>
              <w:spacing w:after="0"/>
              <w:rPr>
                <w:sz w:val="3"/>
                <w:szCs w:val="3"/>
                <w:color w:val="auto"/>
              </w:rPr>
            </w:pPr>
          </w:p>
        </w:tc>
        <w:tc>
          <w:tcPr>
            <w:tcW w:w="3680" w:type="dxa"/>
            <w:vAlign w:val="bottom"/>
            <w:tcBorders>
              <w:bottom w:val="single" w:sz="8" w:color="003B71"/>
            </w:tcBorders>
          </w:tcPr>
          <w:p>
            <w:pPr>
              <w:spacing w:after="0"/>
              <w:rPr>
                <w:sz w:val="3"/>
                <w:szCs w:val="3"/>
                <w:color w:val="auto"/>
              </w:rPr>
            </w:pPr>
          </w:p>
        </w:tc>
        <w:tc>
          <w:tcPr>
            <w:tcW w:w="1720" w:type="dxa"/>
            <w:vAlign w:val="bottom"/>
            <w:tcBorders>
              <w:bottom w:val="single" w:sz="8" w:color="003B71"/>
            </w:tcBorders>
          </w:tcPr>
          <w:p>
            <w:pPr>
              <w:spacing w:after="0"/>
              <w:rPr>
                <w:sz w:val="3"/>
                <w:szCs w:val="3"/>
                <w:color w:val="auto"/>
              </w:rPr>
            </w:pPr>
          </w:p>
        </w:tc>
        <w:tc>
          <w:tcPr>
            <w:tcW w:w="780" w:type="dxa"/>
            <w:vAlign w:val="bottom"/>
            <w:tcBorders>
              <w:bottom w:val="single" w:sz="8" w:color="003B71"/>
            </w:tcBorders>
          </w:tcPr>
          <w:p>
            <w:pPr>
              <w:spacing w:after="0"/>
              <w:rPr>
                <w:sz w:val="3"/>
                <w:szCs w:val="3"/>
                <w:color w:val="auto"/>
              </w:rPr>
            </w:pPr>
          </w:p>
        </w:tc>
        <w:tc>
          <w:tcPr>
            <w:tcW w:w="980" w:type="dxa"/>
            <w:vAlign w:val="bottom"/>
            <w:tcBorders>
              <w:bottom w:val="single" w:sz="8" w:color="003B71"/>
            </w:tcBorders>
          </w:tcPr>
          <w:p>
            <w:pPr>
              <w:spacing w:after="0"/>
              <w:rPr>
                <w:sz w:val="3"/>
                <w:szCs w:val="3"/>
                <w:color w:val="auto"/>
              </w:rPr>
            </w:pPr>
          </w:p>
        </w:tc>
        <w:tc>
          <w:tcPr>
            <w:tcW w:w="20" w:type="dxa"/>
            <w:vAlign w:val="bottom"/>
            <w:tcBorders>
              <w:bottom w:val="single" w:sz="8" w:color="003B71"/>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20" w:type="dxa"/>
            <w:vAlign w:val="bottom"/>
          </w:tcPr>
          <w:p>
            <w:pPr>
              <w:jc w:val="center"/>
              <w:ind w:left="123"/>
              <w:spacing w:after="0"/>
              <w:rPr>
                <w:sz w:val="20"/>
                <w:szCs w:val="20"/>
                <w:color w:val="auto"/>
              </w:rPr>
            </w:pPr>
            <w:r>
              <w:rPr>
                <w:rFonts w:ascii="Arial" w:cs="Arial" w:eastAsia="Arial" w:hAnsi="Arial"/>
                <w:sz w:val="14"/>
                <w:szCs w:val="14"/>
                <w:b w:val="1"/>
                <w:bCs w:val="1"/>
                <w:color w:val="003B71"/>
              </w:rPr>
              <w:t>Board Voting</w:t>
            </w:r>
          </w:p>
        </w:tc>
        <w:tc>
          <w:tcPr>
            <w:tcW w:w="780" w:type="dxa"/>
            <w:vAlign w:val="bottom"/>
          </w:tcPr>
          <w:p>
            <w:pPr>
              <w:jc w:val="center"/>
              <w:ind w:left="61"/>
              <w:spacing w:after="0"/>
              <w:rPr>
                <w:sz w:val="20"/>
                <w:szCs w:val="20"/>
                <w:color w:val="auto"/>
              </w:rPr>
            </w:pPr>
            <w:r>
              <w:rPr>
                <w:rFonts w:ascii="Arial" w:cs="Arial" w:eastAsia="Arial" w:hAnsi="Arial"/>
                <w:sz w:val="14"/>
                <w:szCs w:val="14"/>
                <w:b w:val="1"/>
                <w:bCs w:val="1"/>
                <w:color w:val="003B71"/>
              </w:rPr>
              <w:t>Votes</w:t>
            </w:r>
          </w:p>
        </w:tc>
        <w:tc>
          <w:tcPr>
            <w:tcW w:w="1000" w:type="dxa"/>
            <w:vAlign w:val="bottom"/>
            <w:gridSpan w:val="2"/>
          </w:tcPr>
          <w:p>
            <w:pPr>
              <w:jc w:val="center"/>
              <w:ind w:left="221"/>
              <w:spacing w:after="0"/>
              <w:rPr>
                <w:sz w:val="20"/>
                <w:szCs w:val="20"/>
                <w:color w:val="auto"/>
              </w:rPr>
            </w:pPr>
            <w:r>
              <w:rPr>
                <w:rFonts w:ascii="Arial" w:cs="Arial" w:eastAsia="Arial" w:hAnsi="Arial"/>
                <w:sz w:val="14"/>
                <w:szCs w:val="14"/>
                <w:b w:val="1"/>
                <w:bCs w:val="1"/>
                <w:color w:val="003B71"/>
              </w:rPr>
              <w:t>Page</w:t>
            </w:r>
          </w:p>
        </w:tc>
        <w:tc>
          <w:tcPr>
            <w:tcW w:w="0" w:type="dxa"/>
            <w:vAlign w:val="bottom"/>
          </w:tcPr>
          <w:p>
            <w:pPr>
              <w:spacing w:after="0"/>
              <w:rPr>
                <w:sz w:val="1"/>
                <w:szCs w:val="1"/>
                <w:color w:val="auto"/>
              </w:rPr>
            </w:pPr>
          </w:p>
        </w:tc>
      </w:tr>
      <w:tr>
        <w:trPr>
          <w:trHeight w:val="175"/>
        </w:trPr>
        <w:tc>
          <w:tcPr>
            <w:tcW w:w="3460" w:type="dxa"/>
            <w:vAlign w:val="bottom"/>
            <w:gridSpan w:val="2"/>
          </w:tcPr>
          <w:p>
            <w:pPr>
              <w:ind w:left="80"/>
              <w:spacing w:after="0"/>
              <w:rPr>
                <w:sz w:val="20"/>
                <w:szCs w:val="20"/>
                <w:color w:val="auto"/>
              </w:rPr>
            </w:pPr>
            <w:r>
              <w:rPr>
                <w:rFonts w:ascii="Arial" w:cs="Arial" w:eastAsia="Arial" w:hAnsi="Arial"/>
                <w:sz w:val="14"/>
                <w:szCs w:val="14"/>
                <w:b w:val="1"/>
                <w:bCs w:val="1"/>
                <w:color w:val="003B71"/>
              </w:rPr>
              <w:t>Proposals</w:t>
            </w:r>
          </w:p>
        </w:tc>
        <w:tc>
          <w:tcPr>
            <w:tcW w:w="3680" w:type="dxa"/>
            <w:vAlign w:val="bottom"/>
          </w:tcPr>
          <w:p>
            <w:pPr>
              <w:ind w:left="280"/>
              <w:spacing w:after="0"/>
              <w:rPr>
                <w:sz w:val="20"/>
                <w:szCs w:val="20"/>
                <w:color w:val="auto"/>
              </w:rPr>
            </w:pPr>
            <w:r>
              <w:rPr>
                <w:rFonts w:ascii="Arial" w:cs="Arial" w:eastAsia="Arial" w:hAnsi="Arial"/>
                <w:sz w:val="14"/>
                <w:szCs w:val="14"/>
                <w:b w:val="1"/>
                <w:bCs w:val="1"/>
                <w:color w:val="003B71"/>
              </w:rPr>
              <w:t>Description</w:t>
            </w:r>
          </w:p>
        </w:tc>
        <w:tc>
          <w:tcPr>
            <w:tcW w:w="1720" w:type="dxa"/>
            <w:vAlign w:val="bottom"/>
          </w:tcPr>
          <w:p>
            <w:pPr>
              <w:jc w:val="center"/>
              <w:ind w:left="123"/>
              <w:spacing w:after="0"/>
              <w:rPr>
                <w:sz w:val="20"/>
                <w:szCs w:val="20"/>
                <w:color w:val="auto"/>
              </w:rPr>
            </w:pPr>
            <w:r>
              <w:rPr>
                <w:rFonts w:ascii="Arial" w:cs="Arial" w:eastAsia="Arial" w:hAnsi="Arial"/>
                <w:sz w:val="14"/>
                <w:szCs w:val="14"/>
                <w:b w:val="1"/>
                <w:bCs w:val="1"/>
                <w:color w:val="003B71"/>
              </w:rPr>
              <w:t>Recommendation</w:t>
            </w:r>
          </w:p>
        </w:tc>
        <w:tc>
          <w:tcPr>
            <w:tcW w:w="780" w:type="dxa"/>
            <w:vAlign w:val="bottom"/>
          </w:tcPr>
          <w:p>
            <w:pPr>
              <w:jc w:val="center"/>
              <w:ind w:left="61"/>
              <w:spacing w:after="0"/>
              <w:rPr>
                <w:sz w:val="20"/>
                <w:szCs w:val="20"/>
                <w:color w:val="auto"/>
              </w:rPr>
            </w:pPr>
            <w:r>
              <w:rPr>
                <w:rFonts w:ascii="Arial" w:cs="Arial" w:eastAsia="Arial" w:hAnsi="Arial"/>
                <w:sz w:val="14"/>
                <w:szCs w:val="14"/>
                <w:b w:val="1"/>
                <w:bCs w:val="1"/>
                <w:color w:val="003B71"/>
              </w:rPr>
              <w:t>Required</w:t>
            </w:r>
          </w:p>
        </w:tc>
        <w:tc>
          <w:tcPr>
            <w:tcW w:w="1000" w:type="dxa"/>
            <w:vAlign w:val="bottom"/>
            <w:gridSpan w:val="2"/>
          </w:tcPr>
          <w:p>
            <w:pPr>
              <w:jc w:val="center"/>
              <w:ind w:left="221"/>
              <w:spacing w:after="0"/>
              <w:rPr>
                <w:sz w:val="20"/>
                <w:szCs w:val="20"/>
                <w:color w:val="auto"/>
              </w:rPr>
            </w:pPr>
            <w:r>
              <w:rPr>
                <w:rFonts w:ascii="Arial" w:cs="Arial" w:eastAsia="Arial" w:hAnsi="Arial"/>
                <w:sz w:val="14"/>
                <w:szCs w:val="14"/>
                <w:b w:val="1"/>
                <w:bCs w:val="1"/>
                <w:color w:val="003B71"/>
              </w:rPr>
              <w:t>Reference</w:t>
            </w:r>
          </w:p>
        </w:tc>
        <w:tc>
          <w:tcPr>
            <w:tcW w:w="0" w:type="dxa"/>
            <w:vAlign w:val="bottom"/>
          </w:tcPr>
          <w:p>
            <w:pPr>
              <w:spacing w:after="0"/>
              <w:rPr>
                <w:sz w:val="1"/>
                <w:szCs w:val="1"/>
                <w:color w:val="auto"/>
              </w:rPr>
            </w:pPr>
          </w:p>
        </w:tc>
      </w:tr>
      <w:tr>
        <w:trPr>
          <w:trHeight w:val="318"/>
        </w:trPr>
        <w:tc>
          <w:tcPr>
            <w:tcW w:w="580" w:type="dxa"/>
            <w:vAlign w:val="bottom"/>
            <w:tcBorders>
              <w:top w:val="single" w:sz="8" w:color="003B71"/>
            </w:tcBorders>
          </w:tcPr>
          <w:p>
            <w:pPr>
              <w:jc w:val="right"/>
              <w:spacing w:after="0" w:line="318" w:lineRule="exact"/>
              <w:rPr>
                <w:sz w:val="20"/>
                <w:szCs w:val="20"/>
                <w:color w:val="auto"/>
              </w:rPr>
            </w:pPr>
            <w:r>
              <w:rPr>
                <w:rFonts w:ascii="Arial" w:cs="Arial" w:eastAsia="Arial" w:hAnsi="Arial"/>
                <w:sz w:val="36"/>
                <w:szCs w:val="36"/>
                <w:color w:val="003B71"/>
              </w:rPr>
              <w:t>1</w:t>
            </w:r>
          </w:p>
        </w:tc>
        <w:tc>
          <w:tcPr>
            <w:tcW w:w="2880" w:type="dxa"/>
            <w:vAlign w:val="bottom"/>
            <w:tcBorders>
              <w:top w:val="single" w:sz="8" w:color="003B71"/>
            </w:tcBorders>
            <w:vMerge w:val="restart"/>
          </w:tcPr>
          <w:p>
            <w:pPr>
              <w:ind w:left="480"/>
              <w:spacing w:after="0"/>
              <w:rPr>
                <w:sz w:val="20"/>
                <w:szCs w:val="20"/>
                <w:color w:val="auto"/>
              </w:rPr>
            </w:pPr>
            <w:r>
              <w:rPr>
                <w:rFonts w:ascii="Arial" w:cs="Arial" w:eastAsia="Arial" w:hAnsi="Arial"/>
                <w:sz w:val="16"/>
                <w:szCs w:val="16"/>
                <w:color w:val="auto"/>
              </w:rPr>
              <w:t>Election of Directors</w:t>
            </w:r>
          </w:p>
        </w:tc>
        <w:tc>
          <w:tcPr>
            <w:tcW w:w="3680" w:type="dxa"/>
            <w:vAlign w:val="bottom"/>
            <w:tcBorders>
              <w:top w:val="single" w:sz="8" w:color="003B71"/>
            </w:tcBorders>
          </w:tcPr>
          <w:p>
            <w:pPr>
              <w:spacing w:after="0"/>
              <w:rPr>
                <w:sz w:val="24"/>
                <w:szCs w:val="24"/>
                <w:color w:val="auto"/>
              </w:rPr>
            </w:pPr>
          </w:p>
        </w:tc>
        <w:tc>
          <w:tcPr>
            <w:tcW w:w="1720" w:type="dxa"/>
            <w:vAlign w:val="bottom"/>
            <w:tcBorders>
              <w:top w:val="single" w:sz="8" w:color="003B71"/>
            </w:tcBorders>
            <w:vMerge w:val="restart"/>
          </w:tcPr>
          <w:p>
            <w:pPr>
              <w:jc w:val="center"/>
              <w:ind w:left="103"/>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each</w:t>
            </w:r>
          </w:p>
        </w:tc>
        <w:tc>
          <w:tcPr>
            <w:tcW w:w="780" w:type="dxa"/>
            <w:vAlign w:val="bottom"/>
            <w:tcBorders>
              <w:top w:val="single" w:sz="8" w:color="003B71"/>
            </w:tcBorders>
            <w:vMerge w:val="restart"/>
          </w:tcPr>
          <w:p>
            <w:pPr>
              <w:jc w:val="center"/>
              <w:ind w:left="61"/>
              <w:spacing w:after="0"/>
              <w:rPr>
                <w:sz w:val="20"/>
                <w:szCs w:val="20"/>
                <w:color w:val="auto"/>
              </w:rPr>
            </w:pPr>
            <w:r>
              <w:rPr>
                <w:rFonts w:ascii="Arial" w:cs="Arial" w:eastAsia="Arial" w:hAnsi="Arial"/>
                <w:sz w:val="16"/>
                <w:szCs w:val="16"/>
                <w:color w:val="auto"/>
                <w:w w:val="99"/>
              </w:rPr>
              <w:t>Majority</w:t>
            </w:r>
          </w:p>
        </w:tc>
        <w:tc>
          <w:tcPr>
            <w:tcW w:w="980" w:type="dxa"/>
            <w:vAlign w:val="bottom"/>
            <w:tcBorders>
              <w:top w:val="single" w:sz="8" w:color="003B71"/>
            </w:tcBorders>
            <w:vMerge w:val="restart"/>
          </w:tcPr>
          <w:p>
            <w:pPr>
              <w:jc w:val="center"/>
              <w:ind w:left="221"/>
              <w:spacing w:after="0"/>
              <w:rPr>
                <w:sz w:val="20"/>
                <w:szCs w:val="20"/>
                <w:color w:val="auto"/>
              </w:rPr>
            </w:pPr>
            <w:r>
              <w:rPr>
                <w:rFonts w:ascii="Arial" w:cs="Arial" w:eastAsia="Arial" w:hAnsi="Arial"/>
                <w:sz w:val="16"/>
                <w:szCs w:val="16"/>
                <w:color w:val="auto"/>
                <w:w w:val="99"/>
              </w:rPr>
              <w:t>5-10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580" w:type="dxa"/>
            <w:vAlign w:val="bottom"/>
          </w:tcPr>
          <w:p>
            <w:pPr>
              <w:spacing w:after="0"/>
              <w:rPr>
                <w:sz w:val="3"/>
                <w:szCs w:val="3"/>
                <w:color w:val="auto"/>
              </w:rPr>
            </w:pPr>
          </w:p>
        </w:tc>
        <w:tc>
          <w:tcPr>
            <w:tcW w:w="2880" w:type="dxa"/>
            <w:vAlign w:val="bottom"/>
            <w:vMerge w:val="continue"/>
          </w:tcPr>
          <w:p>
            <w:pPr>
              <w:spacing w:after="0"/>
              <w:rPr>
                <w:sz w:val="3"/>
                <w:szCs w:val="3"/>
                <w:color w:val="auto"/>
              </w:rPr>
            </w:pPr>
          </w:p>
        </w:tc>
        <w:tc>
          <w:tcPr>
            <w:tcW w:w="368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580" w:type="dxa"/>
            <w:vAlign w:val="bottom"/>
          </w:tcPr>
          <w:p>
            <w:pPr>
              <w:spacing w:after="0"/>
              <w:rPr>
                <w:sz w:val="8"/>
                <w:szCs w:val="8"/>
                <w:color w:val="auto"/>
              </w:rPr>
            </w:pPr>
          </w:p>
        </w:tc>
        <w:tc>
          <w:tcPr>
            <w:tcW w:w="2880" w:type="dxa"/>
            <w:vAlign w:val="bottom"/>
            <w:vMerge w:val="continue"/>
          </w:tcPr>
          <w:p>
            <w:pPr>
              <w:spacing w:after="0"/>
              <w:rPr>
                <w:sz w:val="8"/>
                <w:szCs w:val="8"/>
                <w:color w:val="auto"/>
              </w:rPr>
            </w:pPr>
          </w:p>
        </w:tc>
        <w:tc>
          <w:tcPr>
            <w:tcW w:w="3680" w:type="dxa"/>
            <w:vAlign w:val="bottom"/>
          </w:tcPr>
          <w:p>
            <w:pPr>
              <w:spacing w:after="0"/>
              <w:rPr>
                <w:sz w:val="8"/>
                <w:szCs w:val="8"/>
                <w:color w:val="auto"/>
              </w:rPr>
            </w:pPr>
          </w:p>
        </w:tc>
        <w:tc>
          <w:tcPr>
            <w:tcW w:w="1720" w:type="dxa"/>
            <w:vAlign w:val="bottom"/>
            <w:vMerge w:val="restart"/>
          </w:tcPr>
          <w:p>
            <w:pPr>
              <w:jc w:val="center"/>
              <w:ind w:left="103"/>
              <w:spacing w:after="0"/>
              <w:rPr>
                <w:sz w:val="20"/>
                <w:szCs w:val="20"/>
                <w:color w:val="auto"/>
              </w:rPr>
            </w:pPr>
            <w:r>
              <w:rPr>
                <w:rFonts w:ascii="Arial" w:cs="Arial" w:eastAsia="Arial" w:hAnsi="Arial"/>
                <w:sz w:val="16"/>
                <w:szCs w:val="16"/>
                <w:color w:val="auto"/>
              </w:rPr>
              <w:t>nominee</w:t>
            </w:r>
          </w:p>
        </w:tc>
        <w:tc>
          <w:tcPr>
            <w:tcW w:w="7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580" w:type="dxa"/>
            <w:vAlign w:val="bottom"/>
            <w:tcBorders>
              <w:bottom w:val="single" w:sz="8" w:color="003B71"/>
            </w:tcBorders>
          </w:tcPr>
          <w:p>
            <w:pPr>
              <w:spacing w:after="0"/>
              <w:rPr>
                <w:sz w:val="15"/>
                <w:szCs w:val="15"/>
                <w:color w:val="auto"/>
              </w:rPr>
            </w:pPr>
          </w:p>
        </w:tc>
        <w:tc>
          <w:tcPr>
            <w:tcW w:w="2880" w:type="dxa"/>
            <w:vAlign w:val="bottom"/>
            <w:tcBorders>
              <w:bottom w:val="single" w:sz="8" w:color="003B71"/>
            </w:tcBorders>
          </w:tcPr>
          <w:p>
            <w:pPr>
              <w:spacing w:after="0"/>
              <w:rPr>
                <w:sz w:val="15"/>
                <w:szCs w:val="15"/>
                <w:color w:val="auto"/>
              </w:rPr>
            </w:pPr>
          </w:p>
        </w:tc>
        <w:tc>
          <w:tcPr>
            <w:tcW w:w="3680" w:type="dxa"/>
            <w:vAlign w:val="bottom"/>
            <w:tcBorders>
              <w:bottom w:val="single" w:sz="8" w:color="003B71"/>
            </w:tcBorders>
          </w:tcPr>
          <w:p>
            <w:pPr>
              <w:spacing w:after="0"/>
              <w:rPr>
                <w:sz w:val="15"/>
                <w:szCs w:val="15"/>
                <w:color w:val="auto"/>
              </w:rPr>
            </w:pPr>
          </w:p>
        </w:tc>
        <w:tc>
          <w:tcPr>
            <w:tcW w:w="1720" w:type="dxa"/>
            <w:vAlign w:val="bottom"/>
            <w:tcBorders>
              <w:bottom w:val="single" w:sz="8" w:color="003B71"/>
            </w:tcBorders>
          </w:tcPr>
          <w:p>
            <w:pPr>
              <w:spacing w:after="0"/>
              <w:rPr>
                <w:sz w:val="15"/>
                <w:szCs w:val="15"/>
                <w:color w:val="auto"/>
              </w:rPr>
            </w:pPr>
          </w:p>
        </w:tc>
        <w:tc>
          <w:tcPr>
            <w:tcW w:w="780" w:type="dxa"/>
            <w:vAlign w:val="bottom"/>
            <w:tcBorders>
              <w:bottom w:val="single" w:sz="8" w:color="003B71"/>
            </w:tcBorders>
          </w:tcPr>
          <w:p>
            <w:pPr>
              <w:spacing w:after="0"/>
              <w:rPr>
                <w:sz w:val="15"/>
                <w:szCs w:val="15"/>
                <w:color w:val="auto"/>
              </w:rPr>
            </w:pPr>
          </w:p>
        </w:tc>
        <w:tc>
          <w:tcPr>
            <w:tcW w:w="980" w:type="dxa"/>
            <w:vAlign w:val="bottom"/>
            <w:tcBorders>
              <w:bottom w:val="single" w:sz="8" w:color="003B71"/>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580" w:type="dxa"/>
            <w:vAlign w:val="bottom"/>
            <w:vMerge w:val="restart"/>
          </w:tcPr>
          <w:p>
            <w:pPr>
              <w:jc w:val="right"/>
              <w:spacing w:after="0"/>
              <w:rPr>
                <w:sz w:val="20"/>
                <w:szCs w:val="20"/>
                <w:color w:val="auto"/>
              </w:rPr>
            </w:pPr>
            <w:r>
              <w:rPr>
                <w:rFonts w:ascii="Arial" w:cs="Arial" w:eastAsia="Arial" w:hAnsi="Arial"/>
                <w:sz w:val="65"/>
                <w:szCs w:val="65"/>
                <w:color w:val="003B71"/>
              </w:rPr>
              <w:t>2</w:t>
            </w:r>
          </w:p>
        </w:tc>
        <w:tc>
          <w:tcPr>
            <w:tcW w:w="2880" w:type="dxa"/>
            <w:vAlign w:val="bottom"/>
          </w:tcPr>
          <w:p>
            <w:pPr>
              <w:ind w:left="480"/>
              <w:spacing w:after="0"/>
              <w:rPr>
                <w:sz w:val="20"/>
                <w:szCs w:val="20"/>
                <w:color w:val="auto"/>
              </w:rPr>
            </w:pPr>
            <w:r>
              <w:rPr>
                <w:rFonts w:ascii="Arial" w:cs="Arial" w:eastAsia="Arial" w:hAnsi="Arial"/>
                <w:sz w:val="16"/>
                <w:szCs w:val="16"/>
                <w:color w:val="auto"/>
              </w:rPr>
              <w:t>Ratification of Appointment of</w:t>
            </w:r>
          </w:p>
        </w:tc>
        <w:tc>
          <w:tcPr>
            <w:tcW w:w="3680" w:type="dxa"/>
            <w:vAlign w:val="bottom"/>
          </w:tcPr>
          <w:p>
            <w:pPr>
              <w:spacing w:after="0"/>
              <w:rPr>
                <w:sz w:val="24"/>
                <w:szCs w:val="24"/>
                <w:color w:val="auto"/>
              </w:rPr>
            </w:pPr>
          </w:p>
        </w:tc>
        <w:tc>
          <w:tcPr>
            <w:tcW w:w="1720" w:type="dxa"/>
            <w:vAlign w:val="bottom"/>
            <w:vMerge w:val="restart"/>
          </w:tcPr>
          <w:p>
            <w:pPr>
              <w:jc w:val="center"/>
              <w:ind w:left="103"/>
              <w:spacing w:after="0"/>
              <w:rPr>
                <w:sz w:val="20"/>
                <w:szCs w:val="20"/>
                <w:color w:val="auto"/>
              </w:rPr>
            </w:pPr>
            <w:r>
              <w:rPr>
                <w:rFonts w:ascii="Arial" w:cs="Arial" w:eastAsia="Arial" w:hAnsi="Arial"/>
                <w:sz w:val="16"/>
                <w:szCs w:val="16"/>
                <w:b w:val="1"/>
                <w:bCs w:val="1"/>
                <w:color w:val="003B71"/>
              </w:rPr>
              <w:t>FOR</w:t>
            </w:r>
          </w:p>
        </w:tc>
        <w:tc>
          <w:tcPr>
            <w:tcW w:w="780" w:type="dxa"/>
            <w:vAlign w:val="bottom"/>
            <w:vMerge w:val="restart"/>
          </w:tcPr>
          <w:p>
            <w:pPr>
              <w:jc w:val="center"/>
              <w:ind w:left="61"/>
              <w:spacing w:after="0"/>
              <w:rPr>
                <w:sz w:val="20"/>
                <w:szCs w:val="20"/>
                <w:color w:val="auto"/>
              </w:rPr>
            </w:pPr>
            <w:r>
              <w:rPr>
                <w:rFonts w:ascii="Arial" w:cs="Arial" w:eastAsia="Arial" w:hAnsi="Arial"/>
                <w:sz w:val="16"/>
                <w:szCs w:val="16"/>
                <w:color w:val="auto"/>
                <w:w w:val="99"/>
              </w:rPr>
              <w:t>Majority</w:t>
            </w:r>
          </w:p>
        </w:tc>
        <w:tc>
          <w:tcPr>
            <w:tcW w:w="980" w:type="dxa"/>
            <w:vAlign w:val="bottom"/>
            <w:vMerge w:val="restart"/>
          </w:tcPr>
          <w:p>
            <w:pPr>
              <w:jc w:val="center"/>
              <w:ind w:left="241"/>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80" w:type="dxa"/>
            <w:vAlign w:val="bottom"/>
            <w:vMerge w:val="continue"/>
          </w:tcPr>
          <w:p>
            <w:pPr>
              <w:spacing w:after="0"/>
              <w:rPr>
                <w:sz w:val="8"/>
                <w:szCs w:val="8"/>
                <w:color w:val="auto"/>
              </w:rPr>
            </w:pPr>
          </w:p>
        </w:tc>
        <w:tc>
          <w:tcPr>
            <w:tcW w:w="6560" w:type="dxa"/>
            <w:vAlign w:val="bottom"/>
            <w:gridSpan w:val="2"/>
            <w:vMerge w:val="restart"/>
          </w:tcPr>
          <w:p>
            <w:pPr>
              <w:ind w:left="480"/>
              <w:spacing w:after="0"/>
              <w:rPr>
                <w:sz w:val="20"/>
                <w:szCs w:val="20"/>
                <w:color w:val="auto"/>
              </w:rPr>
            </w:pPr>
            <w:r>
              <w:rPr>
                <w:rFonts w:ascii="Arial" w:cs="Arial" w:eastAsia="Arial" w:hAnsi="Arial"/>
                <w:sz w:val="16"/>
                <w:szCs w:val="16"/>
                <w:color w:val="auto"/>
              </w:rPr>
              <w:t>Independent Registered Public Accounting Firm</w:t>
            </w:r>
          </w:p>
        </w:tc>
        <w:tc>
          <w:tcPr>
            <w:tcW w:w="17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580" w:type="dxa"/>
            <w:vAlign w:val="bottom"/>
            <w:tcBorders>
              <w:bottom w:val="single" w:sz="8" w:color="003B71"/>
            </w:tcBorders>
            <w:vMerge w:val="continue"/>
          </w:tcPr>
          <w:p>
            <w:pPr>
              <w:spacing w:after="0"/>
              <w:rPr>
                <w:sz w:val="24"/>
                <w:szCs w:val="24"/>
                <w:color w:val="auto"/>
              </w:rPr>
            </w:pPr>
          </w:p>
        </w:tc>
        <w:tc>
          <w:tcPr>
            <w:tcW w:w="6560" w:type="dxa"/>
            <w:vAlign w:val="bottom"/>
            <w:tcBorders>
              <w:bottom w:val="single" w:sz="8" w:color="003B71"/>
            </w:tcBorders>
            <w:gridSpan w:val="2"/>
            <w:vMerge w:val="continue"/>
          </w:tcPr>
          <w:p>
            <w:pPr>
              <w:spacing w:after="0"/>
              <w:rPr>
                <w:sz w:val="24"/>
                <w:szCs w:val="24"/>
                <w:color w:val="auto"/>
              </w:rPr>
            </w:pPr>
          </w:p>
        </w:tc>
        <w:tc>
          <w:tcPr>
            <w:tcW w:w="1720" w:type="dxa"/>
            <w:vAlign w:val="bottom"/>
            <w:tcBorders>
              <w:bottom w:val="single" w:sz="8" w:color="003B71"/>
            </w:tcBorders>
          </w:tcPr>
          <w:p>
            <w:pPr>
              <w:spacing w:after="0"/>
              <w:rPr>
                <w:sz w:val="24"/>
                <w:szCs w:val="24"/>
                <w:color w:val="auto"/>
              </w:rPr>
            </w:pPr>
          </w:p>
        </w:tc>
        <w:tc>
          <w:tcPr>
            <w:tcW w:w="780" w:type="dxa"/>
            <w:vAlign w:val="bottom"/>
            <w:tcBorders>
              <w:bottom w:val="single" w:sz="8" w:color="003B71"/>
            </w:tcBorders>
          </w:tcPr>
          <w:p>
            <w:pPr>
              <w:spacing w:after="0"/>
              <w:rPr>
                <w:sz w:val="24"/>
                <w:szCs w:val="24"/>
                <w:color w:val="auto"/>
              </w:rPr>
            </w:pPr>
          </w:p>
        </w:tc>
        <w:tc>
          <w:tcPr>
            <w:tcW w:w="980" w:type="dxa"/>
            <w:vAlign w:val="bottom"/>
            <w:tcBorders>
              <w:bottom w:val="single" w:sz="8" w:color="003B71"/>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580" w:type="dxa"/>
            <w:vAlign w:val="bottom"/>
            <w:tcBorders>
              <w:bottom w:val="single" w:sz="8" w:color="003B71"/>
            </w:tcBorders>
          </w:tcPr>
          <w:p>
            <w:pPr>
              <w:jc w:val="right"/>
              <w:spacing w:after="0"/>
              <w:rPr>
                <w:sz w:val="20"/>
                <w:szCs w:val="20"/>
                <w:color w:val="auto"/>
              </w:rPr>
            </w:pPr>
            <w:r>
              <w:rPr>
                <w:rFonts w:ascii="Arial" w:cs="Arial" w:eastAsia="Arial" w:hAnsi="Arial"/>
                <w:sz w:val="65"/>
                <w:szCs w:val="65"/>
                <w:color w:val="003B71"/>
              </w:rPr>
              <w:t>3</w:t>
            </w:r>
          </w:p>
        </w:tc>
        <w:tc>
          <w:tcPr>
            <w:tcW w:w="6560" w:type="dxa"/>
            <w:vAlign w:val="bottom"/>
            <w:tcBorders>
              <w:bottom w:val="single" w:sz="8" w:color="003B71"/>
            </w:tcBorders>
            <w:gridSpan w:val="2"/>
          </w:tcPr>
          <w:p>
            <w:pPr>
              <w:ind w:left="480"/>
              <w:spacing w:after="0"/>
              <w:rPr>
                <w:sz w:val="20"/>
                <w:szCs w:val="20"/>
                <w:color w:val="auto"/>
              </w:rPr>
            </w:pPr>
            <w:r>
              <w:rPr>
                <w:rFonts w:ascii="Arial" w:cs="Arial" w:eastAsia="Arial" w:hAnsi="Arial"/>
                <w:sz w:val="16"/>
                <w:szCs w:val="16"/>
                <w:color w:val="auto"/>
              </w:rPr>
              <w:t>Advisory Vote on Executive Compensation</w:t>
            </w:r>
          </w:p>
        </w:tc>
        <w:tc>
          <w:tcPr>
            <w:tcW w:w="1720" w:type="dxa"/>
            <w:vAlign w:val="bottom"/>
            <w:tcBorders>
              <w:bottom w:val="single" w:sz="8" w:color="003B71"/>
            </w:tcBorders>
          </w:tcPr>
          <w:p>
            <w:pPr>
              <w:jc w:val="center"/>
              <w:ind w:left="103"/>
              <w:spacing w:after="0"/>
              <w:rPr>
                <w:sz w:val="20"/>
                <w:szCs w:val="20"/>
                <w:color w:val="auto"/>
              </w:rPr>
            </w:pPr>
            <w:r>
              <w:rPr>
                <w:rFonts w:ascii="Arial" w:cs="Arial" w:eastAsia="Arial" w:hAnsi="Arial"/>
                <w:sz w:val="16"/>
                <w:szCs w:val="16"/>
                <w:b w:val="1"/>
                <w:bCs w:val="1"/>
                <w:color w:val="003B71"/>
              </w:rPr>
              <w:t>FOR</w:t>
            </w:r>
          </w:p>
        </w:tc>
        <w:tc>
          <w:tcPr>
            <w:tcW w:w="780" w:type="dxa"/>
            <w:vAlign w:val="bottom"/>
            <w:tcBorders>
              <w:bottom w:val="single" w:sz="8" w:color="003B71"/>
            </w:tcBorders>
          </w:tcPr>
          <w:p>
            <w:pPr>
              <w:jc w:val="center"/>
              <w:ind w:left="61"/>
              <w:spacing w:after="0"/>
              <w:rPr>
                <w:sz w:val="20"/>
                <w:szCs w:val="20"/>
                <w:color w:val="auto"/>
              </w:rPr>
            </w:pPr>
            <w:r>
              <w:rPr>
                <w:rFonts w:ascii="Arial" w:cs="Arial" w:eastAsia="Arial" w:hAnsi="Arial"/>
                <w:sz w:val="16"/>
                <w:szCs w:val="16"/>
                <w:color w:val="auto"/>
                <w:w w:val="99"/>
              </w:rPr>
              <w:t>Majority</w:t>
            </w:r>
          </w:p>
        </w:tc>
        <w:tc>
          <w:tcPr>
            <w:tcW w:w="980" w:type="dxa"/>
            <w:vAlign w:val="bottom"/>
            <w:tcBorders>
              <w:bottom w:val="single" w:sz="8" w:color="003B71"/>
            </w:tcBorders>
          </w:tcPr>
          <w:p>
            <w:pPr>
              <w:jc w:val="center"/>
              <w:ind w:left="241"/>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80" w:type="dxa"/>
            <w:vAlign w:val="bottom"/>
            <w:tcBorders>
              <w:bottom w:val="single" w:sz="8" w:color="003B71"/>
            </w:tcBorders>
          </w:tcPr>
          <w:p>
            <w:pPr>
              <w:jc w:val="right"/>
              <w:spacing w:after="0"/>
              <w:rPr>
                <w:sz w:val="20"/>
                <w:szCs w:val="20"/>
                <w:color w:val="auto"/>
              </w:rPr>
            </w:pPr>
            <w:r>
              <w:rPr>
                <w:rFonts w:ascii="Arial" w:cs="Arial" w:eastAsia="Arial" w:hAnsi="Arial"/>
                <w:sz w:val="65"/>
                <w:szCs w:val="65"/>
                <w:color w:val="003B71"/>
              </w:rPr>
              <w:t>4</w:t>
            </w:r>
          </w:p>
        </w:tc>
        <w:tc>
          <w:tcPr>
            <w:tcW w:w="6560" w:type="dxa"/>
            <w:vAlign w:val="bottom"/>
            <w:tcBorders>
              <w:bottom w:val="single" w:sz="8" w:color="003B71"/>
            </w:tcBorders>
            <w:gridSpan w:val="2"/>
          </w:tcPr>
          <w:p>
            <w:pPr>
              <w:ind w:left="480"/>
              <w:spacing w:after="0"/>
              <w:rPr>
                <w:sz w:val="20"/>
                <w:szCs w:val="20"/>
                <w:color w:val="auto"/>
              </w:rPr>
            </w:pPr>
            <w:r>
              <w:rPr>
                <w:rFonts w:ascii="Arial" w:cs="Arial" w:eastAsia="Arial" w:hAnsi="Arial"/>
                <w:sz w:val="16"/>
                <w:szCs w:val="16"/>
                <w:color w:val="auto"/>
              </w:rPr>
              <w:t>Approval of the Company’s Amended and Restated 2014 Omnibus Incentive Plan</w:t>
            </w:r>
          </w:p>
        </w:tc>
        <w:tc>
          <w:tcPr>
            <w:tcW w:w="1720" w:type="dxa"/>
            <w:vAlign w:val="bottom"/>
            <w:tcBorders>
              <w:bottom w:val="single" w:sz="8" w:color="003B71"/>
            </w:tcBorders>
          </w:tcPr>
          <w:p>
            <w:pPr>
              <w:jc w:val="center"/>
              <w:ind w:left="103"/>
              <w:spacing w:after="0"/>
              <w:rPr>
                <w:sz w:val="20"/>
                <w:szCs w:val="20"/>
                <w:color w:val="auto"/>
              </w:rPr>
            </w:pPr>
            <w:r>
              <w:rPr>
                <w:rFonts w:ascii="Arial" w:cs="Arial" w:eastAsia="Arial" w:hAnsi="Arial"/>
                <w:sz w:val="16"/>
                <w:szCs w:val="16"/>
                <w:b w:val="1"/>
                <w:bCs w:val="1"/>
                <w:color w:val="003B71"/>
              </w:rPr>
              <w:t>FOR</w:t>
            </w:r>
          </w:p>
        </w:tc>
        <w:tc>
          <w:tcPr>
            <w:tcW w:w="780" w:type="dxa"/>
            <w:vAlign w:val="bottom"/>
            <w:tcBorders>
              <w:bottom w:val="single" w:sz="8" w:color="003B71"/>
            </w:tcBorders>
          </w:tcPr>
          <w:p>
            <w:pPr>
              <w:jc w:val="center"/>
              <w:ind w:left="61"/>
              <w:spacing w:after="0"/>
              <w:rPr>
                <w:sz w:val="20"/>
                <w:szCs w:val="20"/>
                <w:color w:val="auto"/>
              </w:rPr>
            </w:pPr>
            <w:r>
              <w:rPr>
                <w:rFonts w:ascii="Arial" w:cs="Arial" w:eastAsia="Arial" w:hAnsi="Arial"/>
                <w:sz w:val="16"/>
                <w:szCs w:val="16"/>
                <w:color w:val="auto"/>
                <w:w w:val="99"/>
              </w:rPr>
              <w:t>Majority</w:t>
            </w:r>
          </w:p>
        </w:tc>
        <w:tc>
          <w:tcPr>
            <w:tcW w:w="980" w:type="dxa"/>
            <w:vAlign w:val="bottom"/>
            <w:tcBorders>
              <w:bottom w:val="single" w:sz="8" w:color="003B71"/>
            </w:tcBorders>
          </w:tcPr>
          <w:p>
            <w:pPr>
              <w:jc w:val="center"/>
              <w:ind w:left="241"/>
              <w:spacing w:after="0"/>
              <w:rPr>
                <w:sz w:val="20"/>
                <w:szCs w:val="20"/>
                <w:color w:val="auto"/>
              </w:rPr>
            </w:pPr>
            <w:r>
              <w:rPr>
                <w:rFonts w:ascii="Arial" w:cs="Arial" w:eastAsia="Arial" w:hAnsi="Arial"/>
                <w:sz w:val="16"/>
                <w:szCs w:val="16"/>
                <w:color w:val="auto"/>
              </w:rPr>
              <w:t>13-19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ind w:left="120"/>
        <w:spacing w:after="0"/>
        <w:tabs>
          <w:tab w:leader="none" w:pos="560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1</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207645</wp:posOffset>
            </wp:positionV>
            <wp:extent cx="6990715" cy="75990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0715" cy="75990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4C4C4C"/>
        </w:rPr>
        <w:t>Information about the Board of Directors at 2019 Fiscal Year End:</w:t>
      </w: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Borders>
              <w:bottom w:val="single" w:sz="8" w:color="003B71"/>
            </w:tcBorders>
          </w:tcPr>
          <w:p>
            <w:pPr>
              <w:spacing w:after="0"/>
              <w:rPr>
                <w:sz w:val="15"/>
                <w:szCs w:val="15"/>
                <w:color w:val="auto"/>
              </w:rPr>
            </w:pPr>
          </w:p>
        </w:tc>
        <w:tc>
          <w:tcPr>
            <w:tcW w:w="3660" w:type="dxa"/>
            <w:vAlign w:val="bottom"/>
            <w:tcBorders>
              <w:bottom w:val="single" w:sz="8" w:color="003B71"/>
            </w:tcBorders>
            <w:gridSpan w:val="3"/>
          </w:tcPr>
          <w:p>
            <w:pPr>
              <w:ind w:left="580"/>
              <w:spacing w:after="0"/>
              <w:rPr>
                <w:sz w:val="20"/>
                <w:szCs w:val="20"/>
                <w:color w:val="auto"/>
              </w:rPr>
            </w:pPr>
            <w:r>
              <w:rPr>
                <w:rFonts w:ascii="Arial" w:cs="Arial" w:eastAsia="Arial" w:hAnsi="Arial"/>
                <w:sz w:val="14"/>
                <w:szCs w:val="14"/>
                <w:b w:val="1"/>
                <w:bCs w:val="1"/>
                <w:color w:val="003B71"/>
              </w:rPr>
              <w:t>Independence, Committees and Meetings</w:t>
            </w:r>
          </w:p>
        </w:tc>
        <w:tc>
          <w:tcPr>
            <w:tcW w:w="1040" w:type="dxa"/>
            <w:vAlign w:val="bottom"/>
            <w:tcBorders>
              <w:bottom w:val="single" w:sz="8" w:color="003B71"/>
            </w:tcBorders>
          </w:tcPr>
          <w:p>
            <w:pPr>
              <w:spacing w:after="0"/>
              <w:rPr>
                <w:sz w:val="15"/>
                <w:szCs w:val="15"/>
                <w:color w:val="auto"/>
              </w:rPr>
            </w:pPr>
          </w:p>
        </w:tc>
      </w:tr>
      <w:tr>
        <w:trPr>
          <w:trHeight w:val="142"/>
        </w:trPr>
        <w:tc>
          <w:tcPr>
            <w:tcW w:w="4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00" w:type="dxa"/>
            <w:vAlign w:val="bottom"/>
          </w:tcPr>
          <w:p>
            <w:pPr>
              <w:jc w:val="center"/>
              <w:ind w:left="226"/>
              <w:spacing w:after="0" w:line="143" w:lineRule="exact"/>
              <w:rPr>
                <w:sz w:val="20"/>
                <w:szCs w:val="20"/>
                <w:color w:val="auto"/>
              </w:rPr>
            </w:pPr>
            <w:r>
              <w:rPr>
                <w:rFonts w:ascii="Arial" w:cs="Arial" w:eastAsia="Arial" w:hAnsi="Arial"/>
                <w:sz w:val="14"/>
                <w:szCs w:val="14"/>
                <w:b w:val="1"/>
                <w:bCs w:val="1"/>
                <w:color w:val="003B71"/>
              </w:rPr>
              <w:t>Nominating</w:t>
            </w:r>
          </w:p>
        </w:tc>
        <w:tc>
          <w:tcPr>
            <w:tcW w:w="1040" w:type="dxa"/>
            <w:vAlign w:val="bottom"/>
          </w:tcPr>
          <w:p>
            <w:pPr>
              <w:spacing w:after="0"/>
              <w:rPr>
                <w:sz w:val="12"/>
                <w:szCs w:val="12"/>
                <w:color w:val="auto"/>
              </w:rPr>
            </w:pPr>
          </w:p>
        </w:tc>
      </w:tr>
      <w:tr>
        <w:trPr>
          <w:trHeight w:val="162"/>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jc w:val="center"/>
              <w:ind w:left="206"/>
              <w:spacing w:after="0"/>
              <w:rPr>
                <w:sz w:val="20"/>
                <w:szCs w:val="20"/>
                <w:color w:val="auto"/>
              </w:rPr>
            </w:pPr>
            <w:r>
              <w:rPr>
                <w:rFonts w:ascii="Arial" w:cs="Arial" w:eastAsia="Arial" w:hAnsi="Arial"/>
                <w:sz w:val="14"/>
                <w:szCs w:val="14"/>
                <w:b w:val="1"/>
                <w:bCs w:val="1"/>
                <w:color w:val="003B71"/>
              </w:rPr>
              <w:t>and Corporate</w:t>
            </w:r>
          </w:p>
        </w:tc>
        <w:tc>
          <w:tcPr>
            <w:tcW w:w="1040" w:type="dxa"/>
            <w:vAlign w:val="bottom"/>
          </w:tcPr>
          <w:p>
            <w:pPr>
              <w:spacing w:after="0"/>
              <w:rPr>
                <w:sz w:val="14"/>
                <w:szCs w:val="14"/>
                <w:color w:val="auto"/>
              </w:rPr>
            </w:pPr>
          </w:p>
        </w:tc>
      </w:tr>
      <w:tr>
        <w:trPr>
          <w:trHeight w:val="162"/>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003B71"/>
              </w:rPr>
              <w:t>Board of</w:t>
            </w:r>
          </w:p>
        </w:tc>
        <w:tc>
          <w:tcPr>
            <w:tcW w:w="1040" w:type="dxa"/>
            <w:vAlign w:val="bottom"/>
          </w:tcPr>
          <w:p>
            <w:pPr>
              <w:jc w:val="center"/>
              <w:ind w:left="186"/>
              <w:spacing w:after="0"/>
              <w:rPr>
                <w:sz w:val="20"/>
                <w:szCs w:val="20"/>
                <w:color w:val="auto"/>
              </w:rPr>
            </w:pPr>
            <w:r>
              <w:rPr>
                <w:rFonts w:ascii="Arial" w:cs="Arial" w:eastAsia="Arial" w:hAnsi="Arial"/>
                <w:sz w:val="14"/>
                <w:szCs w:val="14"/>
                <w:b w:val="1"/>
                <w:bCs w:val="1"/>
                <w:color w:val="003B71"/>
              </w:rPr>
              <w:t>Audit</w:t>
            </w:r>
          </w:p>
        </w:tc>
        <w:tc>
          <w:tcPr>
            <w:tcW w:w="1320" w:type="dxa"/>
            <w:vAlign w:val="bottom"/>
          </w:tcPr>
          <w:p>
            <w:pPr>
              <w:jc w:val="center"/>
              <w:ind w:left="205"/>
              <w:spacing w:after="0"/>
              <w:rPr>
                <w:sz w:val="20"/>
                <w:szCs w:val="20"/>
                <w:color w:val="auto"/>
              </w:rPr>
            </w:pPr>
            <w:r>
              <w:rPr>
                <w:rFonts w:ascii="Arial" w:cs="Arial" w:eastAsia="Arial" w:hAnsi="Arial"/>
                <w:sz w:val="14"/>
                <w:szCs w:val="14"/>
                <w:b w:val="1"/>
                <w:bCs w:val="1"/>
                <w:color w:val="003B71"/>
              </w:rPr>
              <w:t>Compensation</w:t>
            </w:r>
          </w:p>
        </w:tc>
        <w:tc>
          <w:tcPr>
            <w:tcW w:w="1300" w:type="dxa"/>
            <w:vAlign w:val="bottom"/>
          </w:tcPr>
          <w:p>
            <w:pPr>
              <w:jc w:val="center"/>
              <w:ind w:left="226"/>
              <w:spacing w:after="0"/>
              <w:rPr>
                <w:sz w:val="20"/>
                <w:szCs w:val="20"/>
                <w:color w:val="auto"/>
              </w:rPr>
            </w:pPr>
            <w:r>
              <w:rPr>
                <w:rFonts w:ascii="Arial" w:cs="Arial" w:eastAsia="Arial" w:hAnsi="Arial"/>
                <w:sz w:val="14"/>
                <w:szCs w:val="14"/>
                <w:b w:val="1"/>
                <w:bCs w:val="1"/>
                <w:color w:val="003B71"/>
              </w:rPr>
              <w:t>Governance</w:t>
            </w:r>
          </w:p>
        </w:tc>
        <w:tc>
          <w:tcPr>
            <w:tcW w:w="1040" w:type="dxa"/>
            <w:vAlign w:val="bottom"/>
          </w:tcPr>
          <w:p>
            <w:pPr>
              <w:jc w:val="center"/>
              <w:ind w:left="225"/>
              <w:spacing w:after="0"/>
              <w:rPr>
                <w:sz w:val="20"/>
                <w:szCs w:val="20"/>
                <w:color w:val="auto"/>
              </w:rPr>
            </w:pPr>
            <w:r>
              <w:rPr>
                <w:rFonts w:ascii="Arial" w:cs="Arial" w:eastAsia="Arial" w:hAnsi="Arial"/>
                <w:sz w:val="14"/>
                <w:szCs w:val="14"/>
                <w:b w:val="1"/>
                <w:bCs w:val="1"/>
                <w:color w:val="003B71"/>
              </w:rPr>
              <w:t>Finance</w:t>
            </w:r>
          </w:p>
        </w:tc>
      </w:tr>
      <w:tr>
        <w:trPr>
          <w:trHeight w:val="175"/>
        </w:trPr>
        <w:tc>
          <w:tcPr>
            <w:tcW w:w="4920" w:type="dxa"/>
            <w:vAlign w:val="bottom"/>
            <w:tcBorders>
              <w:bottom w:val="single" w:sz="8" w:color="003B71"/>
            </w:tcBorders>
          </w:tcPr>
          <w:p>
            <w:pPr>
              <w:ind w:left="80"/>
              <w:spacing w:after="0"/>
              <w:rPr>
                <w:sz w:val="20"/>
                <w:szCs w:val="20"/>
                <w:color w:val="auto"/>
              </w:rPr>
            </w:pPr>
            <w:r>
              <w:rPr>
                <w:rFonts w:ascii="Arial" w:cs="Arial" w:eastAsia="Arial" w:hAnsi="Arial"/>
                <w:sz w:val="14"/>
                <w:szCs w:val="14"/>
                <w:b w:val="1"/>
                <w:bCs w:val="1"/>
                <w:color w:val="003B71"/>
              </w:rPr>
              <w:t>Director*</w:t>
            </w:r>
          </w:p>
        </w:tc>
        <w:tc>
          <w:tcPr>
            <w:tcW w:w="260" w:type="dxa"/>
            <w:vAlign w:val="bottom"/>
            <w:tcBorders>
              <w:bottom w:val="single" w:sz="8" w:color="003B71"/>
            </w:tcBorders>
          </w:tcPr>
          <w:p>
            <w:pPr>
              <w:spacing w:after="0"/>
              <w:rPr>
                <w:sz w:val="15"/>
                <w:szCs w:val="15"/>
                <w:color w:val="auto"/>
              </w:rPr>
            </w:pPr>
          </w:p>
        </w:tc>
        <w:tc>
          <w:tcPr>
            <w:tcW w:w="74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Directors</w:t>
            </w:r>
          </w:p>
        </w:tc>
        <w:tc>
          <w:tcPr>
            <w:tcW w:w="1040" w:type="dxa"/>
            <w:vAlign w:val="bottom"/>
            <w:tcBorders>
              <w:bottom w:val="single" w:sz="8" w:color="003B71"/>
            </w:tcBorders>
          </w:tcPr>
          <w:p>
            <w:pPr>
              <w:jc w:val="center"/>
              <w:ind w:left="186"/>
              <w:spacing w:after="0"/>
              <w:rPr>
                <w:sz w:val="20"/>
                <w:szCs w:val="20"/>
                <w:color w:val="auto"/>
              </w:rPr>
            </w:pPr>
            <w:r>
              <w:rPr>
                <w:rFonts w:ascii="Arial" w:cs="Arial" w:eastAsia="Arial" w:hAnsi="Arial"/>
                <w:sz w:val="14"/>
                <w:szCs w:val="14"/>
                <w:b w:val="1"/>
                <w:bCs w:val="1"/>
                <w:color w:val="003B71"/>
              </w:rPr>
              <w:t>Committee</w:t>
            </w:r>
          </w:p>
        </w:tc>
        <w:tc>
          <w:tcPr>
            <w:tcW w:w="1320" w:type="dxa"/>
            <w:vAlign w:val="bottom"/>
            <w:tcBorders>
              <w:bottom w:val="single" w:sz="8" w:color="003B71"/>
            </w:tcBorders>
          </w:tcPr>
          <w:p>
            <w:pPr>
              <w:jc w:val="center"/>
              <w:ind w:left="225"/>
              <w:spacing w:after="0"/>
              <w:rPr>
                <w:sz w:val="20"/>
                <w:szCs w:val="20"/>
                <w:color w:val="auto"/>
              </w:rPr>
            </w:pPr>
            <w:r>
              <w:rPr>
                <w:rFonts w:ascii="Arial" w:cs="Arial" w:eastAsia="Arial" w:hAnsi="Arial"/>
                <w:sz w:val="14"/>
                <w:szCs w:val="14"/>
                <w:b w:val="1"/>
                <w:bCs w:val="1"/>
                <w:color w:val="003B71"/>
              </w:rPr>
              <w:t>Committee</w:t>
            </w:r>
          </w:p>
        </w:tc>
        <w:tc>
          <w:tcPr>
            <w:tcW w:w="1300" w:type="dxa"/>
            <w:vAlign w:val="bottom"/>
            <w:tcBorders>
              <w:bottom w:val="single" w:sz="8" w:color="003B71"/>
            </w:tcBorders>
          </w:tcPr>
          <w:p>
            <w:pPr>
              <w:jc w:val="center"/>
              <w:ind w:left="206"/>
              <w:spacing w:after="0"/>
              <w:rPr>
                <w:sz w:val="20"/>
                <w:szCs w:val="20"/>
                <w:color w:val="auto"/>
              </w:rPr>
            </w:pPr>
            <w:r>
              <w:rPr>
                <w:rFonts w:ascii="Arial" w:cs="Arial" w:eastAsia="Arial" w:hAnsi="Arial"/>
                <w:sz w:val="14"/>
                <w:szCs w:val="14"/>
                <w:b w:val="1"/>
                <w:bCs w:val="1"/>
                <w:color w:val="003B71"/>
              </w:rPr>
              <w:t>Committee</w:t>
            </w:r>
          </w:p>
        </w:tc>
        <w:tc>
          <w:tcPr>
            <w:tcW w:w="1040" w:type="dxa"/>
            <w:vAlign w:val="bottom"/>
            <w:tcBorders>
              <w:bottom w:val="single" w:sz="8" w:color="003B71"/>
            </w:tcBorders>
          </w:tcPr>
          <w:p>
            <w:pPr>
              <w:jc w:val="center"/>
              <w:ind w:left="225"/>
              <w:spacing w:after="0"/>
              <w:rPr>
                <w:sz w:val="20"/>
                <w:szCs w:val="20"/>
                <w:color w:val="auto"/>
              </w:rPr>
            </w:pPr>
            <w:r>
              <w:rPr>
                <w:rFonts w:ascii="Arial" w:cs="Arial" w:eastAsia="Arial" w:hAnsi="Arial"/>
                <w:sz w:val="14"/>
                <w:szCs w:val="14"/>
                <w:b w:val="1"/>
                <w:bCs w:val="1"/>
                <w:color w:val="003B71"/>
              </w:rPr>
              <w:t>Committee</w:t>
            </w:r>
          </w:p>
        </w:tc>
      </w:tr>
      <w:tr>
        <w:trPr>
          <w:trHeight w:val="298"/>
        </w:trPr>
        <w:tc>
          <w:tcPr>
            <w:tcW w:w="4920" w:type="dxa"/>
            <w:vAlign w:val="bottom"/>
            <w:tcBorders>
              <w:bottom w:val="single" w:sz="8" w:color="E5E5E5"/>
              <w:right w:val="single" w:sz="8" w:color="E5E5E5"/>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Victor L. Crawford**</w:t>
            </w:r>
          </w:p>
        </w:tc>
        <w:tc>
          <w:tcPr>
            <w:tcW w:w="260" w:type="dxa"/>
            <w:vAlign w:val="bottom"/>
            <w:tcBorders>
              <w:bottom w:val="single" w:sz="8" w:color="E5E5E5"/>
            </w:tcBorders>
            <w:shd w:val="clear" w:color="auto" w:fill="E5E5E5"/>
          </w:tcPr>
          <w:p>
            <w:pPr>
              <w:spacing w:after="0"/>
              <w:rPr>
                <w:sz w:val="24"/>
                <w:szCs w:val="24"/>
                <w:color w:val="auto"/>
              </w:rPr>
            </w:pPr>
          </w:p>
        </w:tc>
        <w:tc>
          <w:tcPr>
            <w:tcW w:w="740" w:type="dxa"/>
            <w:vAlign w:val="bottom"/>
            <w:tcBorders>
              <w:bottom w:val="single" w:sz="8" w:color="E5E5E5"/>
              <w:right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I</w:t>
            </w:r>
          </w:p>
        </w:tc>
        <w:tc>
          <w:tcPr>
            <w:tcW w:w="1040" w:type="dxa"/>
            <w:vAlign w:val="bottom"/>
            <w:tcBorders>
              <w:bottom w:val="single" w:sz="8" w:color="E5E5E5"/>
              <w:right w:val="single" w:sz="8" w:color="E5E5E5"/>
            </w:tcBorders>
            <w:shd w:val="clear" w:color="auto" w:fill="E5E5E5"/>
          </w:tcPr>
          <w:p>
            <w:pPr>
              <w:jc w:val="center"/>
              <w:ind w:left="206"/>
              <w:spacing w:after="0"/>
              <w:rPr>
                <w:sz w:val="20"/>
                <w:szCs w:val="20"/>
                <w:color w:val="auto"/>
              </w:rPr>
            </w:pPr>
            <w:r>
              <w:rPr>
                <w:rFonts w:ascii="Arial" w:cs="Arial" w:eastAsia="Arial" w:hAnsi="Arial"/>
                <w:sz w:val="14"/>
                <w:szCs w:val="14"/>
                <w:b w:val="1"/>
                <w:bCs w:val="1"/>
                <w:color w:val="auto"/>
              </w:rPr>
              <w:t>M</w:t>
            </w:r>
          </w:p>
        </w:tc>
        <w:tc>
          <w:tcPr>
            <w:tcW w:w="1320" w:type="dxa"/>
            <w:vAlign w:val="bottom"/>
            <w:tcBorders>
              <w:bottom w:val="single" w:sz="8" w:color="E5E5E5"/>
              <w:right w:val="single" w:sz="8" w:color="E5E5E5"/>
            </w:tcBorders>
            <w:shd w:val="clear" w:color="auto" w:fill="E5E5E5"/>
          </w:tcPr>
          <w:p>
            <w:pPr>
              <w:jc w:val="center"/>
              <w:ind w:left="205"/>
              <w:spacing w:after="0"/>
              <w:rPr>
                <w:sz w:val="20"/>
                <w:szCs w:val="20"/>
                <w:color w:val="auto"/>
              </w:rPr>
            </w:pPr>
            <w:r>
              <w:rPr>
                <w:rFonts w:ascii="Arial" w:cs="Arial" w:eastAsia="Arial" w:hAnsi="Arial"/>
                <w:sz w:val="14"/>
                <w:szCs w:val="14"/>
                <w:b w:val="1"/>
                <w:bCs w:val="1"/>
                <w:color w:val="auto"/>
              </w:rPr>
              <w:t>M</w:t>
            </w:r>
          </w:p>
        </w:tc>
        <w:tc>
          <w:tcPr>
            <w:tcW w:w="1300" w:type="dxa"/>
            <w:vAlign w:val="bottom"/>
            <w:tcBorders>
              <w:bottom w:val="single" w:sz="8" w:color="E5E5E5"/>
              <w:right w:val="single" w:sz="8" w:color="E5E5E5"/>
            </w:tcBorders>
            <w:shd w:val="clear" w:color="auto" w:fill="E5E5E5"/>
          </w:tcPr>
          <w:p>
            <w:pPr>
              <w:spacing w:after="0"/>
              <w:rPr>
                <w:sz w:val="24"/>
                <w:szCs w:val="24"/>
                <w:color w:val="auto"/>
              </w:rPr>
            </w:pPr>
          </w:p>
        </w:tc>
        <w:tc>
          <w:tcPr>
            <w:tcW w:w="1040" w:type="dxa"/>
            <w:vAlign w:val="bottom"/>
            <w:tcBorders>
              <w:bottom w:val="single" w:sz="8" w:color="E5E5E5"/>
            </w:tcBorders>
            <w:shd w:val="clear" w:color="auto" w:fill="E5E5E5"/>
          </w:tcPr>
          <w:p>
            <w:pPr>
              <w:spacing w:after="0"/>
              <w:rPr>
                <w:sz w:val="24"/>
                <w:szCs w:val="24"/>
                <w:color w:val="auto"/>
              </w:rPr>
            </w:pPr>
          </w:p>
        </w:tc>
      </w:tr>
      <w:tr>
        <w:trPr>
          <w:trHeight w:val="285"/>
        </w:trPr>
        <w:tc>
          <w:tcPr>
            <w:tcW w:w="4920" w:type="dxa"/>
            <w:vAlign w:val="bottom"/>
            <w:tcBorders>
              <w:right w:val="single" w:sz="8" w:color="E5E5E5"/>
            </w:tcBorders>
          </w:tcPr>
          <w:p>
            <w:pPr>
              <w:ind w:left="80"/>
              <w:spacing w:after="0"/>
              <w:rPr>
                <w:sz w:val="20"/>
                <w:szCs w:val="20"/>
                <w:color w:val="auto"/>
              </w:rPr>
            </w:pPr>
            <w:r>
              <w:rPr>
                <w:rFonts w:ascii="Arial" w:cs="Arial" w:eastAsia="Arial" w:hAnsi="Arial"/>
                <w:sz w:val="18"/>
                <w:szCs w:val="18"/>
                <w:b w:val="1"/>
                <w:bCs w:val="1"/>
                <w:color w:val="auto"/>
              </w:rPr>
              <w:t>Hamish A. Dodds</w:t>
            </w:r>
          </w:p>
        </w:tc>
        <w:tc>
          <w:tcPr>
            <w:tcW w:w="260" w:type="dxa"/>
            <w:vAlign w:val="bottom"/>
          </w:tcPr>
          <w:p>
            <w:pPr>
              <w:spacing w:after="0"/>
              <w:rPr>
                <w:sz w:val="24"/>
                <w:szCs w:val="24"/>
                <w:color w:val="auto"/>
              </w:rPr>
            </w:pPr>
          </w:p>
        </w:tc>
        <w:tc>
          <w:tcPr>
            <w:tcW w:w="740" w:type="dxa"/>
            <w:vAlign w:val="bottom"/>
            <w:tcBorders>
              <w:right w:val="single" w:sz="8" w:color="E5E5E5"/>
            </w:tcBorders>
          </w:tcPr>
          <w:p>
            <w:pPr>
              <w:jc w:val="center"/>
              <w:spacing w:after="0"/>
              <w:rPr>
                <w:sz w:val="20"/>
                <w:szCs w:val="20"/>
                <w:color w:val="auto"/>
              </w:rPr>
            </w:pPr>
            <w:r>
              <w:rPr>
                <w:rFonts w:ascii="Arial" w:cs="Arial" w:eastAsia="Arial" w:hAnsi="Arial"/>
                <w:sz w:val="14"/>
                <w:szCs w:val="14"/>
                <w:color w:val="auto"/>
              </w:rPr>
              <w:t>I</w:t>
            </w:r>
          </w:p>
        </w:tc>
        <w:tc>
          <w:tcPr>
            <w:tcW w:w="1040" w:type="dxa"/>
            <w:vAlign w:val="bottom"/>
            <w:tcBorders>
              <w:right w:val="single" w:sz="8" w:color="E5E5E5"/>
            </w:tcBorders>
          </w:tcPr>
          <w:p>
            <w:pPr>
              <w:jc w:val="center"/>
              <w:ind w:left="206"/>
              <w:spacing w:after="0"/>
              <w:rPr>
                <w:sz w:val="20"/>
                <w:szCs w:val="20"/>
                <w:color w:val="auto"/>
              </w:rPr>
            </w:pPr>
            <w:r>
              <w:rPr>
                <w:rFonts w:ascii="Arial" w:cs="Arial" w:eastAsia="Arial" w:hAnsi="Arial"/>
                <w:sz w:val="14"/>
                <w:szCs w:val="14"/>
                <w:b w:val="1"/>
                <w:bCs w:val="1"/>
                <w:color w:val="auto"/>
              </w:rPr>
              <w:t>M</w:t>
            </w:r>
          </w:p>
        </w:tc>
        <w:tc>
          <w:tcPr>
            <w:tcW w:w="1320" w:type="dxa"/>
            <w:vAlign w:val="bottom"/>
            <w:tcBorders>
              <w:right w:val="single" w:sz="8" w:color="E5E5E5"/>
            </w:tcBorders>
          </w:tcPr>
          <w:p>
            <w:pPr>
              <w:spacing w:after="0"/>
              <w:rPr>
                <w:sz w:val="24"/>
                <w:szCs w:val="24"/>
                <w:color w:val="auto"/>
              </w:rPr>
            </w:pPr>
          </w:p>
        </w:tc>
        <w:tc>
          <w:tcPr>
            <w:tcW w:w="1300" w:type="dxa"/>
            <w:vAlign w:val="bottom"/>
            <w:tcBorders>
              <w:right w:val="single" w:sz="8" w:color="E5E5E5"/>
            </w:tcBorders>
          </w:tcPr>
          <w:p>
            <w:pPr>
              <w:spacing w:after="0"/>
              <w:rPr>
                <w:sz w:val="24"/>
                <w:szCs w:val="24"/>
                <w:color w:val="auto"/>
              </w:rPr>
            </w:pPr>
          </w:p>
        </w:tc>
        <w:tc>
          <w:tcPr>
            <w:tcW w:w="1040" w:type="dxa"/>
            <w:vAlign w:val="bottom"/>
          </w:tcPr>
          <w:p>
            <w:pPr>
              <w:jc w:val="center"/>
              <w:ind w:left="245"/>
              <w:spacing w:after="0"/>
              <w:rPr>
                <w:sz w:val="20"/>
                <w:szCs w:val="20"/>
                <w:color w:val="auto"/>
              </w:rPr>
            </w:pPr>
            <w:r>
              <w:rPr>
                <w:rFonts w:ascii="Arial" w:cs="Arial" w:eastAsia="Arial" w:hAnsi="Arial"/>
                <w:sz w:val="14"/>
                <w:szCs w:val="14"/>
                <w:b w:val="1"/>
                <w:bCs w:val="1"/>
                <w:color w:val="auto"/>
              </w:rPr>
              <w:t>M</w:t>
            </w:r>
          </w:p>
        </w:tc>
      </w:tr>
      <w:tr>
        <w:trPr>
          <w:trHeight w:val="53"/>
        </w:trPr>
        <w:tc>
          <w:tcPr>
            <w:tcW w:w="4920" w:type="dxa"/>
            <w:vAlign w:val="bottom"/>
            <w:tcBorders>
              <w:right w:val="single" w:sz="8" w:color="E5E5E5"/>
            </w:tcBorders>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Borders>
              <w:right w:val="single" w:sz="8" w:color="E5E5E5"/>
            </w:tcBorders>
          </w:tcPr>
          <w:p>
            <w:pPr>
              <w:spacing w:after="0"/>
              <w:rPr>
                <w:sz w:val="4"/>
                <w:szCs w:val="4"/>
                <w:color w:val="auto"/>
              </w:rPr>
            </w:pPr>
          </w:p>
        </w:tc>
        <w:tc>
          <w:tcPr>
            <w:tcW w:w="1040" w:type="dxa"/>
            <w:vAlign w:val="bottom"/>
            <w:tcBorders>
              <w:right w:val="single" w:sz="8" w:color="E5E5E5"/>
            </w:tcBorders>
          </w:tcPr>
          <w:p>
            <w:pPr>
              <w:spacing w:after="0"/>
              <w:rPr>
                <w:sz w:val="4"/>
                <w:szCs w:val="4"/>
                <w:color w:val="auto"/>
              </w:rPr>
            </w:pPr>
          </w:p>
        </w:tc>
        <w:tc>
          <w:tcPr>
            <w:tcW w:w="1320" w:type="dxa"/>
            <w:vAlign w:val="bottom"/>
            <w:tcBorders>
              <w:right w:val="single" w:sz="8" w:color="E5E5E5"/>
            </w:tcBorders>
          </w:tcPr>
          <w:p>
            <w:pPr>
              <w:spacing w:after="0"/>
              <w:rPr>
                <w:sz w:val="4"/>
                <w:szCs w:val="4"/>
                <w:color w:val="auto"/>
              </w:rPr>
            </w:pPr>
          </w:p>
        </w:tc>
        <w:tc>
          <w:tcPr>
            <w:tcW w:w="1300" w:type="dxa"/>
            <w:vAlign w:val="bottom"/>
            <w:tcBorders>
              <w:right w:val="single" w:sz="8" w:color="E5E5E5"/>
            </w:tcBorders>
          </w:tcPr>
          <w:p>
            <w:pPr>
              <w:spacing w:after="0"/>
              <w:rPr>
                <w:sz w:val="4"/>
                <w:szCs w:val="4"/>
                <w:color w:val="auto"/>
              </w:rPr>
            </w:pPr>
          </w:p>
        </w:tc>
        <w:tc>
          <w:tcPr>
            <w:tcW w:w="1040" w:type="dxa"/>
            <w:vAlign w:val="bottom"/>
          </w:tcPr>
          <w:p>
            <w:pPr>
              <w:spacing w:after="0"/>
              <w:rPr>
                <w:sz w:val="4"/>
                <w:szCs w:val="4"/>
                <w:color w:val="auto"/>
              </w:rPr>
            </w:pPr>
          </w:p>
        </w:tc>
      </w:tr>
      <w:tr>
        <w:trPr>
          <w:trHeight w:val="318"/>
        </w:trPr>
        <w:tc>
          <w:tcPr>
            <w:tcW w:w="4920" w:type="dxa"/>
            <w:vAlign w:val="bottom"/>
            <w:tcBorders>
              <w:bottom w:val="single" w:sz="8" w:color="E5E5E5"/>
              <w:right w:val="single" w:sz="8" w:color="E5E5E5"/>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Michael J. Griffith</w:t>
            </w:r>
          </w:p>
        </w:tc>
        <w:tc>
          <w:tcPr>
            <w:tcW w:w="260" w:type="dxa"/>
            <w:vAlign w:val="bottom"/>
            <w:tcBorders>
              <w:bottom w:val="single" w:sz="8" w:color="E5E5E5"/>
            </w:tcBorders>
            <w:shd w:val="clear" w:color="auto" w:fill="E5E5E5"/>
          </w:tcPr>
          <w:p>
            <w:pPr>
              <w:spacing w:after="0"/>
              <w:rPr>
                <w:sz w:val="24"/>
                <w:szCs w:val="24"/>
                <w:color w:val="auto"/>
              </w:rPr>
            </w:pPr>
          </w:p>
        </w:tc>
        <w:tc>
          <w:tcPr>
            <w:tcW w:w="740" w:type="dxa"/>
            <w:vAlign w:val="bottom"/>
            <w:tcBorders>
              <w:bottom w:val="single" w:sz="8" w:color="E5E5E5"/>
              <w:right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LID</w:t>
            </w:r>
          </w:p>
        </w:tc>
        <w:tc>
          <w:tcPr>
            <w:tcW w:w="1040" w:type="dxa"/>
            <w:vAlign w:val="bottom"/>
            <w:tcBorders>
              <w:bottom w:val="single" w:sz="8" w:color="E5E5E5"/>
              <w:right w:val="single" w:sz="8" w:color="E5E5E5"/>
            </w:tcBorders>
            <w:shd w:val="clear" w:color="auto" w:fill="E5E5E5"/>
          </w:tcPr>
          <w:p>
            <w:pPr>
              <w:spacing w:after="0"/>
              <w:rPr>
                <w:sz w:val="24"/>
                <w:szCs w:val="24"/>
                <w:color w:val="auto"/>
              </w:rPr>
            </w:pPr>
          </w:p>
        </w:tc>
        <w:tc>
          <w:tcPr>
            <w:tcW w:w="1320" w:type="dxa"/>
            <w:vAlign w:val="bottom"/>
            <w:tcBorders>
              <w:bottom w:val="single" w:sz="8" w:color="E5E5E5"/>
              <w:right w:val="single" w:sz="8" w:color="E5E5E5"/>
            </w:tcBorders>
            <w:shd w:val="clear" w:color="auto" w:fill="E5E5E5"/>
          </w:tcPr>
          <w:p>
            <w:pPr>
              <w:jc w:val="center"/>
              <w:ind w:left="225"/>
              <w:spacing w:after="0"/>
              <w:rPr>
                <w:sz w:val="20"/>
                <w:szCs w:val="20"/>
                <w:color w:val="auto"/>
              </w:rPr>
            </w:pPr>
            <w:r>
              <w:rPr>
                <w:rFonts w:ascii="Arial" w:cs="Arial" w:eastAsia="Arial" w:hAnsi="Arial"/>
                <w:sz w:val="14"/>
                <w:szCs w:val="14"/>
                <w:b w:val="1"/>
                <w:bCs w:val="1"/>
                <w:color w:val="auto"/>
                <w:w w:val="98"/>
              </w:rPr>
              <w:t>C</w:t>
            </w:r>
          </w:p>
        </w:tc>
        <w:tc>
          <w:tcPr>
            <w:tcW w:w="1300" w:type="dxa"/>
            <w:vAlign w:val="bottom"/>
            <w:tcBorders>
              <w:bottom w:val="single" w:sz="8" w:color="E5E5E5"/>
              <w:right w:val="single" w:sz="8" w:color="E5E5E5"/>
            </w:tcBorders>
            <w:shd w:val="clear" w:color="auto" w:fill="E5E5E5"/>
          </w:tcPr>
          <w:p>
            <w:pPr>
              <w:spacing w:after="0"/>
              <w:rPr>
                <w:sz w:val="24"/>
                <w:szCs w:val="24"/>
                <w:color w:val="auto"/>
              </w:rPr>
            </w:pPr>
          </w:p>
        </w:tc>
        <w:tc>
          <w:tcPr>
            <w:tcW w:w="1040" w:type="dxa"/>
            <w:vAlign w:val="bottom"/>
            <w:tcBorders>
              <w:bottom w:val="single" w:sz="8" w:color="E5E5E5"/>
            </w:tcBorders>
            <w:shd w:val="clear" w:color="auto" w:fill="E5E5E5"/>
          </w:tcPr>
          <w:p>
            <w:pPr>
              <w:spacing w:after="0"/>
              <w:rPr>
                <w:sz w:val="24"/>
                <w:szCs w:val="24"/>
                <w:color w:val="auto"/>
              </w:rPr>
            </w:pPr>
          </w:p>
        </w:tc>
      </w:tr>
      <w:tr>
        <w:trPr>
          <w:trHeight w:val="285"/>
        </w:trPr>
        <w:tc>
          <w:tcPr>
            <w:tcW w:w="4920" w:type="dxa"/>
            <w:vAlign w:val="bottom"/>
            <w:tcBorders>
              <w:right w:val="single" w:sz="8" w:color="E5E5E5"/>
            </w:tcBorders>
          </w:tcPr>
          <w:p>
            <w:pPr>
              <w:ind w:left="80"/>
              <w:spacing w:after="0"/>
              <w:rPr>
                <w:sz w:val="20"/>
                <w:szCs w:val="20"/>
                <w:color w:val="auto"/>
              </w:rPr>
            </w:pPr>
            <w:r>
              <w:rPr>
                <w:rFonts w:ascii="Arial" w:cs="Arial" w:eastAsia="Arial" w:hAnsi="Arial"/>
                <w:sz w:val="18"/>
                <w:szCs w:val="18"/>
                <w:b w:val="1"/>
                <w:bCs w:val="1"/>
                <w:color w:val="auto"/>
              </w:rPr>
              <w:t>Jonathan S. Halkyard</w:t>
            </w:r>
          </w:p>
        </w:tc>
        <w:tc>
          <w:tcPr>
            <w:tcW w:w="260" w:type="dxa"/>
            <w:vAlign w:val="bottom"/>
          </w:tcPr>
          <w:p>
            <w:pPr>
              <w:spacing w:after="0"/>
              <w:rPr>
                <w:sz w:val="24"/>
                <w:szCs w:val="24"/>
                <w:color w:val="auto"/>
              </w:rPr>
            </w:pPr>
          </w:p>
        </w:tc>
        <w:tc>
          <w:tcPr>
            <w:tcW w:w="740" w:type="dxa"/>
            <w:vAlign w:val="bottom"/>
            <w:tcBorders>
              <w:right w:val="single" w:sz="8" w:color="E5E5E5"/>
            </w:tcBorders>
          </w:tcPr>
          <w:p>
            <w:pPr>
              <w:jc w:val="center"/>
              <w:spacing w:after="0"/>
              <w:rPr>
                <w:sz w:val="20"/>
                <w:szCs w:val="20"/>
                <w:color w:val="auto"/>
              </w:rPr>
            </w:pPr>
            <w:r>
              <w:rPr>
                <w:rFonts w:ascii="Arial" w:cs="Arial" w:eastAsia="Arial" w:hAnsi="Arial"/>
                <w:sz w:val="14"/>
                <w:szCs w:val="14"/>
                <w:color w:val="auto"/>
              </w:rPr>
              <w:t>I</w:t>
            </w:r>
          </w:p>
        </w:tc>
        <w:tc>
          <w:tcPr>
            <w:tcW w:w="1040" w:type="dxa"/>
            <w:vAlign w:val="bottom"/>
            <w:tcBorders>
              <w:right w:val="single" w:sz="8" w:color="E5E5E5"/>
            </w:tcBorders>
          </w:tcPr>
          <w:p>
            <w:pPr>
              <w:jc w:val="center"/>
              <w:ind w:left="206"/>
              <w:spacing w:after="0"/>
              <w:rPr>
                <w:sz w:val="20"/>
                <w:szCs w:val="20"/>
                <w:color w:val="auto"/>
              </w:rPr>
            </w:pPr>
            <w:r>
              <w:rPr>
                <w:rFonts w:ascii="Arial" w:cs="Arial" w:eastAsia="Arial" w:hAnsi="Arial"/>
                <w:sz w:val="14"/>
                <w:szCs w:val="14"/>
                <w:b w:val="1"/>
                <w:bCs w:val="1"/>
                <w:color w:val="auto"/>
              </w:rPr>
              <w:t>M</w:t>
            </w:r>
          </w:p>
        </w:tc>
        <w:tc>
          <w:tcPr>
            <w:tcW w:w="1320" w:type="dxa"/>
            <w:vAlign w:val="bottom"/>
            <w:tcBorders>
              <w:right w:val="single" w:sz="8" w:color="E5E5E5"/>
            </w:tcBorders>
          </w:tcPr>
          <w:p>
            <w:pPr>
              <w:spacing w:after="0"/>
              <w:rPr>
                <w:sz w:val="24"/>
                <w:szCs w:val="24"/>
                <w:color w:val="auto"/>
              </w:rPr>
            </w:pPr>
          </w:p>
        </w:tc>
        <w:tc>
          <w:tcPr>
            <w:tcW w:w="1300" w:type="dxa"/>
            <w:vAlign w:val="bottom"/>
            <w:tcBorders>
              <w:right w:val="single" w:sz="8" w:color="E5E5E5"/>
            </w:tcBorders>
          </w:tcPr>
          <w:p>
            <w:pPr>
              <w:jc w:val="center"/>
              <w:ind w:left="226"/>
              <w:spacing w:after="0"/>
              <w:rPr>
                <w:sz w:val="20"/>
                <w:szCs w:val="20"/>
                <w:color w:val="auto"/>
              </w:rPr>
            </w:pPr>
            <w:r>
              <w:rPr>
                <w:rFonts w:ascii="Arial" w:cs="Arial" w:eastAsia="Arial" w:hAnsi="Arial"/>
                <w:sz w:val="14"/>
                <w:szCs w:val="14"/>
                <w:b w:val="1"/>
                <w:bCs w:val="1"/>
                <w:color w:val="auto"/>
              </w:rPr>
              <w:t>M</w:t>
            </w:r>
          </w:p>
        </w:tc>
        <w:tc>
          <w:tcPr>
            <w:tcW w:w="1040" w:type="dxa"/>
            <w:vAlign w:val="bottom"/>
          </w:tcPr>
          <w:p>
            <w:pPr>
              <w:jc w:val="center"/>
              <w:ind w:left="245"/>
              <w:spacing w:after="0"/>
              <w:rPr>
                <w:sz w:val="20"/>
                <w:szCs w:val="20"/>
                <w:color w:val="auto"/>
              </w:rPr>
            </w:pPr>
            <w:r>
              <w:rPr>
                <w:rFonts w:ascii="Arial" w:cs="Arial" w:eastAsia="Arial" w:hAnsi="Arial"/>
                <w:sz w:val="14"/>
                <w:szCs w:val="14"/>
                <w:b w:val="1"/>
                <w:bCs w:val="1"/>
                <w:color w:val="auto"/>
              </w:rPr>
              <w:t>C</w:t>
            </w:r>
          </w:p>
        </w:tc>
      </w:tr>
      <w:tr>
        <w:trPr>
          <w:trHeight w:val="53"/>
        </w:trPr>
        <w:tc>
          <w:tcPr>
            <w:tcW w:w="4920" w:type="dxa"/>
            <w:vAlign w:val="bottom"/>
            <w:tcBorders>
              <w:right w:val="single" w:sz="8" w:color="E5E5E5"/>
            </w:tcBorders>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Borders>
              <w:right w:val="single" w:sz="8" w:color="E5E5E5"/>
            </w:tcBorders>
          </w:tcPr>
          <w:p>
            <w:pPr>
              <w:spacing w:after="0"/>
              <w:rPr>
                <w:sz w:val="4"/>
                <w:szCs w:val="4"/>
                <w:color w:val="auto"/>
              </w:rPr>
            </w:pPr>
          </w:p>
        </w:tc>
        <w:tc>
          <w:tcPr>
            <w:tcW w:w="1040" w:type="dxa"/>
            <w:vAlign w:val="bottom"/>
            <w:tcBorders>
              <w:right w:val="single" w:sz="8" w:color="E5E5E5"/>
            </w:tcBorders>
          </w:tcPr>
          <w:p>
            <w:pPr>
              <w:spacing w:after="0"/>
              <w:rPr>
                <w:sz w:val="4"/>
                <w:szCs w:val="4"/>
                <w:color w:val="auto"/>
              </w:rPr>
            </w:pPr>
          </w:p>
        </w:tc>
        <w:tc>
          <w:tcPr>
            <w:tcW w:w="1320" w:type="dxa"/>
            <w:vAlign w:val="bottom"/>
            <w:tcBorders>
              <w:right w:val="single" w:sz="8" w:color="E5E5E5"/>
            </w:tcBorders>
          </w:tcPr>
          <w:p>
            <w:pPr>
              <w:spacing w:after="0"/>
              <w:rPr>
                <w:sz w:val="4"/>
                <w:szCs w:val="4"/>
                <w:color w:val="auto"/>
              </w:rPr>
            </w:pPr>
          </w:p>
        </w:tc>
        <w:tc>
          <w:tcPr>
            <w:tcW w:w="1300" w:type="dxa"/>
            <w:vAlign w:val="bottom"/>
            <w:tcBorders>
              <w:right w:val="single" w:sz="8" w:color="E5E5E5"/>
            </w:tcBorders>
          </w:tcPr>
          <w:p>
            <w:pPr>
              <w:spacing w:after="0"/>
              <w:rPr>
                <w:sz w:val="4"/>
                <w:szCs w:val="4"/>
                <w:color w:val="auto"/>
              </w:rPr>
            </w:pPr>
          </w:p>
        </w:tc>
        <w:tc>
          <w:tcPr>
            <w:tcW w:w="1040" w:type="dxa"/>
            <w:vAlign w:val="bottom"/>
          </w:tcPr>
          <w:p>
            <w:pPr>
              <w:spacing w:after="0"/>
              <w:rPr>
                <w:sz w:val="4"/>
                <w:szCs w:val="4"/>
                <w:color w:val="auto"/>
              </w:rPr>
            </w:pPr>
          </w:p>
        </w:tc>
      </w:tr>
      <w:tr>
        <w:trPr>
          <w:trHeight w:val="318"/>
        </w:trPr>
        <w:tc>
          <w:tcPr>
            <w:tcW w:w="4920" w:type="dxa"/>
            <w:vAlign w:val="bottom"/>
            <w:tcBorders>
              <w:bottom w:val="single" w:sz="8" w:color="E5E5E5"/>
              <w:right w:val="single" w:sz="8" w:color="E5E5E5"/>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Brian A. Jenkins***</w:t>
            </w:r>
          </w:p>
        </w:tc>
        <w:tc>
          <w:tcPr>
            <w:tcW w:w="260" w:type="dxa"/>
            <w:vAlign w:val="bottom"/>
            <w:tcBorders>
              <w:bottom w:val="single" w:sz="8" w:color="E5E5E5"/>
            </w:tcBorders>
            <w:shd w:val="clear" w:color="auto" w:fill="E5E5E5"/>
          </w:tcPr>
          <w:p>
            <w:pPr>
              <w:spacing w:after="0"/>
              <w:rPr>
                <w:sz w:val="24"/>
                <w:szCs w:val="24"/>
                <w:color w:val="auto"/>
              </w:rPr>
            </w:pPr>
          </w:p>
        </w:tc>
        <w:tc>
          <w:tcPr>
            <w:tcW w:w="740" w:type="dxa"/>
            <w:vAlign w:val="bottom"/>
            <w:tcBorders>
              <w:bottom w:val="single" w:sz="8" w:color="E5E5E5"/>
              <w:right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w w:val="98"/>
              </w:rPr>
              <w:t>CEO</w:t>
            </w:r>
          </w:p>
        </w:tc>
        <w:tc>
          <w:tcPr>
            <w:tcW w:w="1040" w:type="dxa"/>
            <w:vAlign w:val="bottom"/>
            <w:tcBorders>
              <w:bottom w:val="single" w:sz="8" w:color="E5E5E5"/>
              <w:right w:val="single" w:sz="8" w:color="E5E5E5"/>
            </w:tcBorders>
            <w:shd w:val="clear" w:color="auto" w:fill="E5E5E5"/>
          </w:tcPr>
          <w:p>
            <w:pPr>
              <w:spacing w:after="0"/>
              <w:rPr>
                <w:sz w:val="24"/>
                <w:szCs w:val="24"/>
                <w:color w:val="auto"/>
              </w:rPr>
            </w:pPr>
          </w:p>
        </w:tc>
        <w:tc>
          <w:tcPr>
            <w:tcW w:w="1320" w:type="dxa"/>
            <w:vAlign w:val="bottom"/>
            <w:tcBorders>
              <w:bottom w:val="single" w:sz="8" w:color="E5E5E5"/>
              <w:right w:val="single" w:sz="8" w:color="E5E5E5"/>
            </w:tcBorders>
            <w:shd w:val="clear" w:color="auto" w:fill="E5E5E5"/>
          </w:tcPr>
          <w:p>
            <w:pPr>
              <w:spacing w:after="0"/>
              <w:rPr>
                <w:sz w:val="24"/>
                <w:szCs w:val="24"/>
                <w:color w:val="auto"/>
              </w:rPr>
            </w:pPr>
          </w:p>
        </w:tc>
        <w:tc>
          <w:tcPr>
            <w:tcW w:w="1300" w:type="dxa"/>
            <w:vAlign w:val="bottom"/>
            <w:tcBorders>
              <w:bottom w:val="single" w:sz="8" w:color="E5E5E5"/>
              <w:right w:val="single" w:sz="8" w:color="E5E5E5"/>
            </w:tcBorders>
            <w:shd w:val="clear" w:color="auto" w:fill="E5E5E5"/>
          </w:tcPr>
          <w:p>
            <w:pPr>
              <w:spacing w:after="0"/>
              <w:rPr>
                <w:sz w:val="24"/>
                <w:szCs w:val="24"/>
                <w:color w:val="auto"/>
              </w:rPr>
            </w:pPr>
          </w:p>
        </w:tc>
        <w:tc>
          <w:tcPr>
            <w:tcW w:w="1040" w:type="dxa"/>
            <w:vAlign w:val="bottom"/>
            <w:tcBorders>
              <w:bottom w:val="single" w:sz="8" w:color="E5E5E5"/>
            </w:tcBorders>
            <w:shd w:val="clear" w:color="auto" w:fill="E5E5E5"/>
          </w:tcPr>
          <w:p>
            <w:pPr>
              <w:spacing w:after="0"/>
              <w:rPr>
                <w:sz w:val="24"/>
                <w:szCs w:val="24"/>
                <w:color w:val="auto"/>
              </w:rPr>
            </w:pPr>
          </w:p>
        </w:tc>
      </w:tr>
      <w:tr>
        <w:trPr>
          <w:trHeight w:val="285"/>
        </w:trPr>
        <w:tc>
          <w:tcPr>
            <w:tcW w:w="4920" w:type="dxa"/>
            <w:vAlign w:val="bottom"/>
            <w:tcBorders>
              <w:right w:val="single" w:sz="8" w:color="E5E5E5"/>
            </w:tcBorders>
          </w:tcPr>
          <w:p>
            <w:pPr>
              <w:ind w:left="80"/>
              <w:spacing w:after="0"/>
              <w:rPr>
                <w:sz w:val="20"/>
                <w:szCs w:val="20"/>
                <w:color w:val="auto"/>
              </w:rPr>
            </w:pPr>
            <w:r>
              <w:rPr>
                <w:rFonts w:ascii="Arial" w:cs="Arial" w:eastAsia="Arial" w:hAnsi="Arial"/>
                <w:sz w:val="18"/>
                <w:szCs w:val="18"/>
                <w:b w:val="1"/>
                <w:bCs w:val="1"/>
                <w:color w:val="auto"/>
              </w:rPr>
              <w:t>Stephen M. King****</w:t>
            </w:r>
          </w:p>
        </w:tc>
        <w:tc>
          <w:tcPr>
            <w:tcW w:w="260" w:type="dxa"/>
            <w:vAlign w:val="bottom"/>
          </w:tcPr>
          <w:p>
            <w:pPr>
              <w:spacing w:after="0"/>
              <w:rPr>
                <w:sz w:val="24"/>
                <w:szCs w:val="24"/>
                <w:color w:val="auto"/>
              </w:rPr>
            </w:pPr>
          </w:p>
        </w:tc>
        <w:tc>
          <w:tcPr>
            <w:tcW w:w="740" w:type="dxa"/>
            <w:vAlign w:val="bottom"/>
            <w:tcBorders>
              <w:right w:val="single" w:sz="8" w:color="E5E5E5"/>
            </w:tcBorders>
          </w:tcPr>
          <w:p>
            <w:pPr>
              <w:jc w:val="center"/>
              <w:spacing w:after="0"/>
              <w:rPr>
                <w:sz w:val="20"/>
                <w:szCs w:val="20"/>
                <w:color w:val="auto"/>
              </w:rPr>
            </w:pPr>
            <w:r>
              <w:rPr>
                <w:rFonts w:ascii="Arial" w:cs="Arial" w:eastAsia="Arial" w:hAnsi="Arial"/>
                <w:sz w:val="14"/>
                <w:szCs w:val="14"/>
                <w:color w:val="auto"/>
                <w:w w:val="98"/>
              </w:rPr>
              <w:t>COB</w:t>
            </w:r>
          </w:p>
        </w:tc>
        <w:tc>
          <w:tcPr>
            <w:tcW w:w="1040" w:type="dxa"/>
            <w:vAlign w:val="bottom"/>
            <w:tcBorders>
              <w:right w:val="single" w:sz="8" w:color="E5E5E5"/>
            </w:tcBorders>
          </w:tcPr>
          <w:p>
            <w:pPr>
              <w:spacing w:after="0"/>
              <w:rPr>
                <w:sz w:val="24"/>
                <w:szCs w:val="24"/>
                <w:color w:val="auto"/>
              </w:rPr>
            </w:pPr>
          </w:p>
        </w:tc>
        <w:tc>
          <w:tcPr>
            <w:tcW w:w="1320" w:type="dxa"/>
            <w:vAlign w:val="bottom"/>
            <w:tcBorders>
              <w:right w:val="single" w:sz="8" w:color="E5E5E5"/>
            </w:tcBorders>
          </w:tcPr>
          <w:p>
            <w:pPr>
              <w:spacing w:after="0"/>
              <w:rPr>
                <w:sz w:val="24"/>
                <w:szCs w:val="24"/>
                <w:color w:val="auto"/>
              </w:rPr>
            </w:pPr>
          </w:p>
        </w:tc>
        <w:tc>
          <w:tcPr>
            <w:tcW w:w="1300" w:type="dxa"/>
            <w:vAlign w:val="bottom"/>
            <w:tcBorders>
              <w:right w:val="single" w:sz="8" w:color="E5E5E5"/>
            </w:tcBorders>
          </w:tcPr>
          <w:p>
            <w:pPr>
              <w:spacing w:after="0"/>
              <w:rPr>
                <w:sz w:val="24"/>
                <w:szCs w:val="24"/>
                <w:color w:val="auto"/>
              </w:rPr>
            </w:pPr>
          </w:p>
        </w:tc>
        <w:tc>
          <w:tcPr>
            <w:tcW w:w="1040" w:type="dxa"/>
            <w:vAlign w:val="bottom"/>
          </w:tcPr>
          <w:p>
            <w:pPr>
              <w:spacing w:after="0"/>
              <w:rPr>
                <w:sz w:val="24"/>
                <w:szCs w:val="24"/>
                <w:color w:val="auto"/>
              </w:rPr>
            </w:pPr>
          </w:p>
        </w:tc>
      </w:tr>
      <w:tr>
        <w:trPr>
          <w:trHeight w:val="53"/>
        </w:trPr>
        <w:tc>
          <w:tcPr>
            <w:tcW w:w="4920" w:type="dxa"/>
            <w:vAlign w:val="bottom"/>
            <w:tcBorders>
              <w:right w:val="single" w:sz="8" w:color="E5E5E5"/>
            </w:tcBorders>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Borders>
              <w:right w:val="single" w:sz="8" w:color="E5E5E5"/>
            </w:tcBorders>
          </w:tcPr>
          <w:p>
            <w:pPr>
              <w:spacing w:after="0"/>
              <w:rPr>
                <w:sz w:val="4"/>
                <w:szCs w:val="4"/>
                <w:color w:val="auto"/>
              </w:rPr>
            </w:pPr>
          </w:p>
        </w:tc>
        <w:tc>
          <w:tcPr>
            <w:tcW w:w="1040" w:type="dxa"/>
            <w:vAlign w:val="bottom"/>
            <w:tcBorders>
              <w:right w:val="single" w:sz="8" w:color="E5E5E5"/>
            </w:tcBorders>
          </w:tcPr>
          <w:p>
            <w:pPr>
              <w:spacing w:after="0"/>
              <w:rPr>
                <w:sz w:val="4"/>
                <w:szCs w:val="4"/>
                <w:color w:val="auto"/>
              </w:rPr>
            </w:pPr>
          </w:p>
        </w:tc>
        <w:tc>
          <w:tcPr>
            <w:tcW w:w="1320" w:type="dxa"/>
            <w:vAlign w:val="bottom"/>
            <w:tcBorders>
              <w:right w:val="single" w:sz="8" w:color="E5E5E5"/>
            </w:tcBorders>
          </w:tcPr>
          <w:p>
            <w:pPr>
              <w:spacing w:after="0"/>
              <w:rPr>
                <w:sz w:val="4"/>
                <w:szCs w:val="4"/>
                <w:color w:val="auto"/>
              </w:rPr>
            </w:pPr>
          </w:p>
        </w:tc>
        <w:tc>
          <w:tcPr>
            <w:tcW w:w="1300" w:type="dxa"/>
            <w:vAlign w:val="bottom"/>
            <w:tcBorders>
              <w:right w:val="single" w:sz="8" w:color="E5E5E5"/>
            </w:tcBorders>
          </w:tcPr>
          <w:p>
            <w:pPr>
              <w:spacing w:after="0"/>
              <w:rPr>
                <w:sz w:val="4"/>
                <w:szCs w:val="4"/>
                <w:color w:val="auto"/>
              </w:rPr>
            </w:pPr>
          </w:p>
        </w:tc>
        <w:tc>
          <w:tcPr>
            <w:tcW w:w="1040" w:type="dxa"/>
            <w:vAlign w:val="bottom"/>
          </w:tcPr>
          <w:p>
            <w:pPr>
              <w:spacing w:after="0"/>
              <w:rPr>
                <w:sz w:val="4"/>
                <w:szCs w:val="4"/>
                <w:color w:val="auto"/>
              </w:rPr>
            </w:pPr>
          </w:p>
        </w:tc>
      </w:tr>
      <w:tr>
        <w:trPr>
          <w:trHeight w:val="318"/>
        </w:trPr>
        <w:tc>
          <w:tcPr>
            <w:tcW w:w="4920" w:type="dxa"/>
            <w:vAlign w:val="bottom"/>
            <w:tcBorders>
              <w:bottom w:val="single" w:sz="8" w:color="E5E5E5"/>
              <w:right w:val="single" w:sz="8" w:color="E5E5E5"/>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Patricia H. Mueller</w:t>
            </w:r>
          </w:p>
        </w:tc>
        <w:tc>
          <w:tcPr>
            <w:tcW w:w="260" w:type="dxa"/>
            <w:vAlign w:val="bottom"/>
            <w:tcBorders>
              <w:bottom w:val="single" w:sz="8" w:color="E5E5E5"/>
            </w:tcBorders>
            <w:shd w:val="clear" w:color="auto" w:fill="E5E5E5"/>
          </w:tcPr>
          <w:p>
            <w:pPr>
              <w:spacing w:after="0"/>
              <w:rPr>
                <w:sz w:val="24"/>
                <w:szCs w:val="24"/>
                <w:color w:val="auto"/>
              </w:rPr>
            </w:pPr>
          </w:p>
        </w:tc>
        <w:tc>
          <w:tcPr>
            <w:tcW w:w="740" w:type="dxa"/>
            <w:vAlign w:val="bottom"/>
            <w:tcBorders>
              <w:bottom w:val="single" w:sz="8" w:color="E5E5E5"/>
              <w:right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I</w:t>
            </w:r>
          </w:p>
        </w:tc>
        <w:tc>
          <w:tcPr>
            <w:tcW w:w="1040" w:type="dxa"/>
            <w:vAlign w:val="bottom"/>
            <w:tcBorders>
              <w:bottom w:val="single" w:sz="8" w:color="E5E5E5"/>
              <w:right w:val="single" w:sz="8" w:color="E5E5E5"/>
            </w:tcBorders>
            <w:shd w:val="clear" w:color="auto" w:fill="E5E5E5"/>
          </w:tcPr>
          <w:p>
            <w:pPr>
              <w:spacing w:after="0"/>
              <w:rPr>
                <w:sz w:val="24"/>
                <w:szCs w:val="24"/>
                <w:color w:val="auto"/>
              </w:rPr>
            </w:pPr>
          </w:p>
        </w:tc>
        <w:tc>
          <w:tcPr>
            <w:tcW w:w="1320" w:type="dxa"/>
            <w:vAlign w:val="bottom"/>
            <w:tcBorders>
              <w:bottom w:val="single" w:sz="8" w:color="E5E5E5"/>
              <w:right w:val="single" w:sz="8" w:color="E5E5E5"/>
            </w:tcBorders>
            <w:shd w:val="clear" w:color="auto" w:fill="E5E5E5"/>
          </w:tcPr>
          <w:p>
            <w:pPr>
              <w:jc w:val="center"/>
              <w:ind w:left="205"/>
              <w:spacing w:after="0"/>
              <w:rPr>
                <w:sz w:val="20"/>
                <w:szCs w:val="20"/>
                <w:color w:val="auto"/>
              </w:rPr>
            </w:pPr>
            <w:r>
              <w:rPr>
                <w:rFonts w:ascii="Arial" w:cs="Arial" w:eastAsia="Arial" w:hAnsi="Arial"/>
                <w:sz w:val="14"/>
                <w:szCs w:val="14"/>
                <w:b w:val="1"/>
                <w:bCs w:val="1"/>
                <w:color w:val="auto"/>
              </w:rPr>
              <w:t>M</w:t>
            </w:r>
          </w:p>
        </w:tc>
        <w:tc>
          <w:tcPr>
            <w:tcW w:w="1300" w:type="dxa"/>
            <w:vAlign w:val="bottom"/>
            <w:tcBorders>
              <w:bottom w:val="single" w:sz="8" w:color="E5E5E5"/>
              <w:right w:val="single" w:sz="8" w:color="E5E5E5"/>
            </w:tcBorders>
            <w:shd w:val="clear" w:color="auto" w:fill="E5E5E5"/>
          </w:tcPr>
          <w:p>
            <w:pPr>
              <w:jc w:val="center"/>
              <w:ind w:left="206"/>
              <w:spacing w:after="0"/>
              <w:rPr>
                <w:sz w:val="20"/>
                <w:szCs w:val="20"/>
                <w:color w:val="auto"/>
              </w:rPr>
            </w:pPr>
            <w:r>
              <w:rPr>
                <w:rFonts w:ascii="Arial" w:cs="Arial" w:eastAsia="Arial" w:hAnsi="Arial"/>
                <w:sz w:val="14"/>
                <w:szCs w:val="14"/>
                <w:b w:val="1"/>
                <w:bCs w:val="1"/>
                <w:color w:val="auto"/>
                <w:w w:val="98"/>
              </w:rPr>
              <w:t>C</w:t>
            </w:r>
          </w:p>
        </w:tc>
        <w:tc>
          <w:tcPr>
            <w:tcW w:w="1040" w:type="dxa"/>
            <w:vAlign w:val="bottom"/>
            <w:tcBorders>
              <w:bottom w:val="single" w:sz="8" w:color="E5E5E5"/>
            </w:tcBorders>
            <w:shd w:val="clear" w:color="auto" w:fill="E5E5E5"/>
          </w:tcPr>
          <w:p>
            <w:pPr>
              <w:spacing w:after="0"/>
              <w:rPr>
                <w:sz w:val="24"/>
                <w:szCs w:val="24"/>
                <w:color w:val="auto"/>
              </w:rPr>
            </w:pPr>
          </w:p>
        </w:tc>
      </w:tr>
      <w:tr>
        <w:trPr>
          <w:trHeight w:val="285"/>
        </w:trPr>
        <w:tc>
          <w:tcPr>
            <w:tcW w:w="4920" w:type="dxa"/>
            <w:vAlign w:val="bottom"/>
            <w:tcBorders>
              <w:right w:val="single" w:sz="8" w:color="E5E5E5"/>
            </w:tcBorders>
          </w:tcPr>
          <w:p>
            <w:pPr>
              <w:ind w:left="80"/>
              <w:spacing w:after="0"/>
              <w:rPr>
                <w:sz w:val="20"/>
                <w:szCs w:val="20"/>
                <w:color w:val="auto"/>
              </w:rPr>
            </w:pPr>
            <w:r>
              <w:rPr>
                <w:rFonts w:ascii="Arial" w:cs="Arial" w:eastAsia="Arial" w:hAnsi="Arial"/>
                <w:sz w:val="18"/>
                <w:szCs w:val="18"/>
                <w:b w:val="1"/>
                <w:bCs w:val="1"/>
                <w:color w:val="auto"/>
              </w:rPr>
              <w:t>Kevin M. Sheehan</w:t>
            </w:r>
          </w:p>
        </w:tc>
        <w:tc>
          <w:tcPr>
            <w:tcW w:w="260" w:type="dxa"/>
            <w:vAlign w:val="bottom"/>
          </w:tcPr>
          <w:p>
            <w:pPr>
              <w:spacing w:after="0"/>
              <w:rPr>
                <w:sz w:val="24"/>
                <w:szCs w:val="24"/>
                <w:color w:val="auto"/>
              </w:rPr>
            </w:pPr>
          </w:p>
        </w:tc>
        <w:tc>
          <w:tcPr>
            <w:tcW w:w="740" w:type="dxa"/>
            <w:vAlign w:val="bottom"/>
            <w:tcBorders>
              <w:right w:val="single" w:sz="8" w:color="E5E5E5"/>
            </w:tcBorders>
          </w:tcPr>
          <w:p>
            <w:pPr>
              <w:jc w:val="center"/>
              <w:spacing w:after="0"/>
              <w:rPr>
                <w:sz w:val="20"/>
                <w:szCs w:val="20"/>
                <w:color w:val="auto"/>
              </w:rPr>
            </w:pPr>
            <w:r>
              <w:rPr>
                <w:rFonts w:ascii="Arial" w:cs="Arial" w:eastAsia="Arial" w:hAnsi="Arial"/>
                <w:sz w:val="14"/>
                <w:szCs w:val="14"/>
                <w:color w:val="auto"/>
              </w:rPr>
              <w:t>I</w:t>
            </w:r>
          </w:p>
        </w:tc>
        <w:tc>
          <w:tcPr>
            <w:tcW w:w="1040" w:type="dxa"/>
            <w:vAlign w:val="bottom"/>
            <w:tcBorders>
              <w:right w:val="single" w:sz="8" w:color="E5E5E5"/>
            </w:tcBorders>
          </w:tcPr>
          <w:p>
            <w:pPr>
              <w:jc w:val="center"/>
              <w:ind w:left="186"/>
              <w:spacing w:after="0"/>
              <w:rPr>
                <w:sz w:val="20"/>
                <w:szCs w:val="20"/>
                <w:color w:val="auto"/>
              </w:rPr>
            </w:pPr>
            <w:r>
              <w:rPr>
                <w:rFonts w:ascii="Arial" w:cs="Arial" w:eastAsia="Arial" w:hAnsi="Arial"/>
                <w:sz w:val="14"/>
                <w:szCs w:val="14"/>
                <w:b w:val="1"/>
                <w:bCs w:val="1"/>
                <w:color w:val="auto"/>
                <w:w w:val="98"/>
              </w:rPr>
              <w:t>C</w:t>
            </w:r>
          </w:p>
        </w:tc>
        <w:tc>
          <w:tcPr>
            <w:tcW w:w="1320" w:type="dxa"/>
            <w:vAlign w:val="bottom"/>
            <w:tcBorders>
              <w:right w:val="single" w:sz="8" w:color="E5E5E5"/>
            </w:tcBorders>
          </w:tcPr>
          <w:p>
            <w:pPr>
              <w:spacing w:after="0"/>
              <w:rPr>
                <w:sz w:val="24"/>
                <w:szCs w:val="24"/>
                <w:color w:val="auto"/>
              </w:rPr>
            </w:pPr>
          </w:p>
        </w:tc>
        <w:tc>
          <w:tcPr>
            <w:tcW w:w="1300" w:type="dxa"/>
            <w:vAlign w:val="bottom"/>
            <w:tcBorders>
              <w:right w:val="single" w:sz="8" w:color="E5E5E5"/>
            </w:tcBorders>
          </w:tcPr>
          <w:p>
            <w:pPr>
              <w:jc w:val="center"/>
              <w:ind w:left="226"/>
              <w:spacing w:after="0"/>
              <w:rPr>
                <w:sz w:val="20"/>
                <w:szCs w:val="20"/>
                <w:color w:val="auto"/>
              </w:rPr>
            </w:pPr>
            <w:r>
              <w:rPr>
                <w:rFonts w:ascii="Arial" w:cs="Arial" w:eastAsia="Arial" w:hAnsi="Arial"/>
                <w:sz w:val="14"/>
                <w:szCs w:val="14"/>
                <w:b w:val="1"/>
                <w:bCs w:val="1"/>
                <w:color w:val="auto"/>
              </w:rPr>
              <w:t>M</w:t>
            </w:r>
          </w:p>
        </w:tc>
        <w:tc>
          <w:tcPr>
            <w:tcW w:w="1040" w:type="dxa"/>
            <w:vAlign w:val="bottom"/>
          </w:tcPr>
          <w:p>
            <w:pPr>
              <w:jc w:val="center"/>
              <w:ind w:left="245"/>
              <w:spacing w:after="0"/>
              <w:rPr>
                <w:sz w:val="20"/>
                <w:szCs w:val="20"/>
                <w:color w:val="auto"/>
              </w:rPr>
            </w:pPr>
            <w:r>
              <w:rPr>
                <w:rFonts w:ascii="Arial" w:cs="Arial" w:eastAsia="Arial" w:hAnsi="Arial"/>
                <w:sz w:val="14"/>
                <w:szCs w:val="14"/>
                <w:b w:val="1"/>
                <w:bCs w:val="1"/>
                <w:color w:val="auto"/>
              </w:rPr>
              <w:t>M</w:t>
            </w:r>
          </w:p>
        </w:tc>
      </w:tr>
      <w:tr>
        <w:trPr>
          <w:trHeight w:val="53"/>
        </w:trPr>
        <w:tc>
          <w:tcPr>
            <w:tcW w:w="4920" w:type="dxa"/>
            <w:vAlign w:val="bottom"/>
            <w:tcBorders>
              <w:right w:val="single" w:sz="8" w:color="E5E5E5"/>
            </w:tcBorders>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Borders>
              <w:right w:val="single" w:sz="8" w:color="E5E5E5"/>
            </w:tcBorders>
          </w:tcPr>
          <w:p>
            <w:pPr>
              <w:spacing w:after="0"/>
              <w:rPr>
                <w:sz w:val="4"/>
                <w:szCs w:val="4"/>
                <w:color w:val="auto"/>
              </w:rPr>
            </w:pPr>
          </w:p>
        </w:tc>
        <w:tc>
          <w:tcPr>
            <w:tcW w:w="1040" w:type="dxa"/>
            <w:vAlign w:val="bottom"/>
            <w:tcBorders>
              <w:right w:val="single" w:sz="8" w:color="E5E5E5"/>
            </w:tcBorders>
          </w:tcPr>
          <w:p>
            <w:pPr>
              <w:spacing w:after="0"/>
              <w:rPr>
                <w:sz w:val="4"/>
                <w:szCs w:val="4"/>
                <w:color w:val="auto"/>
              </w:rPr>
            </w:pPr>
          </w:p>
        </w:tc>
        <w:tc>
          <w:tcPr>
            <w:tcW w:w="1320" w:type="dxa"/>
            <w:vAlign w:val="bottom"/>
            <w:tcBorders>
              <w:right w:val="single" w:sz="8" w:color="E5E5E5"/>
            </w:tcBorders>
          </w:tcPr>
          <w:p>
            <w:pPr>
              <w:spacing w:after="0"/>
              <w:rPr>
                <w:sz w:val="4"/>
                <w:szCs w:val="4"/>
                <w:color w:val="auto"/>
              </w:rPr>
            </w:pPr>
          </w:p>
        </w:tc>
        <w:tc>
          <w:tcPr>
            <w:tcW w:w="1300" w:type="dxa"/>
            <w:vAlign w:val="bottom"/>
            <w:tcBorders>
              <w:right w:val="single" w:sz="8" w:color="E5E5E5"/>
            </w:tcBorders>
          </w:tcPr>
          <w:p>
            <w:pPr>
              <w:spacing w:after="0"/>
              <w:rPr>
                <w:sz w:val="4"/>
                <w:szCs w:val="4"/>
                <w:color w:val="auto"/>
              </w:rPr>
            </w:pPr>
          </w:p>
        </w:tc>
        <w:tc>
          <w:tcPr>
            <w:tcW w:w="1040" w:type="dxa"/>
            <w:vAlign w:val="bottom"/>
          </w:tcPr>
          <w:p>
            <w:pPr>
              <w:spacing w:after="0"/>
              <w:rPr>
                <w:sz w:val="4"/>
                <w:szCs w:val="4"/>
                <w:color w:val="auto"/>
              </w:rPr>
            </w:pPr>
          </w:p>
        </w:tc>
      </w:tr>
      <w:tr>
        <w:trPr>
          <w:trHeight w:val="318"/>
        </w:trPr>
        <w:tc>
          <w:tcPr>
            <w:tcW w:w="4920" w:type="dxa"/>
            <w:vAlign w:val="bottom"/>
            <w:tcBorders>
              <w:bottom w:val="single" w:sz="8" w:color="E5E5E5"/>
              <w:right w:val="single" w:sz="8" w:color="E5E5E5"/>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Jennifer Storms</w:t>
            </w:r>
          </w:p>
        </w:tc>
        <w:tc>
          <w:tcPr>
            <w:tcW w:w="260" w:type="dxa"/>
            <w:vAlign w:val="bottom"/>
            <w:tcBorders>
              <w:bottom w:val="single" w:sz="8" w:color="E5E5E5"/>
            </w:tcBorders>
            <w:shd w:val="clear" w:color="auto" w:fill="E5E5E5"/>
          </w:tcPr>
          <w:p>
            <w:pPr>
              <w:spacing w:after="0"/>
              <w:rPr>
                <w:sz w:val="24"/>
                <w:szCs w:val="24"/>
                <w:color w:val="auto"/>
              </w:rPr>
            </w:pPr>
          </w:p>
        </w:tc>
        <w:tc>
          <w:tcPr>
            <w:tcW w:w="740" w:type="dxa"/>
            <w:vAlign w:val="bottom"/>
            <w:tcBorders>
              <w:bottom w:val="single" w:sz="8" w:color="E5E5E5"/>
              <w:right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I</w:t>
            </w:r>
          </w:p>
        </w:tc>
        <w:tc>
          <w:tcPr>
            <w:tcW w:w="1040" w:type="dxa"/>
            <w:vAlign w:val="bottom"/>
            <w:tcBorders>
              <w:bottom w:val="single" w:sz="8" w:color="E5E5E5"/>
              <w:right w:val="single" w:sz="8" w:color="E5E5E5"/>
            </w:tcBorders>
            <w:shd w:val="clear" w:color="auto" w:fill="E5E5E5"/>
          </w:tcPr>
          <w:p>
            <w:pPr>
              <w:spacing w:after="0"/>
              <w:rPr>
                <w:sz w:val="24"/>
                <w:szCs w:val="24"/>
                <w:color w:val="auto"/>
              </w:rPr>
            </w:pPr>
          </w:p>
        </w:tc>
        <w:tc>
          <w:tcPr>
            <w:tcW w:w="1320" w:type="dxa"/>
            <w:vAlign w:val="bottom"/>
            <w:tcBorders>
              <w:bottom w:val="single" w:sz="8" w:color="E5E5E5"/>
              <w:right w:val="single" w:sz="8" w:color="E5E5E5"/>
            </w:tcBorders>
            <w:shd w:val="clear" w:color="auto" w:fill="E5E5E5"/>
          </w:tcPr>
          <w:p>
            <w:pPr>
              <w:jc w:val="center"/>
              <w:ind w:left="205"/>
              <w:spacing w:after="0"/>
              <w:rPr>
                <w:sz w:val="20"/>
                <w:szCs w:val="20"/>
                <w:color w:val="auto"/>
              </w:rPr>
            </w:pPr>
            <w:r>
              <w:rPr>
                <w:rFonts w:ascii="Arial" w:cs="Arial" w:eastAsia="Arial" w:hAnsi="Arial"/>
                <w:sz w:val="14"/>
                <w:szCs w:val="14"/>
                <w:b w:val="1"/>
                <w:bCs w:val="1"/>
                <w:color w:val="auto"/>
              </w:rPr>
              <w:t>M</w:t>
            </w:r>
          </w:p>
        </w:tc>
        <w:tc>
          <w:tcPr>
            <w:tcW w:w="1300" w:type="dxa"/>
            <w:vAlign w:val="bottom"/>
            <w:tcBorders>
              <w:bottom w:val="single" w:sz="8" w:color="E5E5E5"/>
              <w:right w:val="single" w:sz="8" w:color="E5E5E5"/>
            </w:tcBorders>
            <w:shd w:val="clear" w:color="auto" w:fill="E5E5E5"/>
          </w:tcPr>
          <w:p>
            <w:pPr>
              <w:jc w:val="center"/>
              <w:ind w:left="226"/>
              <w:spacing w:after="0"/>
              <w:rPr>
                <w:sz w:val="20"/>
                <w:szCs w:val="20"/>
                <w:color w:val="auto"/>
              </w:rPr>
            </w:pPr>
            <w:r>
              <w:rPr>
                <w:rFonts w:ascii="Arial" w:cs="Arial" w:eastAsia="Arial" w:hAnsi="Arial"/>
                <w:sz w:val="14"/>
                <w:szCs w:val="14"/>
                <w:b w:val="1"/>
                <w:bCs w:val="1"/>
                <w:color w:val="auto"/>
              </w:rPr>
              <w:t>M</w:t>
            </w:r>
          </w:p>
        </w:tc>
        <w:tc>
          <w:tcPr>
            <w:tcW w:w="1040" w:type="dxa"/>
            <w:vAlign w:val="bottom"/>
            <w:tcBorders>
              <w:bottom w:val="single" w:sz="8" w:color="E5E5E5"/>
            </w:tcBorders>
            <w:shd w:val="clear" w:color="auto" w:fill="E5E5E5"/>
          </w:tcPr>
          <w:p>
            <w:pPr>
              <w:jc w:val="center"/>
              <w:ind w:left="245"/>
              <w:spacing w:after="0"/>
              <w:rPr>
                <w:sz w:val="20"/>
                <w:szCs w:val="20"/>
                <w:color w:val="auto"/>
              </w:rPr>
            </w:pPr>
            <w:r>
              <w:rPr>
                <w:rFonts w:ascii="Arial" w:cs="Arial" w:eastAsia="Arial" w:hAnsi="Arial"/>
                <w:sz w:val="14"/>
                <w:szCs w:val="14"/>
                <w:b w:val="1"/>
                <w:bCs w:val="1"/>
                <w:color w:val="auto"/>
              </w:rPr>
              <w:t>M</w:t>
            </w:r>
          </w:p>
        </w:tc>
      </w:tr>
      <w:tr>
        <w:trPr>
          <w:trHeight w:val="284"/>
        </w:trPr>
        <w:tc>
          <w:tcPr>
            <w:tcW w:w="4920" w:type="dxa"/>
            <w:vAlign w:val="bottom"/>
            <w:tcBorders>
              <w:right w:val="single" w:sz="8" w:color="003B71"/>
            </w:tcBorders>
            <w:shd w:val="clear" w:color="auto" w:fill="003B71"/>
          </w:tcPr>
          <w:p>
            <w:pPr>
              <w:ind w:left="80"/>
              <w:spacing w:after="0"/>
              <w:rPr>
                <w:sz w:val="20"/>
                <w:szCs w:val="20"/>
                <w:color w:val="auto"/>
              </w:rPr>
            </w:pPr>
            <w:r>
              <w:rPr>
                <w:rFonts w:ascii="Arial" w:cs="Arial" w:eastAsia="Arial" w:hAnsi="Arial"/>
                <w:sz w:val="18"/>
                <w:szCs w:val="18"/>
                <w:b w:val="1"/>
                <w:bCs w:val="1"/>
                <w:color w:val="FFFFFF"/>
              </w:rPr>
              <w:t>Number of Meetings in Fiscal 2019</w:t>
            </w:r>
          </w:p>
        </w:tc>
        <w:tc>
          <w:tcPr>
            <w:tcW w:w="1000" w:type="dxa"/>
            <w:vAlign w:val="bottom"/>
            <w:tcBorders>
              <w:right w:val="single" w:sz="8" w:color="003B71"/>
            </w:tcBorders>
            <w:gridSpan w:val="2"/>
            <w:shd w:val="clear" w:color="auto" w:fill="003B71"/>
          </w:tcPr>
          <w:p>
            <w:pPr>
              <w:jc w:val="center"/>
              <w:ind w:left="170"/>
              <w:spacing w:after="0"/>
              <w:rPr>
                <w:sz w:val="20"/>
                <w:szCs w:val="20"/>
                <w:color w:val="auto"/>
              </w:rPr>
            </w:pPr>
            <w:r>
              <w:rPr>
                <w:rFonts w:ascii="Arial" w:cs="Arial" w:eastAsia="Arial" w:hAnsi="Arial"/>
                <w:sz w:val="18"/>
                <w:szCs w:val="18"/>
                <w:b w:val="1"/>
                <w:bCs w:val="1"/>
                <w:color w:val="FFFFFF"/>
                <w:w w:val="99"/>
              </w:rPr>
              <w:t>8</w:t>
            </w:r>
          </w:p>
        </w:tc>
        <w:tc>
          <w:tcPr>
            <w:tcW w:w="1040" w:type="dxa"/>
            <w:vAlign w:val="bottom"/>
            <w:tcBorders>
              <w:right w:val="single" w:sz="8" w:color="003B71"/>
            </w:tcBorders>
            <w:shd w:val="clear" w:color="auto" w:fill="003B71"/>
          </w:tcPr>
          <w:p>
            <w:pPr>
              <w:jc w:val="center"/>
              <w:ind w:left="186"/>
              <w:spacing w:after="0"/>
              <w:rPr>
                <w:sz w:val="20"/>
                <w:szCs w:val="20"/>
                <w:color w:val="auto"/>
              </w:rPr>
            </w:pPr>
            <w:r>
              <w:rPr>
                <w:rFonts w:ascii="Arial" w:cs="Arial" w:eastAsia="Arial" w:hAnsi="Arial"/>
                <w:sz w:val="18"/>
                <w:szCs w:val="18"/>
                <w:b w:val="1"/>
                <w:bCs w:val="1"/>
                <w:color w:val="FFFFFF"/>
                <w:w w:val="99"/>
              </w:rPr>
              <w:t>8</w:t>
            </w:r>
          </w:p>
        </w:tc>
        <w:tc>
          <w:tcPr>
            <w:tcW w:w="1320" w:type="dxa"/>
            <w:vAlign w:val="bottom"/>
            <w:tcBorders>
              <w:right w:val="single" w:sz="8" w:color="003B71"/>
            </w:tcBorders>
            <w:shd w:val="clear" w:color="auto" w:fill="003B71"/>
          </w:tcPr>
          <w:p>
            <w:pPr>
              <w:jc w:val="center"/>
              <w:ind w:left="225"/>
              <w:spacing w:after="0"/>
              <w:rPr>
                <w:sz w:val="20"/>
                <w:szCs w:val="20"/>
                <w:color w:val="auto"/>
              </w:rPr>
            </w:pPr>
            <w:r>
              <w:rPr>
                <w:rFonts w:ascii="Arial" w:cs="Arial" w:eastAsia="Arial" w:hAnsi="Arial"/>
                <w:sz w:val="18"/>
                <w:szCs w:val="18"/>
                <w:b w:val="1"/>
                <w:bCs w:val="1"/>
                <w:color w:val="FFFFFF"/>
                <w:w w:val="99"/>
              </w:rPr>
              <w:t>6</w:t>
            </w:r>
          </w:p>
        </w:tc>
        <w:tc>
          <w:tcPr>
            <w:tcW w:w="1300" w:type="dxa"/>
            <w:vAlign w:val="bottom"/>
            <w:tcBorders>
              <w:right w:val="single" w:sz="8" w:color="003B71"/>
            </w:tcBorders>
            <w:shd w:val="clear" w:color="auto" w:fill="003B71"/>
          </w:tcPr>
          <w:p>
            <w:pPr>
              <w:jc w:val="center"/>
              <w:ind w:left="206"/>
              <w:spacing w:after="0"/>
              <w:rPr>
                <w:sz w:val="20"/>
                <w:szCs w:val="20"/>
                <w:color w:val="auto"/>
              </w:rPr>
            </w:pPr>
            <w:r>
              <w:rPr>
                <w:rFonts w:ascii="Arial" w:cs="Arial" w:eastAsia="Arial" w:hAnsi="Arial"/>
                <w:sz w:val="18"/>
                <w:szCs w:val="18"/>
                <w:b w:val="1"/>
                <w:bCs w:val="1"/>
                <w:color w:val="FFFFFF"/>
                <w:w w:val="99"/>
              </w:rPr>
              <w:t>4</w:t>
            </w:r>
          </w:p>
        </w:tc>
        <w:tc>
          <w:tcPr>
            <w:tcW w:w="1040" w:type="dxa"/>
            <w:vAlign w:val="bottom"/>
            <w:shd w:val="clear" w:color="auto" w:fill="003B71"/>
          </w:tcPr>
          <w:p>
            <w:pPr>
              <w:jc w:val="center"/>
              <w:ind w:left="245"/>
              <w:spacing w:after="0"/>
              <w:rPr>
                <w:sz w:val="20"/>
                <w:szCs w:val="20"/>
                <w:color w:val="auto"/>
              </w:rPr>
            </w:pPr>
            <w:r>
              <w:rPr>
                <w:rFonts w:ascii="Arial" w:cs="Arial" w:eastAsia="Arial" w:hAnsi="Arial"/>
                <w:sz w:val="18"/>
                <w:szCs w:val="18"/>
                <w:b w:val="1"/>
                <w:bCs w:val="1"/>
                <w:color w:val="FFFFFF"/>
                <w:w w:val="99"/>
              </w:rPr>
              <w:t>11</w:t>
            </w:r>
          </w:p>
        </w:tc>
      </w:tr>
      <w:tr>
        <w:trPr>
          <w:trHeight w:val="54"/>
        </w:trPr>
        <w:tc>
          <w:tcPr>
            <w:tcW w:w="4920" w:type="dxa"/>
            <w:vAlign w:val="bottom"/>
            <w:tcBorders>
              <w:right w:val="single" w:sz="8" w:color="003B71"/>
            </w:tcBorders>
            <w:shd w:val="clear" w:color="auto" w:fill="003B71"/>
          </w:tcPr>
          <w:p>
            <w:pPr>
              <w:spacing w:after="0"/>
              <w:rPr>
                <w:sz w:val="4"/>
                <w:szCs w:val="4"/>
                <w:color w:val="auto"/>
              </w:rPr>
            </w:pPr>
          </w:p>
        </w:tc>
        <w:tc>
          <w:tcPr>
            <w:tcW w:w="260" w:type="dxa"/>
            <w:vAlign w:val="bottom"/>
            <w:shd w:val="clear" w:color="auto" w:fill="003B71"/>
          </w:tcPr>
          <w:p>
            <w:pPr>
              <w:spacing w:after="0"/>
              <w:rPr>
                <w:sz w:val="4"/>
                <w:szCs w:val="4"/>
                <w:color w:val="auto"/>
              </w:rPr>
            </w:pPr>
          </w:p>
        </w:tc>
        <w:tc>
          <w:tcPr>
            <w:tcW w:w="740" w:type="dxa"/>
            <w:vAlign w:val="bottom"/>
            <w:tcBorders>
              <w:right w:val="single" w:sz="8" w:color="003B71"/>
            </w:tcBorders>
            <w:shd w:val="clear" w:color="auto" w:fill="003B71"/>
          </w:tcPr>
          <w:p>
            <w:pPr>
              <w:spacing w:after="0"/>
              <w:rPr>
                <w:sz w:val="4"/>
                <w:szCs w:val="4"/>
                <w:color w:val="auto"/>
              </w:rPr>
            </w:pPr>
          </w:p>
        </w:tc>
        <w:tc>
          <w:tcPr>
            <w:tcW w:w="1040" w:type="dxa"/>
            <w:vAlign w:val="bottom"/>
            <w:tcBorders>
              <w:right w:val="single" w:sz="8" w:color="003B71"/>
            </w:tcBorders>
            <w:shd w:val="clear" w:color="auto" w:fill="003B71"/>
          </w:tcPr>
          <w:p>
            <w:pPr>
              <w:spacing w:after="0"/>
              <w:rPr>
                <w:sz w:val="4"/>
                <w:szCs w:val="4"/>
                <w:color w:val="auto"/>
              </w:rPr>
            </w:pPr>
          </w:p>
        </w:tc>
        <w:tc>
          <w:tcPr>
            <w:tcW w:w="1320" w:type="dxa"/>
            <w:vAlign w:val="bottom"/>
            <w:tcBorders>
              <w:right w:val="single" w:sz="8" w:color="003B71"/>
            </w:tcBorders>
            <w:shd w:val="clear" w:color="auto" w:fill="003B71"/>
          </w:tcPr>
          <w:p>
            <w:pPr>
              <w:spacing w:after="0"/>
              <w:rPr>
                <w:sz w:val="4"/>
                <w:szCs w:val="4"/>
                <w:color w:val="auto"/>
              </w:rPr>
            </w:pPr>
          </w:p>
        </w:tc>
        <w:tc>
          <w:tcPr>
            <w:tcW w:w="1300" w:type="dxa"/>
            <w:vAlign w:val="bottom"/>
            <w:tcBorders>
              <w:right w:val="single" w:sz="8" w:color="003B71"/>
            </w:tcBorders>
            <w:shd w:val="clear" w:color="auto" w:fill="003B71"/>
          </w:tcPr>
          <w:p>
            <w:pPr>
              <w:spacing w:after="0"/>
              <w:rPr>
                <w:sz w:val="4"/>
                <w:szCs w:val="4"/>
                <w:color w:val="auto"/>
              </w:rPr>
            </w:pPr>
          </w:p>
        </w:tc>
        <w:tc>
          <w:tcPr>
            <w:tcW w:w="1040" w:type="dxa"/>
            <w:vAlign w:val="bottom"/>
            <w:shd w:val="clear" w:color="auto" w:fill="003B71"/>
          </w:tcPr>
          <w:p>
            <w:pPr>
              <w:spacing w:after="0"/>
              <w:rPr>
                <w:sz w:val="4"/>
                <w:szCs w:val="4"/>
                <w:color w:val="auto"/>
              </w:rPr>
            </w:pPr>
          </w:p>
        </w:tc>
      </w:tr>
    </w:tbl>
    <w:p>
      <w:pPr>
        <w:spacing w:after="0" w:line="116" w:lineRule="exact"/>
        <w:rPr>
          <w:sz w:val="20"/>
          <w:szCs w:val="20"/>
          <w:color w:val="auto"/>
        </w:rPr>
      </w:pPr>
    </w:p>
    <w:p>
      <w:pPr>
        <w:ind w:left="820" w:hanging="50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Independent Director</w:t>
      </w:r>
    </w:p>
    <w:tbl>
      <w:tblPr>
        <w:tblLayout w:type="fixed"/>
        <w:tblInd w:w="320" w:type="dxa"/>
        <w:tblCellMar>
          <w:top w:w="0" w:type="dxa"/>
          <w:left w:w="0" w:type="dxa"/>
          <w:bottom w:w="0" w:type="dxa"/>
          <w:right w:w="0" w:type="dxa"/>
        </w:tblCellMar>
      </w:tblPr>
      <w:tr>
        <w:trPr>
          <w:trHeight w:val="203"/>
        </w:trPr>
        <w:tc>
          <w:tcPr>
            <w:tcW w:w="440" w:type="dxa"/>
            <w:vAlign w:val="bottom"/>
          </w:tcPr>
          <w:p>
            <w:pPr>
              <w:spacing w:after="0" w:line="202" w:lineRule="exact"/>
              <w:rPr>
                <w:sz w:val="20"/>
                <w:szCs w:val="20"/>
                <w:color w:val="auto"/>
              </w:rPr>
            </w:pPr>
            <w:r>
              <w:rPr>
                <w:rFonts w:ascii="Arial" w:cs="Arial" w:eastAsia="Arial" w:hAnsi="Arial"/>
                <w:sz w:val="18"/>
                <w:szCs w:val="18"/>
                <w:color w:val="auto"/>
              </w:rPr>
              <w:t>LID</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2200" w:type="dxa"/>
            <w:vAlign w:val="bottom"/>
          </w:tcPr>
          <w:p>
            <w:pPr>
              <w:ind w:left="60"/>
              <w:spacing w:after="0" w:line="202" w:lineRule="exact"/>
              <w:rPr>
                <w:sz w:val="20"/>
                <w:szCs w:val="20"/>
                <w:color w:val="auto"/>
              </w:rPr>
            </w:pPr>
            <w:r>
              <w:rPr>
                <w:rFonts w:ascii="Arial" w:cs="Arial" w:eastAsia="Arial" w:hAnsi="Arial"/>
                <w:sz w:val="18"/>
                <w:szCs w:val="18"/>
                <w:color w:val="auto"/>
                <w:w w:val="99"/>
              </w:rPr>
              <w:t>Lead Independent Director</w:t>
            </w:r>
          </w:p>
        </w:tc>
      </w:tr>
      <w:tr>
        <w:trPr>
          <w:trHeight w:val="203"/>
        </w:trPr>
        <w:tc>
          <w:tcPr>
            <w:tcW w:w="440" w:type="dxa"/>
            <w:vAlign w:val="bottom"/>
          </w:tcPr>
          <w:p>
            <w:pPr>
              <w:spacing w:after="0" w:line="202" w:lineRule="exact"/>
              <w:rPr>
                <w:sz w:val="20"/>
                <w:szCs w:val="20"/>
                <w:color w:val="auto"/>
              </w:rPr>
            </w:pPr>
            <w:r>
              <w:rPr>
                <w:rFonts w:ascii="Arial" w:cs="Arial" w:eastAsia="Arial" w:hAnsi="Arial"/>
                <w:sz w:val="18"/>
                <w:szCs w:val="18"/>
                <w:color w:val="auto"/>
              </w:rPr>
              <w:t>CEO</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2200" w:type="dxa"/>
            <w:vAlign w:val="bottom"/>
          </w:tcPr>
          <w:p>
            <w:pPr>
              <w:ind w:left="60"/>
              <w:spacing w:after="0" w:line="202" w:lineRule="exact"/>
              <w:rPr>
                <w:sz w:val="20"/>
                <w:szCs w:val="20"/>
                <w:color w:val="auto"/>
              </w:rPr>
            </w:pPr>
            <w:r>
              <w:rPr>
                <w:rFonts w:ascii="Arial" w:cs="Arial" w:eastAsia="Arial" w:hAnsi="Arial"/>
                <w:sz w:val="18"/>
                <w:szCs w:val="18"/>
                <w:color w:val="auto"/>
              </w:rPr>
              <w:t>Chief Executive Officer</w:t>
            </w:r>
          </w:p>
        </w:tc>
      </w:tr>
      <w:tr>
        <w:trPr>
          <w:trHeight w:val="203"/>
        </w:trPr>
        <w:tc>
          <w:tcPr>
            <w:tcW w:w="440" w:type="dxa"/>
            <w:vAlign w:val="bottom"/>
          </w:tcPr>
          <w:p>
            <w:pPr>
              <w:spacing w:after="0" w:line="202" w:lineRule="exact"/>
              <w:rPr>
                <w:sz w:val="20"/>
                <w:szCs w:val="20"/>
                <w:color w:val="auto"/>
              </w:rPr>
            </w:pPr>
            <w:r>
              <w:rPr>
                <w:rFonts w:ascii="Arial" w:cs="Arial" w:eastAsia="Arial" w:hAnsi="Arial"/>
                <w:sz w:val="18"/>
                <w:szCs w:val="18"/>
                <w:color w:val="auto"/>
              </w:rPr>
              <w:t>COB</w:t>
            </w:r>
          </w:p>
        </w:tc>
        <w:tc>
          <w:tcPr>
            <w:tcW w:w="24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  Chairman of the Board</w:t>
            </w:r>
          </w:p>
        </w:tc>
      </w:tr>
    </w:tbl>
    <w:p>
      <w:pPr>
        <w:ind w:left="320" w:right="8500" w:hanging="8"/>
        <w:spacing w:after="0" w:line="234" w:lineRule="auto"/>
        <w:tabs>
          <w:tab w:leader="none" w:pos="833" w:val="left"/>
        </w:tabs>
        <w:numPr>
          <w:ilvl w:val="0"/>
          <w:numId w:val="9"/>
        </w:numPr>
        <w:rPr>
          <w:rFonts w:ascii="Arial" w:cs="Arial" w:eastAsia="Arial" w:hAnsi="Arial"/>
          <w:sz w:val="18"/>
          <w:szCs w:val="18"/>
          <w:color w:val="auto"/>
        </w:rPr>
      </w:pPr>
      <w:r>
        <w:rPr>
          <w:rFonts w:ascii="Arial" w:cs="Arial" w:eastAsia="Arial" w:hAnsi="Arial"/>
          <w:sz w:val="18"/>
          <w:szCs w:val="18"/>
          <w:color w:val="auto"/>
        </w:rPr>
        <w:t>– Committee Chair M – Committee Member</w:t>
      </w:r>
    </w:p>
    <w:p>
      <w:pPr>
        <w:spacing w:after="0" w:line="1" w:lineRule="exact"/>
        <w:rPr>
          <w:sz w:val="20"/>
          <w:szCs w:val="20"/>
          <w:color w:val="auto"/>
        </w:rPr>
      </w:pPr>
    </w:p>
    <w:p>
      <w:pPr>
        <w:ind w:left="1060" w:right="220" w:hanging="748"/>
        <w:spacing w:after="0" w:line="234" w:lineRule="auto"/>
        <w:tabs>
          <w:tab w:leader="none" w:pos="8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 Mr. John C. Hockin was appointed to the Board of Directors in early-May 2020 after the end of the 2019 Fiscal Year. He was appointed to serve on Compensation and Finance Committees.</w:t>
      </w:r>
    </w:p>
    <w:p>
      <w:pPr>
        <w:spacing w:after="0" w:line="1" w:lineRule="exact"/>
        <w:rPr>
          <w:sz w:val="20"/>
          <w:szCs w:val="20"/>
          <w:color w:val="auto"/>
        </w:rPr>
      </w:pPr>
    </w:p>
    <w:p>
      <w:pPr>
        <w:ind w:left="1060" w:right="740" w:hanging="748"/>
        <w:spacing w:after="0" w:line="234" w:lineRule="auto"/>
        <w:tabs>
          <w:tab w:leader="none" w:pos="817" w:val="left"/>
        </w:tabs>
        <w:numPr>
          <w:ilvl w:val="0"/>
          <w:numId w:val="11"/>
        </w:numPr>
        <w:rPr>
          <w:rFonts w:ascii="Arial" w:cs="Arial" w:eastAsia="Arial" w:hAnsi="Arial"/>
          <w:sz w:val="18"/>
          <w:szCs w:val="18"/>
          <w:color w:val="auto"/>
        </w:rPr>
      </w:pPr>
      <w:r>
        <w:rPr>
          <w:rFonts w:ascii="Arial" w:cs="Arial" w:eastAsia="Arial" w:hAnsi="Arial"/>
          <w:sz w:val="18"/>
          <w:szCs w:val="18"/>
          <w:color w:val="auto"/>
        </w:rPr>
        <w:t>– Due to limited time commitments, Mr. Crawford has determined he will complete his current term and not stand for re-election.</w:t>
      </w:r>
    </w:p>
    <w:p>
      <w:pPr>
        <w:spacing w:after="0" w:line="1" w:lineRule="exact"/>
        <w:rPr>
          <w:rFonts w:ascii="Arial" w:cs="Arial" w:eastAsia="Arial" w:hAnsi="Arial"/>
          <w:sz w:val="18"/>
          <w:szCs w:val="18"/>
          <w:color w:val="auto"/>
        </w:rPr>
      </w:pPr>
    </w:p>
    <w:p>
      <w:pPr>
        <w:ind w:left="820" w:hanging="508"/>
        <w:spacing w:after="0" w:line="234"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As a non-independent member of the Board, Mr. Jenkins does not serve on any committees.</w:t>
      </w:r>
    </w:p>
    <w:p>
      <w:pPr>
        <w:ind w:left="820" w:hanging="508"/>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As the non-independent Chairman of the Board, Mr. King does not serve on any committees.</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4C4C4C"/>
        </w:rPr>
        <w:t>Board Skills and Core Competencies: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Board is comprised of directors who have a variety of skills and core competencies as noted in the chart*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20" w:hanging="313"/>
        <w:spacing w:after="0"/>
        <w:tabs>
          <w:tab w:leader="none" w:pos="6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Mr. Crawford is not included as he is leaving the Board at the end of his current term.</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spacing w:after="0"/>
        <w:tabs>
          <w:tab w:leader="none" w:pos="560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2</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207645</wp:posOffset>
            </wp:positionV>
            <wp:extent cx="6990715" cy="68446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0715" cy="684466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Board is also diverse in age, tenure and gender: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20" w:hanging="313"/>
        <w:spacing w:after="0"/>
        <w:tabs>
          <w:tab w:leader="none" w:pos="6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Mr. Crawford is not reflected as he is leaving the Board at the end of his current term.</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4C4C4C"/>
        </w:rPr>
        <w:t>Corporate Governance Highlights:</w:t>
      </w:r>
    </w:p>
    <w:p>
      <w:pPr>
        <w:spacing w:after="0" w:line="215" w:lineRule="exact"/>
        <w:rPr>
          <w:sz w:val="20"/>
          <w:szCs w:val="20"/>
          <w:color w:val="auto"/>
        </w:rPr>
      </w:pPr>
    </w:p>
    <w:p>
      <w:pPr>
        <w:jc w:val="both"/>
        <w:ind w:left="300" w:right="200"/>
        <w:spacing w:after="0"/>
        <w:rPr>
          <w:sz w:val="20"/>
          <w:szCs w:val="20"/>
          <w:color w:val="auto"/>
        </w:rPr>
      </w:pPr>
      <w:r>
        <w:rPr>
          <w:rFonts w:ascii="Arial" w:cs="Arial" w:eastAsia="Arial" w:hAnsi="Arial"/>
          <w:sz w:val="18"/>
          <w:szCs w:val="18"/>
          <w:color w:val="auto"/>
        </w:rPr>
        <w:t>Our Board of Directors and management are committed to maintaining strong corporate governance practices that promote and protect the long-term interests of our shareholders. Our practices are designed to provide effective oversight and management of our company as well as meet our regulatory and NASDAQ requirements, including the following:</w:t>
      </w:r>
    </w:p>
    <w:p>
      <w:pPr>
        <w:sectPr>
          <w:pgSz w:w="11900" w:h="16838" w:orient="portrait"/>
          <w:cols w:equalWidth="0" w:num="1">
            <w:col w:w="11140"/>
          </w:cols>
          <w:pgMar w:left="320" w:top="459" w:right="439" w:bottom="1440" w:gutter="0" w:footer="0" w:header="0"/>
        </w:sectPr>
      </w:pPr>
    </w:p>
    <w:p>
      <w:pPr>
        <w:spacing w:after="0" w:line="122" w:lineRule="exact"/>
        <w:rPr>
          <w:sz w:val="20"/>
          <w:szCs w:val="20"/>
          <w:color w:val="auto"/>
        </w:rPr>
      </w:pPr>
    </w:p>
    <w:p>
      <w:pPr>
        <w:ind w:left="720" w:hanging="332"/>
        <w:spacing w:after="0" w:line="246" w:lineRule="auto"/>
        <w:tabs>
          <w:tab w:leader="none" w:pos="72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Separate Chairman of the Board and Chief Executive Officer</w:t>
      </w:r>
    </w:p>
    <w:p>
      <w:pPr>
        <w:spacing w:after="0" w:line="61" w:lineRule="exact"/>
        <w:rPr>
          <w:rFonts w:ascii="MS PGothic" w:cs="MS PGothic" w:eastAsia="MS PGothic" w:hAnsi="MS PGothic"/>
          <w:sz w:val="18"/>
          <w:szCs w:val="18"/>
          <w:color w:val="auto"/>
        </w:rPr>
      </w:pPr>
    </w:p>
    <w:p>
      <w:pPr>
        <w:ind w:left="720" w:hanging="332"/>
        <w:spacing w:after="0"/>
        <w:tabs>
          <w:tab w:leader="none" w:pos="72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Lead Independent Director</w:t>
      </w:r>
    </w:p>
    <w:p>
      <w:pPr>
        <w:spacing w:after="0" w:line="90" w:lineRule="exact"/>
        <w:rPr>
          <w:rFonts w:ascii="MS PGothic" w:cs="MS PGothic" w:eastAsia="MS PGothic" w:hAnsi="MS PGothic"/>
          <w:sz w:val="18"/>
          <w:szCs w:val="18"/>
          <w:color w:val="auto"/>
        </w:rPr>
      </w:pPr>
    </w:p>
    <w:p>
      <w:pPr>
        <w:ind w:left="720" w:hanging="332"/>
        <w:spacing w:after="0" w:line="246" w:lineRule="auto"/>
        <w:tabs>
          <w:tab w:leader="none" w:pos="72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All Board Committees comprised of only Independent Directors</w:t>
      </w:r>
    </w:p>
    <w:p>
      <w:pPr>
        <w:spacing w:after="0" w:line="61" w:lineRule="exact"/>
        <w:rPr>
          <w:rFonts w:ascii="MS PGothic" w:cs="MS PGothic" w:eastAsia="MS PGothic" w:hAnsi="MS PGothic"/>
          <w:sz w:val="18"/>
          <w:szCs w:val="18"/>
          <w:color w:val="auto"/>
        </w:rPr>
      </w:pPr>
    </w:p>
    <w:p>
      <w:pPr>
        <w:ind w:left="720" w:hanging="332"/>
        <w:spacing w:after="0"/>
        <w:tabs>
          <w:tab w:leader="none" w:pos="72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Regular Executive Sessions of Independent Directors</w:t>
      </w:r>
    </w:p>
    <w:p>
      <w:pPr>
        <w:spacing w:after="0" w:line="90" w:lineRule="exact"/>
        <w:rPr>
          <w:rFonts w:ascii="MS PGothic" w:cs="MS PGothic" w:eastAsia="MS PGothic" w:hAnsi="MS PGothic"/>
          <w:sz w:val="18"/>
          <w:szCs w:val="18"/>
          <w:color w:val="auto"/>
        </w:rPr>
      </w:pPr>
    </w:p>
    <w:p>
      <w:pPr>
        <w:ind w:left="720" w:hanging="332"/>
        <w:spacing w:after="0"/>
        <w:tabs>
          <w:tab w:leader="none" w:pos="72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Diverse Board</w:t>
      </w:r>
    </w:p>
    <w:p>
      <w:pPr>
        <w:spacing w:after="0" w:line="90" w:lineRule="exact"/>
        <w:rPr>
          <w:rFonts w:ascii="MS PGothic" w:cs="MS PGothic" w:eastAsia="MS PGothic" w:hAnsi="MS PGothic"/>
          <w:sz w:val="18"/>
          <w:szCs w:val="18"/>
          <w:color w:val="auto"/>
        </w:rPr>
      </w:pPr>
    </w:p>
    <w:p>
      <w:pPr>
        <w:ind w:left="720" w:hanging="332"/>
        <w:spacing w:after="0"/>
        <w:tabs>
          <w:tab w:leader="none" w:pos="72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Commitment to Board Refreshment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329" w:hanging="329"/>
        <w:spacing w:after="0"/>
        <w:tabs>
          <w:tab w:leader="none" w:pos="329"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Annual Director Elections</w:t>
      </w:r>
    </w:p>
    <w:p>
      <w:pPr>
        <w:spacing w:after="0" w:line="90" w:lineRule="exact"/>
        <w:rPr>
          <w:rFonts w:ascii="MS PGothic" w:cs="MS PGothic" w:eastAsia="MS PGothic" w:hAnsi="MS PGothic"/>
          <w:sz w:val="18"/>
          <w:szCs w:val="18"/>
          <w:color w:val="auto"/>
        </w:rPr>
      </w:pPr>
    </w:p>
    <w:p>
      <w:pPr>
        <w:ind w:left="329" w:hanging="329"/>
        <w:spacing w:after="0"/>
        <w:tabs>
          <w:tab w:leader="none" w:pos="329" w:val="left"/>
        </w:tabs>
        <w:numPr>
          <w:ilvl w:val="0"/>
          <w:numId w:val="17"/>
        </w:numPr>
        <w:rPr>
          <w:rFonts w:ascii="MS PGothic" w:cs="MS PGothic" w:eastAsia="MS PGothic" w:hAnsi="MS PGothic"/>
          <w:sz w:val="17"/>
          <w:szCs w:val="17"/>
          <w:color w:val="auto"/>
        </w:rPr>
      </w:pPr>
      <w:r>
        <w:rPr>
          <w:rFonts w:ascii="Arial" w:cs="Arial" w:eastAsia="Arial" w:hAnsi="Arial"/>
          <w:sz w:val="17"/>
          <w:szCs w:val="17"/>
          <w:color w:val="auto"/>
        </w:rPr>
        <w:t>Majority Voting in Uncontested Director Elections</w:t>
      </w:r>
    </w:p>
    <w:p>
      <w:pPr>
        <w:spacing w:after="0" w:line="101" w:lineRule="exact"/>
        <w:rPr>
          <w:rFonts w:ascii="MS PGothic" w:cs="MS PGothic" w:eastAsia="MS PGothic" w:hAnsi="MS PGothic"/>
          <w:sz w:val="17"/>
          <w:szCs w:val="17"/>
          <w:color w:val="auto"/>
        </w:rPr>
      </w:pPr>
    </w:p>
    <w:p>
      <w:pPr>
        <w:ind w:left="329" w:hanging="329"/>
        <w:spacing w:after="0"/>
        <w:tabs>
          <w:tab w:leader="none" w:pos="329"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Director Share Ownership Requirements</w:t>
      </w:r>
    </w:p>
    <w:p>
      <w:pPr>
        <w:spacing w:after="0" w:line="90" w:lineRule="exact"/>
        <w:rPr>
          <w:rFonts w:ascii="MS PGothic" w:cs="MS PGothic" w:eastAsia="MS PGothic" w:hAnsi="MS PGothic"/>
          <w:sz w:val="18"/>
          <w:szCs w:val="18"/>
          <w:color w:val="auto"/>
        </w:rPr>
      </w:pPr>
    </w:p>
    <w:p>
      <w:pPr>
        <w:ind w:left="329" w:hanging="329"/>
        <w:spacing w:after="0"/>
        <w:tabs>
          <w:tab w:leader="none" w:pos="329"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Strong Director Attendance Record</w:t>
      </w:r>
    </w:p>
    <w:p>
      <w:pPr>
        <w:spacing w:after="0" w:line="90" w:lineRule="exact"/>
        <w:rPr>
          <w:rFonts w:ascii="MS PGothic" w:cs="MS PGothic" w:eastAsia="MS PGothic" w:hAnsi="MS PGothic"/>
          <w:sz w:val="18"/>
          <w:szCs w:val="18"/>
          <w:color w:val="auto"/>
        </w:rPr>
      </w:pPr>
    </w:p>
    <w:p>
      <w:pPr>
        <w:ind w:left="329" w:hanging="329"/>
        <w:spacing w:after="0"/>
        <w:tabs>
          <w:tab w:leader="none" w:pos="329"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Director Overboarding Policy</w:t>
      </w:r>
    </w:p>
    <w:p>
      <w:pPr>
        <w:spacing w:after="0" w:line="90" w:lineRule="exact"/>
        <w:rPr>
          <w:rFonts w:ascii="MS PGothic" w:cs="MS PGothic" w:eastAsia="MS PGothic" w:hAnsi="MS PGothic"/>
          <w:sz w:val="18"/>
          <w:szCs w:val="18"/>
          <w:color w:val="auto"/>
        </w:rPr>
      </w:pPr>
    </w:p>
    <w:p>
      <w:pPr>
        <w:ind w:left="329" w:hanging="329"/>
        <w:spacing w:after="0"/>
        <w:tabs>
          <w:tab w:leader="none" w:pos="329"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Mandatory Director Retirement Age</w:t>
      </w:r>
    </w:p>
    <w:p>
      <w:pPr>
        <w:spacing w:after="0" w:line="90" w:lineRule="exact"/>
        <w:rPr>
          <w:rFonts w:ascii="MS PGothic" w:cs="MS PGothic" w:eastAsia="MS PGothic" w:hAnsi="MS PGothic"/>
          <w:sz w:val="18"/>
          <w:szCs w:val="18"/>
          <w:color w:val="auto"/>
        </w:rPr>
      </w:pPr>
    </w:p>
    <w:p>
      <w:pPr>
        <w:ind w:left="329" w:hanging="329"/>
        <w:spacing w:after="0"/>
        <w:tabs>
          <w:tab w:leader="none" w:pos="329"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Annual Board and Committee Evaluations</w:t>
      </w:r>
    </w:p>
    <w:p>
      <w:pPr>
        <w:spacing w:after="0" w:line="90" w:lineRule="exact"/>
        <w:rPr>
          <w:rFonts w:ascii="MS PGothic" w:cs="MS PGothic" w:eastAsia="MS PGothic" w:hAnsi="MS PGothic"/>
          <w:sz w:val="18"/>
          <w:szCs w:val="18"/>
          <w:color w:val="auto"/>
        </w:rPr>
      </w:pPr>
    </w:p>
    <w:p>
      <w:pPr>
        <w:ind w:left="329" w:hanging="329"/>
        <w:spacing w:after="0"/>
        <w:tabs>
          <w:tab w:leader="none" w:pos="329"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Continued Engagement with Our Shareholders</w:t>
      </w:r>
    </w:p>
    <w:p>
      <w:pPr>
        <w:spacing w:after="0" w:line="200" w:lineRule="exact"/>
        <w:rPr>
          <w:sz w:val="20"/>
          <w:szCs w:val="20"/>
          <w:color w:val="auto"/>
        </w:rPr>
      </w:pPr>
    </w:p>
    <w:p>
      <w:pPr>
        <w:sectPr>
          <w:pgSz w:w="11900" w:h="16838" w:orient="portrait"/>
          <w:cols w:equalWidth="0" w:num="2">
            <w:col w:w="5400" w:space="411"/>
            <w:col w:w="5329"/>
          </w:cols>
          <w:pgMar w:left="320" w:top="459" w:right="439" w:bottom="1440" w:gutter="0" w:footer="0" w:header="0"/>
          <w:type w:val="continuous"/>
        </w:sectPr>
      </w:pPr>
    </w:p>
    <w:p>
      <w:pPr>
        <w:spacing w:after="0" w:line="157"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4C4C4C"/>
        </w:rPr>
        <w:t>Fiscal 2019 Business Performance Highlights:</w:t>
      </w:r>
    </w:p>
    <w:p>
      <w:pPr>
        <w:spacing w:after="0" w:line="269" w:lineRule="exact"/>
        <w:rPr>
          <w:sz w:val="20"/>
          <w:szCs w:val="20"/>
          <w:color w:val="auto"/>
        </w:rPr>
      </w:pPr>
    </w:p>
    <w:p>
      <w:pPr>
        <w:ind w:left="700" w:hanging="298"/>
        <w:spacing w:after="0"/>
        <w:tabs>
          <w:tab w:leader="none" w:pos="700" w:val="left"/>
        </w:tabs>
        <w:numPr>
          <w:ilvl w:val="0"/>
          <w:numId w:val="18"/>
        </w:numPr>
        <w:rPr>
          <w:rFonts w:ascii="Arial" w:cs="Arial" w:eastAsia="Arial" w:hAnsi="Arial"/>
          <w:sz w:val="18"/>
          <w:szCs w:val="18"/>
          <w:color w:val="003B71"/>
        </w:rPr>
      </w:pPr>
      <w:r>
        <w:rPr>
          <w:rFonts w:ascii="Arial" w:cs="Arial" w:eastAsia="Arial" w:hAnsi="Arial"/>
          <w:sz w:val="18"/>
          <w:szCs w:val="18"/>
          <w:color w:val="auto"/>
        </w:rPr>
        <w:t>Total revenues increased 7.1% to $1,355 million from $1,265 million in fiscal 2018.</w:t>
      </w:r>
    </w:p>
    <w:p>
      <w:pPr>
        <w:spacing w:after="0" w:line="76" w:lineRule="exact"/>
        <w:rPr>
          <w:rFonts w:ascii="Arial" w:cs="Arial" w:eastAsia="Arial" w:hAnsi="Arial"/>
          <w:sz w:val="18"/>
          <w:szCs w:val="18"/>
          <w:color w:val="003B71"/>
        </w:rPr>
      </w:pPr>
    </w:p>
    <w:p>
      <w:pPr>
        <w:ind w:left="700" w:hanging="298"/>
        <w:spacing w:after="0"/>
        <w:tabs>
          <w:tab w:leader="none" w:pos="700" w:val="left"/>
        </w:tabs>
        <w:numPr>
          <w:ilvl w:val="0"/>
          <w:numId w:val="18"/>
        </w:numPr>
        <w:rPr>
          <w:rFonts w:ascii="Arial" w:cs="Arial" w:eastAsia="Arial" w:hAnsi="Arial"/>
          <w:sz w:val="18"/>
          <w:szCs w:val="18"/>
          <w:color w:val="003B71"/>
        </w:rPr>
      </w:pPr>
      <w:r>
        <w:rPr>
          <w:rFonts w:ascii="Arial" w:cs="Arial" w:eastAsia="Arial" w:hAnsi="Arial"/>
          <w:sz w:val="18"/>
          <w:szCs w:val="18"/>
          <w:color w:val="auto"/>
        </w:rPr>
        <w:t>Number of stores increased 12.4% to 136 from 121.</w:t>
      </w:r>
    </w:p>
    <w:p>
      <w:pPr>
        <w:spacing w:after="0" w:line="76" w:lineRule="exact"/>
        <w:rPr>
          <w:rFonts w:ascii="Arial" w:cs="Arial" w:eastAsia="Arial" w:hAnsi="Arial"/>
          <w:sz w:val="18"/>
          <w:szCs w:val="18"/>
          <w:color w:val="003B71"/>
        </w:rPr>
      </w:pPr>
    </w:p>
    <w:p>
      <w:pPr>
        <w:ind w:left="700" w:hanging="298"/>
        <w:spacing w:after="0"/>
        <w:tabs>
          <w:tab w:leader="none" w:pos="700" w:val="left"/>
        </w:tabs>
        <w:numPr>
          <w:ilvl w:val="0"/>
          <w:numId w:val="18"/>
        </w:numPr>
        <w:rPr>
          <w:rFonts w:ascii="Arial" w:cs="Arial" w:eastAsia="Arial" w:hAnsi="Arial"/>
          <w:sz w:val="18"/>
          <w:szCs w:val="18"/>
          <w:color w:val="003B71"/>
        </w:rPr>
      </w:pPr>
      <w:r>
        <w:rPr>
          <w:rFonts w:ascii="Arial" w:cs="Arial" w:eastAsia="Arial" w:hAnsi="Arial"/>
          <w:sz w:val="18"/>
          <w:szCs w:val="18"/>
          <w:color w:val="auto"/>
        </w:rPr>
        <w:t>Comparable store sales decreased 2.6%.</w:t>
      </w:r>
    </w:p>
    <w:p>
      <w:pPr>
        <w:spacing w:after="0" w:line="76" w:lineRule="exact"/>
        <w:rPr>
          <w:rFonts w:ascii="Arial" w:cs="Arial" w:eastAsia="Arial" w:hAnsi="Arial"/>
          <w:sz w:val="18"/>
          <w:szCs w:val="18"/>
          <w:color w:val="003B71"/>
        </w:rPr>
      </w:pPr>
    </w:p>
    <w:p>
      <w:pPr>
        <w:ind w:left="700" w:hanging="298"/>
        <w:spacing w:after="0"/>
        <w:tabs>
          <w:tab w:leader="none" w:pos="700" w:val="left"/>
        </w:tabs>
        <w:numPr>
          <w:ilvl w:val="0"/>
          <w:numId w:val="18"/>
        </w:numPr>
        <w:rPr>
          <w:rFonts w:ascii="Arial" w:cs="Arial" w:eastAsia="Arial" w:hAnsi="Arial"/>
          <w:sz w:val="18"/>
          <w:szCs w:val="18"/>
          <w:color w:val="003B71"/>
        </w:rPr>
      </w:pPr>
      <w:r>
        <w:rPr>
          <w:rFonts w:ascii="Arial" w:cs="Arial" w:eastAsia="Arial" w:hAnsi="Arial"/>
          <w:sz w:val="18"/>
          <w:szCs w:val="18"/>
          <w:color w:val="auto"/>
        </w:rPr>
        <w:t>Net income of $100.3 million vs. $117.2 million in fiscal 2018.</w:t>
      </w:r>
    </w:p>
    <w:p>
      <w:pPr>
        <w:spacing w:after="0" w:line="76" w:lineRule="exact"/>
        <w:rPr>
          <w:rFonts w:ascii="Arial" w:cs="Arial" w:eastAsia="Arial" w:hAnsi="Arial"/>
          <w:sz w:val="18"/>
          <w:szCs w:val="18"/>
          <w:color w:val="003B71"/>
        </w:rPr>
      </w:pPr>
    </w:p>
    <w:p>
      <w:pPr>
        <w:ind w:left="700" w:hanging="298"/>
        <w:spacing w:after="0"/>
        <w:tabs>
          <w:tab w:leader="none" w:pos="700" w:val="left"/>
        </w:tabs>
        <w:numPr>
          <w:ilvl w:val="0"/>
          <w:numId w:val="18"/>
        </w:numPr>
        <w:rPr>
          <w:rFonts w:ascii="Arial" w:cs="Arial" w:eastAsia="Arial" w:hAnsi="Arial"/>
          <w:sz w:val="18"/>
          <w:szCs w:val="18"/>
          <w:color w:val="003B71"/>
        </w:rPr>
      </w:pPr>
      <w:r>
        <w:rPr>
          <w:rFonts w:ascii="Arial" w:cs="Arial" w:eastAsia="Arial" w:hAnsi="Arial"/>
          <w:sz w:val="18"/>
          <w:szCs w:val="18"/>
          <w:color w:val="auto"/>
        </w:rPr>
        <w:t>Earnings per share increased to $2.94 per diluted share from $2.93 per diluted share in fiscal 2018.</w:t>
      </w:r>
    </w:p>
    <w:p>
      <w:pPr>
        <w:spacing w:after="0" w:line="76" w:lineRule="exact"/>
        <w:rPr>
          <w:rFonts w:ascii="Arial" w:cs="Arial" w:eastAsia="Arial" w:hAnsi="Arial"/>
          <w:sz w:val="18"/>
          <w:szCs w:val="18"/>
          <w:color w:val="003B71"/>
        </w:rPr>
      </w:pPr>
    </w:p>
    <w:p>
      <w:pPr>
        <w:ind w:left="700" w:hanging="298"/>
        <w:spacing w:after="0"/>
        <w:tabs>
          <w:tab w:leader="none" w:pos="700" w:val="left"/>
        </w:tabs>
        <w:numPr>
          <w:ilvl w:val="0"/>
          <w:numId w:val="18"/>
        </w:numPr>
        <w:rPr>
          <w:rFonts w:ascii="Arial" w:cs="Arial" w:eastAsia="Arial" w:hAnsi="Arial"/>
          <w:sz w:val="18"/>
          <w:szCs w:val="18"/>
          <w:color w:val="003B71"/>
        </w:rPr>
      </w:pPr>
      <w:r>
        <w:rPr>
          <w:rFonts w:ascii="Arial" w:cs="Arial" w:eastAsia="Arial" w:hAnsi="Arial"/>
          <w:sz w:val="18"/>
          <w:szCs w:val="18"/>
          <w:color w:val="auto"/>
        </w:rPr>
        <w:t>EBITDA increased less than 1.0% to $280.5 million from $279.3 million in fiscal 2018.</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spacing w:after="0"/>
        <w:tabs>
          <w:tab w:leader="none" w:pos="560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3</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207645</wp:posOffset>
            </wp:positionV>
            <wp:extent cx="6990715" cy="65449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0715" cy="65449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4C4C4C"/>
        </w:rPr>
        <w:t>Fiscal 2019 Executive Compensation Highlights and Key Practices:</w:t>
      </w:r>
    </w:p>
    <w:p>
      <w:pPr>
        <w:spacing w:after="0" w:line="255" w:lineRule="exact"/>
        <w:rPr>
          <w:sz w:val="20"/>
          <w:szCs w:val="20"/>
          <w:color w:val="auto"/>
        </w:rPr>
      </w:pPr>
    </w:p>
    <w:p>
      <w:pPr>
        <w:ind w:left="700" w:right="200" w:hanging="298"/>
        <w:spacing w:after="0" w:line="246" w:lineRule="auto"/>
        <w:tabs>
          <w:tab w:leader="none" w:pos="700" w:val="left"/>
        </w:tabs>
        <w:numPr>
          <w:ilvl w:val="0"/>
          <w:numId w:val="19"/>
        </w:numPr>
        <w:rPr>
          <w:rFonts w:ascii="Arial" w:cs="Arial" w:eastAsia="Arial" w:hAnsi="Arial"/>
          <w:sz w:val="18"/>
          <w:szCs w:val="18"/>
          <w:color w:val="003B71"/>
        </w:rPr>
      </w:pPr>
      <w:r>
        <w:rPr>
          <w:rFonts w:ascii="Arial" w:cs="Arial" w:eastAsia="Arial" w:hAnsi="Arial"/>
          <w:sz w:val="18"/>
          <w:szCs w:val="18"/>
          <w:color w:val="auto"/>
        </w:rPr>
        <w:t>The Compensation Committee conducted its on-going review of executive compensation programs, in partnership with its independent compensation consultants AON Consulting and FW Cook during each consultant’s tenure in fiscal 2019.</w:t>
      </w:r>
    </w:p>
    <w:p>
      <w:pPr>
        <w:spacing w:after="0" w:line="61" w:lineRule="exact"/>
        <w:rPr>
          <w:rFonts w:ascii="Arial" w:cs="Arial" w:eastAsia="Arial" w:hAnsi="Arial"/>
          <w:sz w:val="18"/>
          <w:szCs w:val="18"/>
          <w:color w:val="003B71"/>
        </w:rPr>
      </w:pPr>
    </w:p>
    <w:p>
      <w:pPr>
        <w:ind w:left="700" w:right="220" w:hanging="298"/>
        <w:spacing w:after="0" w:line="246" w:lineRule="auto"/>
        <w:tabs>
          <w:tab w:leader="none" w:pos="700" w:val="left"/>
        </w:tabs>
        <w:numPr>
          <w:ilvl w:val="0"/>
          <w:numId w:val="19"/>
        </w:numPr>
        <w:rPr>
          <w:rFonts w:ascii="Arial" w:cs="Arial" w:eastAsia="Arial" w:hAnsi="Arial"/>
          <w:sz w:val="18"/>
          <w:szCs w:val="18"/>
          <w:color w:val="003B71"/>
        </w:rPr>
      </w:pPr>
      <w:r>
        <w:rPr>
          <w:rFonts w:ascii="Arial" w:cs="Arial" w:eastAsia="Arial" w:hAnsi="Arial"/>
          <w:sz w:val="18"/>
          <w:szCs w:val="18"/>
          <w:color w:val="auto"/>
        </w:rPr>
        <w:t>The Compensation Committee conducted a review of its compensation consultant and selected FW Cook to succeed AON Consulting as its independent compensation consultant in September 2019.</w:t>
      </w:r>
    </w:p>
    <w:p>
      <w:pPr>
        <w:spacing w:after="0" w:line="61" w:lineRule="exact"/>
        <w:rPr>
          <w:rFonts w:ascii="Arial" w:cs="Arial" w:eastAsia="Arial" w:hAnsi="Arial"/>
          <w:sz w:val="18"/>
          <w:szCs w:val="18"/>
          <w:color w:val="003B71"/>
        </w:rPr>
      </w:pPr>
    </w:p>
    <w:p>
      <w:pPr>
        <w:ind w:left="700" w:hanging="298"/>
        <w:spacing w:after="0"/>
        <w:tabs>
          <w:tab w:leader="none" w:pos="700" w:val="left"/>
        </w:tabs>
        <w:numPr>
          <w:ilvl w:val="0"/>
          <w:numId w:val="19"/>
        </w:numPr>
        <w:rPr>
          <w:rFonts w:ascii="Arial" w:cs="Arial" w:eastAsia="Arial" w:hAnsi="Arial"/>
          <w:sz w:val="18"/>
          <w:szCs w:val="18"/>
          <w:color w:val="003B71"/>
        </w:rPr>
      </w:pPr>
      <w:r>
        <w:rPr>
          <w:rFonts w:ascii="Arial" w:cs="Arial" w:eastAsia="Arial" w:hAnsi="Arial"/>
          <w:sz w:val="18"/>
          <w:szCs w:val="18"/>
          <w:color w:val="auto"/>
        </w:rPr>
        <w:t>There were no material changes to executive compensation philosophies or practices in fiscal 2019 from the prior fiscal year.</w:t>
      </w:r>
    </w:p>
    <w:p>
      <w:pPr>
        <w:spacing w:after="0" w:line="76" w:lineRule="exact"/>
        <w:rPr>
          <w:rFonts w:ascii="Arial" w:cs="Arial" w:eastAsia="Arial" w:hAnsi="Arial"/>
          <w:sz w:val="18"/>
          <w:szCs w:val="18"/>
          <w:color w:val="003B71"/>
        </w:rPr>
      </w:pPr>
    </w:p>
    <w:p>
      <w:pPr>
        <w:ind w:left="700" w:right="220" w:hanging="298"/>
        <w:spacing w:after="0" w:line="246" w:lineRule="auto"/>
        <w:tabs>
          <w:tab w:leader="none" w:pos="700" w:val="left"/>
        </w:tabs>
        <w:numPr>
          <w:ilvl w:val="0"/>
          <w:numId w:val="19"/>
        </w:numPr>
        <w:rPr>
          <w:rFonts w:ascii="Arial" w:cs="Arial" w:eastAsia="Arial" w:hAnsi="Arial"/>
          <w:sz w:val="18"/>
          <w:szCs w:val="18"/>
          <w:color w:val="003B71"/>
        </w:rPr>
      </w:pPr>
      <w:r>
        <w:rPr>
          <w:rFonts w:ascii="Arial" w:cs="Arial" w:eastAsia="Arial" w:hAnsi="Arial"/>
          <w:sz w:val="18"/>
          <w:szCs w:val="18"/>
          <w:color w:val="auto"/>
        </w:rPr>
        <w:t>Payments to our executive officers under the annual Executive Incentive Plan were an average of 53.1% of target, based on results achieved in fiscal 2019.</w:t>
      </w:r>
    </w:p>
    <w:p>
      <w:pPr>
        <w:spacing w:after="0" w:line="61" w:lineRule="exact"/>
        <w:rPr>
          <w:rFonts w:ascii="Arial" w:cs="Arial" w:eastAsia="Arial" w:hAnsi="Arial"/>
          <w:sz w:val="18"/>
          <w:szCs w:val="18"/>
          <w:color w:val="003B71"/>
        </w:rPr>
      </w:pPr>
    </w:p>
    <w:p>
      <w:pPr>
        <w:ind w:left="700" w:right="220" w:hanging="298"/>
        <w:spacing w:after="0" w:line="246" w:lineRule="auto"/>
        <w:tabs>
          <w:tab w:leader="none" w:pos="700" w:val="left"/>
        </w:tabs>
        <w:numPr>
          <w:ilvl w:val="0"/>
          <w:numId w:val="19"/>
        </w:numPr>
        <w:rPr>
          <w:rFonts w:ascii="Arial" w:cs="Arial" w:eastAsia="Arial" w:hAnsi="Arial"/>
          <w:sz w:val="18"/>
          <w:szCs w:val="18"/>
          <w:color w:val="003B71"/>
        </w:rPr>
      </w:pPr>
      <w:r>
        <w:rPr>
          <w:rFonts w:ascii="Arial" w:cs="Arial" w:eastAsia="Arial" w:hAnsi="Arial"/>
          <w:sz w:val="18"/>
          <w:szCs w:val="18"/>
          <w:color w:val="auto"/>
        </w:rPr>
        <w:t>Payouts to all executive officers under the Long Term Incentive Plan for the fiscal 2017 grant were combined payout of 113% of target, based on cumulative results achieved during fiscal 2017, 2018, and 2019.</w:t>
      </w:r>
    </w:p>
    <w:p>
      <w:pPr>
        <w:spacing w:after="0" w:line="61" w:lineRule="exact"/>
        <w:rPr>
          <w:rFonts w:ascii="Arial" w:cs="Arial" w:eastAsia="Arial" w:hAnsi="Arial"/>
          <w:sz w:val="18"/>
          <w:szCs w:val="18"/>
          <w:color w:val="003B71"/>
        </w:rPr>
      </w:pPr>
    </w:p>
    <w:p>
      <w:pPr>
        <w:ind w:left="700" w:hanging="298"/>
        <w:spacing w:after="0"/>
        <w:tabs>
          <w:tab w:leader="none" w:pos="700" w:val="left"/>
        </w:tabs>
        <w:numPr>
          <w:ilvl w:val="0"/>
          <w:numId w:val="19"/>
        </w:numPr>
        <w:rPr>
          <w:rFonts w:ascii="Arial" w:cs="Arial" w:eastAsia="Arial" w:hAnsi="Arial"/>
          <w:sz w:val="18"/>
          <w:szCs w:val="18"/>
          <w:color w:val="003B71"/>
        </w:rPr>
      </w:pPr>
      <w:r>
        <w:rPr>
          <w:rFonts w:ascii="Arial" w:cs="Arial" w:eastAsia="Arial" w:hAnsi="Arial"/>
          <w:sz w:val="18"/>
          <w:szCs w:val="18"/>
          <w:color w:val="auto"/>
        </w:rPr>
        <w:t>All named executive officers met the stock ownership guidelines for executive officers at the end of fiscal 2019.</w:t>
      </w:r>
    </w:p>
    <w:p>
      <w:pPr>
        <w:spacing w:after="0" w:line="76" w:lineRule="exact"/>
        <w:rPr>
          <w:rFonts w:ascii="Arial" w:cs="Arial" w:eastAsia="Arial" w:hAnsi="Arial"/>
          <w:sz w:val="18"/>
          <w:szCs w:val="18"/>
          <w:color w:val="003B71"/>
        </w:rPr>
      </w:pPr>
    </w:p>
    <w:p>
      <w:pPr>
        <w:ind w:left="700" w:right="200" w:hanging="298"/>
        <w:spacing w:after="0" w:line="246" w:lineRule="auto"/>
        <w:tabs>
          <w:tab w:leader="none" w:pos="700" w:val="left"/>
        </w:tabs>
        <w:numPr>
          <w:ilvl w:val="0"/>
          <w:numId w:val="19"/>
        </w:numPr>
        <w:rPr>
          <w:rFonts w:ascii="Arial" w:cs="Arial" w:eastAsia="Arial" w:hAnsi="Arial"/>
          <w:sz w:val="18"/>
          <w:szCs w:val="18"/>
          <w:color w:val="003B71"/>
        </w:rPr>
      </w:pPr>
      <w:r>
        <w:rPr>
          <w:rFonts w:ascii="Arial" w:cs="Arial" w:eastAsia="Arial" w:hAnsi="Arial"/>
          <w:sz w:val="18"/>
          <w:szCs w:val="18"/>
          <w:color w:val="auto"/>
        </w:rPr>
        <w:t>The Compensation Committee reviewed the compensation programs for fiscal 2020 and, in response to the COVID-19 pandemic, made the following changes in fiscal 2019 compensation payouts and fiscal 2020 compensation programs:</w:t>
      </w:r>
    </w:p>
    <w:p>
      <w:pPr>
        <w:spacing w:after="0" w:line="61" w:lineRule="exact"/>
        <w:rPr>
          <w:rFonts w:ascii="Arial" w:cs="Arial" w:eastAsia="Arial" w:hAnsi="Arial"/>
          <w:sz w:val="18"/>
          <w:szCs w:val="18"/>
          <w:color w:val="003B71"/>
        </w:rPr>
      </w:pPr>
    </w:p>
    <w:p>
      <w:pPr>
        <w:ind w:left="1140" w:hanging="414"/>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Cash payouts on 2019 Executive Incentive Plan were delayed and payment will be in awards of stock rather than cash.</w:t>
      </w:r>
    </w:p>
    <w:p>
      <w:pPr>
        <w:spacing w:after="0" w:line="76" w:lineRule="exact"/>
        <w:rPr>
          <w:rFonts w:ascii="Arial" w:cs="Arial" w:eastAsia="Arial" w:hAnsi="Arial"/>
          <w:sz w:val="18"/>
          <w:szCs w:val="18"/>
          <w:color w:val="auto"/>
        </w:rPr>
      </w:pPr>
    </w:p>
    <w:p>
      <w:pPr>
        <w:ind w:left="1140" w:right="220" w:hanging="414"/>
        <w:spacing w:after="0" w:line="246"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Temporary base salary reductions of 50% for CEO and all Senior Vice Presidents reporting to the CEO, including all named executive officers.</w:t>
      </w:r>
    </w:p>
    <w:p>
      <w:pPr>
        <w:spacing w:after="0" w:line="61" w:lineRule="exact"/>
        <w:rPr>
          <w:rFonts w:ascii="Arial" w:cs="Arial" w:eastAsia="Arial" w:hAnsi="Arial"/>
          <w:sz w:val="18"/>
          <w:szCs w:val="18"/>
          <w:color w:val="auto"/>
        </w:rPr>
      </w:pPr>
    </w:p>
    <w:p>
      <w:pPr>
        <w:ind w:left="1140" w:hanging="414"/>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Suspension of cash payments to all members of the Board of Directors for the last three quarters of 2020.</w:t>
      </w:r>
    </w:p>
    <w:p>
      <w:pPr>
        <w:spacing w:after="0" w:line="76" w:lineRule="exact"/>
        <w:rPr>
          <w:rFonts w:ascii="Arial" w:cs="Arial" w:eastAsia="Arial" w:hAnsi="Arial"/>
          <w:sz w:val="18"/>
          <w:szCs w:val="18"/>
          <w:color w:val="auto"/>
        </w:rPr>
      </w:pPr>
    </w:p>
    <w:p>
      <w:pPr>
        <w:ind w:left="1140" w:hanging="414"/>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Indefinite delay of any merit-based increases in salaries for fiscal 2020.</w:t>
      </w:r>
    </w:p>
    <w:p>
      <w:pPr>
        <w:spacing w:after="0" w:line="76" w:lineRule="exact"/>
        <w:rPr>
          <w:rFonts w:ascii="Arial" w:cs="Arial" w:eastAsia="Arial" w:hAnsi="Arial"/>
          <w:sz w:val="18"/>
          <w:szCs w:val="18"/>
          <w:color w:val="auto"/>
        </w:rPr>
      </w:pPr>
    </w:p>
    <w:p>
      <w:pPr>
        <w:ind w:left="1140" w:hanging="414"/>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Suspension of short- and long-term bonus plan for fiscal 2020.</w:t>
      </w:r>
    </w:p>
    <w:p>
      <w:pPr>
        <w:spacing w:after="0" w:line="76" w:lineRule="exact"/>
        <w:rPr>
          <w:rFonts w:ascii="Arial" w:cs="Arial" w:eastAsia="Arial" w:hAnsi="Arial"/>
          <w:sz w:val="18"/>
          <w:szCs w:val="18"/>
          <w:color w:val="auto"/>
        </w:rPr>
      </w:pPr>
    </w:p>
    <w:p>
      <w:pPr>
        <w:ind w:left="1140" w:right="220" w:hanging="414"/>
        <w:spacing w:after="0" w:line="246"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Adoption of 2020 Business Recovery and Transformation Plan utilizing grants of Restricted Stock Units and performance-based Market Stock Units as more fully described in Section “COVID-19 Pandemic Action Plan” on page 43.</w:t>
      </w:r>
    </w:p>
    <w:p>
      <w:pPr>
        <w:spacing w:after="0" w:line="61" w:lineRule="exact"/>
        <w:rPr>
          <w:rFonts w:ascii="Arial" w:cs="Arial" w:eastAsia="Arial" w:hAnsi="Arial"/>
          <w:sz w:val="18"/>
          <w:szCs w:val="18"/>
          <w:color w:val="auto"/>
        </w:rPr>
      </w:pPr>
    </w:p>
    <w:p>
      <w:pPr>
        <w:ind w:left="1140" w:hanging="414"/>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Subject to shareholder approval, amendment of 2014 Omnibus Incentive Plan to increase available shares by 3.0 million.</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4C4C4C"/>
        </w:rPr>
        <w:t>COVID-19 Pandemic Responses:</w:t>
      </w:r>
    </w:p>
    <w:p>
      <w:pPr>
        <w:spacing w:after="0" w:line="269" w:lineRule="exact"/>
        <w:rPr>
          <w:sz w:val="20"/>
          <w:szCs w:val="20"/>
          <w:color w:val="auto"/>
        </w:rPr>
      </w:pPr>
    </w:p>
    <w:p>
      <w:pPr>
        <w:ind w:left="700" w:hanging="298"/>
        <w:spacing w:after="0"/>
        <w:tabs>
          <w:tab w:leader="none" w:pos="700" w:val="left"/>
        </w:tabs>
        <w:numPr>
          <w:ilvl w:val="0"/>
          <w:numId w:val="20"/>
        </w:numPr>
        <w:rPr>
          <w:rFonts w:ascii="Arial" w:cs="Arial" w:eastAsia="Arial" w:hAnsi="Arial"/>
          <w:sz w:val="18"/>
          <w:szCs w:val="18"/>
          <w:color w:val="003B71"/>
        </w:rPr>
      </w:pPr>
      <w:r>
        <w:rPr>
          <w:rFonts w:ascii="Arial" w:cs="Arial" w:eastAsia="Arial" w:hAnsi="Arial"/>
          <w:sz w:val="18"/>
          <w:szCs w:val="18"/>
          <w:color w:val="auto"/>
        </w:rPr>
        <w:t>Temporarily closed all stores as of March 20, 2020.</w:t>
      </w:r>
    </w:p>
    <w:p>
      <w:pPr>
        <w:spacing w:after="0" w:line="76" w:lineRule="exact"/>
        <w:rPr>
          <w:rFonts w:ascii="Arial" w:cs="Arial" w:eastAsia="Arial" w:hAnsi="Arial"/>
          <w:sz w:val="18"/>
          <w:szCs w:val="18"/>
          <w:color w:val="003B71"/>
        </w:rPr>
      </w:pPr>
    </w:p>
    <w:p>
      <w:pPr>
        <w:ind w:left="700" w:right="200" w:hanging="298"/>
        <w:spacing w:after="0" w:line="246" w:lineRule="auto"/>
        <w:tabs>
          <w:tab w:leader="none" w:pos="700" w:val="left"/>
        </w:tabs>
        <w:numPr>
          <w:ilvl w:val="0"/>
          <w:numId w:val="20"/>
        </w:numPr>
        <w:rPr>
          <w:rFonts w:ascii="Arial" w:cs="Arial" w:eastAsia="Arial" w:hAnsi="Arial"/>
          <w:sz w:val="18"/>
          <w:szCs w:val="18"/>
          <w:color w:val="003B71"/>
        </w:rPr>
      </w:pPr>
      <w:r>
        <w:rPr>
          <w:rFonts w:ascii="Arial" w:cs="Arial" w:eastAsia="Arial" w:hAnsi="Arial"/>
          <w:sz w:val="18"/>
          <w:szCs w:val="18"/>
          <w:color w:val="auto"/>
        </w:rPr>
        <w:t>Significant reduction in capital spending: New store construction halted, and capital spending on strategic initiatives, store remodel, games and maintenance severely curtailed.</w:t>
      </w:r>
    </w:p>
    <w:p>
      <w:pPr>
        <w:spacing w:after="0" w:line="61" w:lineRule="exact"/>
        <w:rPr>
          <w:rFonts w:ascii="Arial" w:cs="Arial" w:eastAsia="Arial" w:hAnsi="Arial"/>
          <w:sz w:val="18"/>
          <w:szCs w:val="18"/>
          <w:color w:val="003B71"/>
        </w:rPr>
      </w:pPr>
    </w:p>
    <w:p>
      <w:pPr>
        <w:ind w:left="700" w:right="220" w:hanging="298"/>
        <w:spacing w:after="0" w:line="246" w:lineRule="auto"/>
        <w:tabs>
          <w:tab w:leader="none" w:pos="700" w:val="left"/>
        </w:tabs>
        <w:numPr>
          <w:ilvl w:val="0"/>
          <w:numId w:val="20"/>
        </w:numPr>
        <w:rPr>
          <w:rFonts w:ascii="Arial" w:cs="Arial" w:eastAsia="Arial" w:hAnsi="Arial"/>
          <w:sz w:val="18"/>
          <w:szCs w:val="18"/>
          <w:color w:val="003B71"/>
        </w:rPr>
      </w:pPr>
      <w:r>
        <w:rPr>
          <w:rFonts w:ascii="Arial" w:cs="Arial" w:eastAsia="Arial" w:hAnsi="Arial"/>
          <w:sz w:val="18"/>
          <w:szCs w:val="18"/>
          <w:color w:val="auto"/>
        </w:rPr>
        <w:t>Significant reduction in operating expenses: Temporary furlough of all store hourly team members and reduction in store management and corporate staff by 90% during store closing period.</w:t>
      </w:r>
    </w:p>
    <w:p>
      <w:pPr>
        <w:spacing w:after="0" w:line="61" w:lineRule="exact"/>
        <w:rPr>
          <w:rFonts w:ascii="Arial" w:cs="Arial" w:eastAsia="Arial" w:hAnsi="Arial"/>
          <w:sz w:val="18"/>
          <w:szCs w:val="18"/>
          <w:color w:val="003B71"/>
        </w:rPr>
      </w:pPr>
    </w:p>
    <w:p>
      <w:pPr>
        <w:ind w:left="700" w:right="220" w:hanging="298"/>
        <w:spacing w:after="0" w:line="246" w:lineRule="auto"/>
        <w:tabs>
          <w:tab w:leader="none" w:pos="700" w:val="left"/>
        </w:tabs>
        <w:numPr>
          <w:ilvl w:val="0"/>
          <w:numId w:val="20"/>
        </w:numPr>
        <w:rPr>
          <w:rFonts w:ascii="Arial" w:cs="Arial" w:eastAsia="Arial" w:hAnsi="Arial"/>
          <w:sz w:val="18"/>
          <w:szCs w:val="18"/>
          <w:color w:val="003B71"/>
        </w:rPr>
      </w:pPr>
      <w:r>
        <w:rPr>
          <w:rFonts w:ascii="Arial" w:cs="Arial" w:eastAsia="Arial" w:hAnsi="Arial"/>
          <w:sz w:val="18"/>
          <w:szCs w:val="18"/>
          <w:color w:val="auto"/>
        </w:rPr>
        <w:t>Compensation for senior leadership team reduced by 50% and Board of Directors suspension of cash compensation for remainder of year.</w:t>
      </w:r>
    </w:p>
    <w:p>
      <w:pPr>
        <w:spacing w:after="0" w:line="61" w:lineRule="exact"/>
        <w:rPr>
          <w:rFonts w:ascii="Arial" w:cs="Arial" w:eastAsia="Arial" w:hAnsi="Arial"/>
          <w:sz w:val="18"/>
          <w:szCs w:val="18"/>
          <w:color w:val="003B71"/>
        </w:rPr>
      </w:pPr>
    </w:p>
    <w:p>
      <w:pPr>
        <w:ind w:left="700" w:hanging="298"/>
        <w:spacing w:after="0"/>
        <w:tabs>
          <w:tab w:leader="none" w:pos="700" w:val="left"/>
        </w:tabs>
        <w:numPr>
          <w:ilvl w:val="0"/>
          <w:numId w:val="20"/>
        </w:numPr>
        <w:rPr>
          <w:rFonts w:ascii="Arial" w:cs="Arial" w:eastAsia="Arial" w:hAnsi="Arial"/>
          <w:sz w:val="18"/>
          <w:szCs w:val="18"/>
          <w:color w:val="003B71"/>
        </w:rPr>
      </w:pPr>
      <w:r>
        <w:rPr>
          <w:rFonts w:ascii="Arial" w:cs="Arial" w:eastAsia="Arial" w:hAnsi="Arial"/>
          <w:sz w:val="18"/>
          <w:szCs w:val="18"/>
          <w:color w:val="auto"/>
        </w:rPr>
        <w:t>Suspension of quarterly dividend and share repurchase program.</w:t>
      </w:r>
    </w:p>
    <w:p>
      <w:pPr>
        <w:spacing w:after="0" w:line="76" w:lineRule="exact"/>
        <w:rPr>
          <w:rFonts w:ascii="Arial" w:cs="Arial" w:eastAsia="Arial" w:hAnsi="Arial"/>
          <w:sz w:val="18"/>
          <w:szCs w:val="18"/>
          <w:color w:val="003B71"/>
        </w:rPr>
      </w:pPr>
    </w:p>
    <w:p>
      <w:pPr>
        <w:ind w:left="700" w:hanging="298"/>
        <w:spacing w:after="0"/>
        <w:tabs>
          <w:tab w:leader="none" w:pos="700" w:val="left"/>
        </w:tabs>
        <w:numPr>
          <w:ilvl w:val="0"/>
          <w:numId w:val="20"/>
        </w:numPr>
        <w:rPr>
          <w:rFonts w:ascii="Arial" w:cs="Arial" w:eastAsia="Arial" w:hAnsi="Arial"/>
          <w:sz w:val="18"/>
          <w:szCs w:val="18"/>
          <w:color w:val="003B71"/>
        </w:rPr>
      </w:pPr>
      <w:r>
        <w:rPr>
          <w:rFonts w:ascii="Arial" w:cs="Arial" w:eastAsia="Arial" w:hAnsi="Arial"/>
          <w:sz w:val="18"/>
          <w:szCs w:val="18"/>
          <w:color w:val="auto"/>
        </w:rPr>
        <w:t>Drawdown of revolving credit facility.</w:t>
      </w:r>
    </w:p>
    <w:p>
      <w:pPr>
        <w:spacing w:after="0" w:line="76" w:lineRule="exact"/>
        <w:rPr>
          <w:rFonts w:ascii="Arial" w:cs="Arial" w:eastAsia="Arial" w:hAnsi="Arial"/>
          <w:sz w:val="18"/>
          <w:szCs w:val="18"/>
          <w:color w:val="003B71"/>
        </w:rPr>
      </w:pPr>
    </w:p>
    <w:p>
      <w:pPr>
        <w:ind w:left="700" w:right="220" w:hanging="298"/>
        <w:spacing w:after="0" w:line="246" w:lineRule="auto"/>
        <w:tabs>
          <w:tab w:leader="none" w:pos="700" w:val="left"/>
        </w:tabs>
        <w:numPr>
          <w:ilvl w:val="0"/>
          <w:numId w:val="20"/>
        </w:numPr>
        <w:rPr>
          <w:rFonts w:ascii="Arial" w:cs="Arial" w:eastAsia="Arial" w:hAnsi="Arial"/>
          <w:sz w:val="18"/>
          <w:szCs w:val="18"/>
          <w:color w:val="003B71"/>
        </w:rPr>
      </w:pPr>
      <w:r>
        <w:rPr>
          <w:rFonts w:ascii="Arial" w:cs="Arial" w:eastAsia="Arial" w:hAnsi="Arial"/>
          <w:sz w:val="18"/>
          <w:szCs w:val="18"/>
          <w:color w:val="auto"/>
        </w:rPr>
        <w:t>On-going discussions with landlords and vendors to further reduce expenses, extend payment terms and obtain other payment concessions.</w:t>
      </w:r>
    </w:p>
    <w:p>
      <w:pPr>
        <w:spacing w:after="0" w:line="61" w:lineRule="exact"/>
        <w:rPr>
          <w:rFonts w:ascii="Arial" w:cs="Arial" w:eastAsia="Arial" w:hAnsi="Arial"/>
          <w:sz w:val="18"/>
          <w:szCs w:val="18"/>
          <w:color w:val="003B71"/>
        </w:rPr>
      </w:pPr>
    </w:p>
    <w:p>
      <w:pPr>
        <w:ind w:left="700" w:hanging="298"/>
        <w:spacing w:after="0"/>
        <w:tabs>
          <w:tab w:leader="none" w:pos="700" w:val="left"/>
        </w:tabs>
        <w:numPr>
          <w:ilvl w:val="0"/>
          <w:numId w:val="20"/>
        </w:numPr>
        <w:rPr>
          <w:rFonts w:ascii="Arial" w:cs="Arial" w:eastAsia="Arial" w:hAnsi="Arial"/>
          <w:sz w:val="18"/>
          <w:szCs w:val="18"/>
          <w:color w:val="003B71"/>
        </w:rPr>
      </w:pPr>
      <w:r>
        <w:rPr>
          <w:rFonts w:ascii="Arial" w:cs="Arial" w:eastAsia="Arial" w:hAnsi="Arial"/>
          <w:sz w:val="18"/>
          <w:szCs w:val="18"/>
          <w:color w:val="auto"/>
        </w:rPr>
        <w:t>Develop re-opening plans following lifting of governmental mandates.</w:t>
      </w:r>
    </w:p>
    <w:p>
      <w:pPr>
        <w:spacing w:after="0" w:line="76" w:lineRule="exact"/>
        <w:rPr>
          <w:rFonts w:ascii="Arial" w:cs="Arial" w:eastAsia="Arial" w:hAnsi="Arial"/>
          <w:sz w:val="18"/>
          <w:szCs w:val="18"/>
          <w:color w:val="003B71"/>
        </w:rPr>
      </w:pPr>
    </w:p>
    <w:p>
      <w:pPr>
        <w:ind w:left="700" w:hanging="298"/>
        <w:spacing w:after="0"/>
        <w:tabs>
          <w:tab w:leader="none" w:pos="700" w:val="left"/>
        </w:tabs>
        <w:numPr>
          <w:ilvl w:val="0"/>
          <w:numId w:val="20"/>
        </w:numPr>
        <w:rPr>
          <w:rFonts w:ascii="Arial" w:cs="Arial" w:eastAsia="Arial" w:hAnsi="Arial"/>
          <w:sz w:val="18"/>
          <w:szCs w:val="18"/>
          <w:color w:val="003B71"/>
        </w:rPr>
      </w:pPr>
      <w:r>
        <w:rPr>
          <w:rFonts w:ascii="Arial" w:cs="Arial" w:eastAsia="Arial" w:hAnsi="Arial"/>
          <w:sz w:val="18"/>
          <w:szCs w:val="18"/>
          <w:color w:val="auto"/>
        </w:rPr>
        <w:t>Raised new equity capital through sale of shares of common stock in April and May of 2020.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spacing w:after="0"/>
        <w:tabs>
          <w:tab w:leader="none" w:pos="560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4</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40"/>
          <w:szCs w:val="40"/>
          <w:color w:val="003B71"/>
        </w:rPr>
        <w:t>PROPOSAL NO. 1</w:t>
      </w:r>
    </w:p>
    <w:p>
      <w:pPr>
        <w:jc w:val="center"/>
        <w:ind w:right="-99"/>
        <w:spacing w:after="0"/>
        <w:rPr>
          <w:sz w:val="20"/>
          <w:szCs w:val="20"/>
          <w:color w:val="auto"/>
        </w:rPr>
      </w:pPr>
      <w:r>
        <w:rPr>
          <w:rFonts w:ascii="Arial" w:cs="Arial" w:eastAsia="Arial" w:hAnsi="Arial"/>
          <w:sz w:val="40"/>
          <w:szCs w:val="40"/>
          <w:color w:val="003B71"/>
        </w:rPr>
        <w:t>ELECTION OF DIRECTORS</w:t>
      </w:r>
    </w:p>
    <w:p>
      <w:pPr>
        <w:spacing w:after="0" w:line="18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 xml:space="preserve">Your proxy will be used to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all of the nominees named below unless you abstain from or vote against the nominees when you send in your proxy. The Company’s Board of Directors will be comprised of nine members. Each of the nominees for election to the Board of Directors is currently a director of the Company. If elected at the Annual Meeting, each of the nominees will serve for one year or until his or her successor is duly elected and qualified, or until such director’s earlier death, resignation or removal. If any of the nominees is unable or unwilling to be a candidate for election by the time of the Annual Meeting (a contingency which the Board does not expect to occur), the shareholders may vote for a substitute nominee chosen by the present Board to fill a vacancy. In the alternative, the shareholders may vote for just the remaining nominees leaving a vacancy that may be filled at a later date by the Board. Alternatively, the Board may reduce its size.</w:t>
      </w:r>
    </w:p>
    <w:p>
      <w:pPr>
        <w:spacing w:after="0" w:line="20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We are furnishing below certain biographical information about each of the nine nominees for director. Also included is a description of the experience, qualifications, attributes and skills of each nominee.</w:t>
      </w:r>
    </w:p>
    <w:p>
      <w:pPr>
        <w:sectPr>
          <w:pgSz w:w="11900" w:h="16838" w:orient="portrait"/>
          <w:cols w:equalWidth="0" w:num="1">
            <w:col w:w="11140"/>
          </w:cols>
          <w:pgMar w:left="320" w:top="459" w:right="439" w:bottom="1440" w:gutter="0" w:footer="0" w:header="0"/>
        </w:sectPr>
      </w:pP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FFFFF"/>
        </w:rPr>
        <w:t>Hamish A. Dodds</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2017</w:t>
      </w:r>
    </w:p>
    <w:p>
      <w:pPr>
        <w:ind w:left="280"/>
        <w:spacing w:after="0" w:line="234" w:lineRule="auto"/>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xml:space="preserve">: </w:t>
      </w:r>
      <w:r>
        <w:rPr>
          <w:rFonts w:ascii="Arial" w:cs="Arial" w:eastAsia="Arial" w:hAnsi="Arial"/>
          <w:sz w:val="16"/>
          <w:szCs w:val="16"/>
          <w:color w:val="auto"/>
        </w:rPr>
        <w:t>Audit and Finance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R</w:t>
      </w:r>
      <w:r>
        <w:rPr>
          <w:rFonts w:ascii="Arial" w:cs="Arial" w:eastAsia="Arial" w:hAnsi="Arial"/>
          <w:sz w:val="14"/>
          <w:szCs w:val="14"/>
          <w:u w:val="single" w:color="auto"/>
          <w:color w:val="auto"/>
        </w:rPr>
        <w:t>ECENT</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OSITION</w:t>
      </w: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xml:space="preserve">: </w:t>
      </w: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-299085</wp:posOffset>
            </wp:positionV>
            <wp:extent cx="7003415" cy="3180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3415" cy="3180080"/>
                    </a:xfrm>
                    <a:prstGeom prst="rect">
                      <a:avLst/>
                    </a:prstGeom>
                    <a:noFill/>
                  </pic:spPr>
                </pic:pic>
              </a:graphicData>
            </a:graphic>
          </wp:anchor>
        </w:drawing>
      </w:r>
    </w:p>
    <w:p>
      <w:pPr>
        <w:jc w:val="center"/>
        <w:ind w:right="29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TATUS</w:t>
      </w:r>
      <w:r>
        <w:rPr>
          <w:rFonts w:ascii="Arial" w:cs="Arial" w:eastAsia="Arial" w:hAnsi="Arial"/>
          <w:sz w:val="18"/>
          <w:szCs w:val="18"/>
          <w:color w:val="auto"/>
        </w:rPr>
        <w:t xml:space="preserve">: </w:t>
      </w:r>
      <w:r>
        <w:rPr>
          <w:rFonts w:ascii="Arial" w:cs="Arial" w:eastAsia="Arial" w:hAnsi="Arial"/>
          <w:sz w:val="16"/>
          <w:szCs w:val="16"/>
          <w:color w:val="auto"/>
        </w:rPr>
        <w:t>I</w:t>
      </w:r>
      <w:r>
        <w:rPr>
          <w:rFonts w:ascii="Arial" w:cs="Arial" w:eastAsia="Arial" w:hAnsi="Arial"/>
          <w:sz w:val="13"/>
          <w:szCs w:val="13"/>
          <w:color w:val="auto"/>
        </w:rPr>
        <w:t>NDEPENDENT</w:t>
      </w:r>
    </w:p>
    <w:p>
      <w:pPr>
        <w:spacing w:after="0" w:line="203" w:lineRule="exact"/>
        <w:rPr>
          <w:sz w:val="20"/>
          <w:szCs w:val="20"/>
          <w:color w:val="auto"/>
        </w:rPr>
      </w:pPr>
    </w:p>
    <w:p>
      <w:pPr>
        <w:sectPr>
          <w:pgSz w:w="11900" w:h="16838" w:orient="portrait"/>
          <w:cols w:equalWidth="0" w:num="2">
            <w:col w:w="4980" w:space="720"/>
            <w:col w:w="5440"/>
          </w:cols>
          <w:pgMar w:left="320" w:top="459" w:right="439" w:bottom="1440" w:gutter="0" w:footer="0" w:header="0"/>
          <w:type w:val="continuous"/>
        </w:sectPr>
      </w:pPr>
    </w:p>
    <w:p>
      <w:pPr>
        <w:ind w:left="420" w:right="460" w:hanging="147"/>
        <w:spacing w:after="0" w:line="241" w:lineRule="auto"/>
        <w:tabs>
          <w:tab w:leader="none" w:pos="405"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President and Chief Executive Officer of </w:t>
      </w:r>
      <w:r>
        <w:rPr>
          <w:rFonts w:ascii="Arial" w:cs="Arial" w:eastAsia="Arial" w:hAnsi="Arial"/>
          <w:sz w:val="14"/>
          <w:szCs w:val="14"/>
          <w:i w:val="1"/>
          <w:iCs w:val="1"/>
          <w:color w:val="auto"/>
        </w:rPr>
        <w:t>Hard Rock International</w:t>
      </w:r>
      <w:r>
        <w:rPr>
          <w:rFonts w:ascii="Arial" w:cs="Arial" w:eastAsia="Arial" w:hAnsi="Arial"/>
          <w:sz w:val="14"/>
          <w:szCs w:val="14"/>
          <w:color w:val="auto"/>
        </w:rPr>
        <w:t>, an owner, operator, and franchisor of restaurants, hotels, casinos, and live music venues in over seventy countries, from 2004-February 2017.</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Leadership, Strategic, Operations, Finance, Global, Franchise, Entertainment, Gaming, Food &amp; Beverage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r>
        <w:rPr>
          <w:rFonts w:ascii="Arial" w:cs="Arial" w:eastAsia="Arial" w:hAnsi="Arial"/>
          <w:sz w:val="18"/>
          <w:szCs w:val="18"/>
          <w:u w:val="single" w:color="auto"/>
          <w:color w:val="auto"/>
        </w:rPr>
        <w:t>:</w:t>
      </w:r>
    </w:p>
    <w:p>
      <w:pPr>
        <w:spacing w:after="0" w:line="1" w:lineRule="exact"/>
        <w:rPr>
          <w:sz w:val="20"/>
          <w:szCs w:val="20"/>
          <w:color w:val="auto"/>
        </w:rPr>
      </w:pPr>
    </w:p>
    <w:p>
      <w:pPr>
        <w:ind w:left="420" w:right="760" w:hanging="147"/>
        <w:spacing w:after="0" w:line="241" w:lineRule="auto"/>
        <w:tabs>
          <w:tab w:leader="none" w:pos="405" w:val="left"/>
        </w:tabs>
        <w:numPr>
          <w:ilvl w:val="0"/>
          <w:numId w:val="22"/>
        </w:numPr>
        <w:rPr>
          <w:rFonts w:ascii="Arial" w:cs="Arial" w:eastAsia="Arial" w:hAnsi="Arial"/>
          <w:sz w:val="14"/>
          <w:szCs w:val="14"/>
          <w:color w:val="auto"/>
        </w:rPr>
      </w:pPr>
      <w:r>
        <w:rPr>
          <w:rFonts w:ascii="Arial" w:cs="Arial" w:eastAsia="Arial" w:hAnsi="Arial"/>
          <w:sz w:val="14"/>
          <w:szCs w:val="14"/>
          <w:i w:val="1"/>
          <w:iCs w:val="1"/>
          <w:color w:val="auto"/>
        </w:rPr>
        <w:t xml:space="preserve">cbc (The Central American Bottling Corporation) </w:t>
      </w:r>
      <w:r>
        <w:rPr>
          <w:rFonts w:ascii="Arial" w:cs="Arial" w:eastAsia="Arial" w:hAnsi="Arial"/>
          <w:sz w:val="14"/>
          <w:szCs w:val="14"/>
          <w:color w:val="auto"/>
        </w:rPr>
        <w:t>(also known as CabCorp), a multi-Latin beverage company in more than 33 countries with strategic partners</w:t>
      </w:r>
      <w:r>
        <w:rPr>
          <w:rFonts w:ascii="Arial" w:cs="Arial" w:eastAsia="Arial" w:hAnsi="Arial"/>
          <w:sz w:val="14"/>
          <w:szCs w:val="14"/>
          <w:i w:val="1"/>
          <w:iCs w:val="1"/>
          <w:color w:val="auto"/>
        </w:rPr>
        <w:t xml:space="preserve"> </w:t>
      </w:r>
      <w:r>
        <w:rPr>
          <w:rFonts w:ascii="Arial" w:cs="Arial" w:eastAsia="Arial" w:hAnsi="Arial"/>
          <w:sz w:val="14"/>
          <w:szCs w:val="14"/>
          <w:color w:val="auto"/>
        </w:rPr>
        <w:t>PepsiCo, Ambev and Beliv:</w:t>
      </w:r>
    </w:p>
    <w:p>
      <w:pPr>
        <w:ind w:left="600" w:hanging="183"/>
        <w:spacing w:after="0"/>
        <w:tabs>
          <w:tab w:leader="none" w:pos="600" w:val="left"/>
        </w:tabs>
        <w:numPr>
          <w:ilvl w:val="1"/>
          <w:numId w:val="22"/>
        </w:numPr>
        <w:rPr>
          <w:rFonts w:ascii="Arial" w:cs="Arial" w:eastAsia="Arial" w:hAnsi="Arial"/>
          <w:sz w:val="14"/>
          <w:szCs w:val="14"/>
          <w:color w:val="003B71"/>
        </w:rPr>
      </w:pPr>
      <w:r>
        <w:rPr>
          <w:rFonts w:ascii="Arial" w:cs="Arial" w:eastAsia="Arial" w:hAnsi="Arial"/>
          <w:sz w:val="14"/>
          <w:szCs w:val="14"/>
          <w:color w:val="auto"/>
        </w:rPr>
        <w:t>Chief Executive Officer (2002-2003)</w:t>
      </w:r>
    </w:p>
    <w:p>
      <w:pPr>
        <w:spacing w:after="0" w:line="1" w:lineRule="exact"/>
        <w:rPr>
          <w:rFonts w:ascii="Arial" w:cs="Arial" w:eastAsia="Arial" w:hAnsi="Arial"/>
          <w:sz w:val="14"/>
          <w:szCs w:val="14"/>
          <w:color w:val="003B71"/>
        </w:rPr>
      </w:pPr>
    </w:p>
    <w:p>
      <w:pPr>
        <w:ind w:left="600" w:hanging="183"/>
        <w:spacing w:after="0"/>
        <w:tabs>
          <w:tab w:leader="none" w:pos="600" w:val="left"/>
        </w:tabs>
        <w:numPr>
          <w:ilvl w:val="1"/>
          <w:numId w:val="22"/>
        </w:numPr>
        <w:rPr>
          <w:rFonts w:ascii="Arial" w:cs="Arial" w:eastAsia="Arial" w:hAnsi="Arial"/>
          <w:sz w:val="14"/>
          <w:szCs w:val="14"/>
          <w:color w:val="003B71"/>
        </w:rPr>
      </w:pPr>
      <w:r>
        <w:rPr>
          <w:rFonts w:ascii="Arial" w:cs="Arial" w:eastAsia="Arial" w:hAnsi="Arial"/>
          <w:sz w:val="14"/>
          <w:szCs w:val="14"/>
          <w:color w:val="auto"/>
        </w:rPr>
        <w:t>Non-executive Director (2003-2010)</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Leadership, Strategic, Board Governance, Global, Distribution, Food &amp; Beverage</w:t>
      </w:r>
    </w:p>
    <w:p>
      <w:pPr>
        <w:spacing w:after="0" w:line="1" w:lineRule="exact"/>
        <w:rPr>
          <w:sz w:val="20"/>
          <w:szCs w:val="20"/>
          <w:color w:val="auto"/>
        </w:rPr>
      </w:pPr>
    </w:p>
    <w:p>
      <w:pPr>
        <w:ind w:left="400" w:hanging="127"/>
        <w:spacing w:after="0"/>
        <w:tabs>
          <w:tab w:leader="none" w:pos="400" w:val="left"/>
        </w:tabs>
        <w:numPr>
          <w:ilvl w:val="0"/>
          <w:numId w:val="23"/>
        </w:numPr>
        <w:rPr>
          <w:rFonts w:ascii="Arial" w:cs="Arial" w:eastAsia="Arial" w:hAnsi="Arial"/>
          <w:sz w:val="14"/>
          <w:szCs w:val="14"/>
          <w:color w:val="auto"/>
        </w:rPr>
      </w:pPr>
      <w:r>
        <w:rPr>
          <w:rFonts w:ascii="Arial" w:cs="Arial" w:eastAsia="Arial" w:hAnsi="Arial"/>
          <w:sz w:val="14"/>
          <w:szCs w:val="14"/>
          <w:i w:val="1"/>
          <w:iCs w:val="1"/>
          <w:color w:val="auto"/>
        </w:rPr>
        <w:t>PepsiCo, Inc</w:t>
      </w:r>
      <w:r>
        <w:rPr>
          <w:rFonts w:ascii="Arial" w:cs="Arial" w:eastAsia="Arial" w:hAnsi="Arial"/>
          <w:sz w:val="14"/>
          <w:szCs w:val="14"/>
          <w:color w:val="auto"/>
        </w:rPr>
        <w:t>., a multinational food, snack and beverage corporation:</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23"/>
        </w:numPr>
        <w:rPr>
          <w:rFonts w:ascii="Arial" w:cs="Arial" w:eastAsia="Arial" w:hAnsi="Arial"/>
          <w:sz w:val="14"/>
          <w:szCs w:val="14"/>
          <w:color w:val="003B71"/>
        </w:rPr>
      </w:pPr>
      <w:r>
        <w:rPr>
          <w:rFonts w:ascii="Arial" w:cs="Arial" w:eastAsia="Arial" w:hAnsi="Arial"/>
          <w:sz w:val="14"/>
          <w:szCs w:val="14"/>
          <w:color w:val="auto"/>
        </w:rPr>
        <w:t>Various management and financial positions including Division President and General Manager for beverage operations across Latin America (1989-2002)</w:t>
      </w:r>
    </w:p>
    <w:p>
      <w:pPr>
        <w:spacing w:after="0" w:line="1" w:lineRule="exact"/>
        <w:rPr>
          <w:rFonts w:ascii="Arial" w:cs="Arial" w:eastAsia="Arial" w:hAnsi="Arial"/>
          <w:sz w:val="14"/>
          <w:szCs w:val="14"/>
          <w:color w:val="003B71"/>
        </w:rPr>
      </w:pPr>
    </w:p>
    <w:p>
      <w:pPr>
        <w:ind w:left="3540"/>
        <w:spacing w:after="0"/>
        <w:rPr>
          <w:rFonts w:ascii="Arial" w:cs="Arial" w:eastAsia="Arial" w:hAnsi="Arial"/>
          <w:sz w:val="14"/>
          <w:szCs w:val="14"/>
          <w:color w:val="003B71"/>
        </w:rPr>
      </w:pPr>
      <w:r>
        <w:rPr>
          <w:rFonts w:ascii="Arial" w:cs="Arial" w:eastAsia="Arial" w:hAnsi="Arial"/>
          <w:sz w:val="14"/>
          <w:szCs w:val="14"/>
          <w:b w:val="1"/>
          <w:bCs w:val="1"/>
          <w:color w:val="auto"/>
        </w:rPr>
        <w:t>Accounting, Finance, Food &amp; Beverage, Operations, Global</w:t>
      </w:r>
    </w:p>
    <w:p>
      <w:pPr>
        <w:spacing w:after="0" w:line="1" w:lineRule="exact"/>
        <w:rPr>
          <w:rFonts w:ascii="Arial" w:cs="Arial" w:eastAsia="Arial" w:hAnsi="Arial"/>
          <w:sz w:val="14"/>
          <w:szCs w:val="14"/>
          <w:color w:val="003B71"/>
        </w:rPr>
      </w:pPr>
    </w:p>
    <w:p>
      <w:pPr>
        <w:ind w:left="400" w:hanging="127"/>
        <w:spacing w:after="0"/>
        <w:tabs>
          <w:tab w:leader="none" w:pos="400" w:val="left"/>
        </w:tabs>
        <w:numPr>
          <w:ilvl w:val="0"/>
          <w:numId w:val="23"/>
        </w:numPr>
        <w:rPr>
          <w:rFonts w:ascii="Arial" w:cs="Arial" w:eastAsia="Arial" w:hAnsi="Arial"/>
          <w:sz w:val="14"/>
          <w:szCs w:val="14"/>
          <w:color w:val="auto"/>
        </w:rPr>
      </w:pPr>
      <w:r>
        <w:rPr>
          <w:rFonts w:ascii="Arial" w:cs="Arial" w:eastAsia="Arial" w:hAnsi="Arial"/>
          <w:sz w:val="14"/>
          <w:szCs w:val="14"/>
          <w:i w:val="1"/>
          <w:iCs w:val="1"/>
          <w:color w:val="auto"/>
        </w:rPr>
        <w:t xml:space="preserve">The Burton Group (now Arcadia Group) </w:t>
      </w:r>
      <w:r>
        <w:rPr>
          <w:rFonts w:ascii="Arial" w:cs="Arial" w:eastAsia="Arial" w:hAnsi="Arial"/>
          <w:sz w:val="14"/>
          <w:szCs w:val="14"/>
          <w:color w:val="auto"/>
        </w:rPr>
        <w:t>(an UK multinational retailing company) and</w:t>
      </w:r>
      <w:r>
        <w:rPr>
          <w:rFonts w:ascii="Arial" w:cs="Arial" w:eastAsia="Arial" w:hAnsi="Arial"/>
          <w:sz w:val="14"/>
          <w:szCs w:val="14"/>
          <w:i w:val="1"/>
          <w:iCs w:val="1"/>
          <w:color w:val="auto"/>
        </w:rPr>
        <w:t xml:space="preserve"> Overseas Containers, Ltd. </w:t>
      </w:r>
      <w:r>
        <w:rPr>
          <w:rFonts w:ascii="Arial" w:cs="Arial" w:eastAsia="Arial" w:hAnsi="Arial"/>
          <w:sz w:val="14"/>
          <w:szCs w:val="14"/>
          <w:color w:val="auto"/>
        </w:rPr>
        <w:t>(an UK container shipping company):</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23"/>
        </w:numPr>
        <w:rPr>
          <w:rFonts w:ascii="Arial" w:cs="Arial" w:eastAsia="Arial" w:hAnsi="Arial"/>
          <w:sz w:val="14"/>
          <w:szCs w:val="14"/>
          <w:color w:val="003B71"/>
        </w:rPr>
      </w:pPr>
      <w:r>
        <w:rPr>
          <w:rFonts w:ascii="Arial" w:cs="Arial" w:eastAsia="Arial" w:hAnsi="Arial"/>
          <w:sz w:val="14"/>
          <w:szCs w:val="14"/>
          <w:color w:val="auto"/>
        </w:rPr>
        <w:t>Multiple management and financial positions (1982-1989)</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Accounting, Finance, Consumer Goods, Retail</w:t>
      </w:r>
    </w:p>
    <w:p>
      <w:pPr>
        <w:spacing w:after="0" w:line="36"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UBLIC</w:t>
      </w:r>
      <w:r>
        <w:rPr>
          <w:rFonts w:ascii="Arial" w:cs="Arial" w:eastAsia="Arial" w:hAnsi="Arial"/>
          <w:sz w:val="18"/>
          <w:szCs w:val="18"/>
          <w:u w:val="single" w:color="auto"/>
          <w:color w:val="auto"/>
        </w:rPr>
        <w:t xml:space="preserve"> C</w:t>
      </w:r>
      <w:r>
        <w:rPr>
          <w:rFonts w:ascii="Arial" w:cs="Arial" w:eastAsia="Arial" w:hAnsi="Arial"/>
          <w:sz w:val="14"/>
          <w:szCs w:val="14"/>
          <w:u w:val="single" w:color="auto"/>
          <w:color w:val="auto"/>
        </w:rPr>
        <w:t>OMPANY</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OARDS</w:t>
      </w:r>
      <w:r>
        <w:rPr>
          <w:rFonts w:ascii="Arial" w:cs="Arial" w:eastAsia="Arial" w:hAnsi="Arial"/>
          <w:sz w:val="18"/>
          <w:szCs w:val="18"/>
          <w:u w:val="single" w:color="auto"/>
          <w:color w:val="auto"/>
        </w:rPr>
        <w:t>:</w:t>
      </w:r>
    </w:p>
    <w:p>
      <w:pPr>
        <w:sectPr>
          <w:pgSz w:w="11900" w:h="16838" w:orient="portrait"/>
          <w:cols w:equalWidth="0" w:num="1">
            <w:col w:w="11140"/>
          </w:cols>
          <w:pgMar w:left="320" w:top="459" w:right="439" w:bottom="1440" w:gutter="0" w:footer="0" w:header="0"/>
          <w:type w:val="continuous"/>
        </w:sectPr>
      </w:pPr>
    </w:p>
    <w:p>
      <w:pPr>
        <w:spacing w:after="0" w:line="1" w:lineRule="exact"/>
        <w:rPr>
          <w:sz w:val="20"/>
          <w:szCs w:val="20"/>
          <w:color w:val="auto"/>
        </w:rPr>
      </w:pPr>
    </w:p>
    <w:p>
      <w:pPr>
        <w:ind w:left="280"/>
        <w:spacing w:after="0"/>
        <w:tabs>
          <w:tab w:leader="none" w:pos="1420" w:val="left"/>
        </w:tabs>
        <w:rPr>
          <w:sz w:val="20"/>
          <w:szCs w:val="20"/>
          <w:color w:val="auto"/>
        </w:rPr>
      </w:pPr>
      <w:r>
        <w:rPr>
          <w:rFonts w:ascii="Arial" w:cs="Arial" w:eastAsia="Arial" w:hAnsi="Arial"/>
          <w:sz w:val="14"/>
          <w:szCs w:val="14"/>
          <w:color w:val="auto"/>
        </w:rPr>
        <w:t>- Current:</w:t>
      </w:r>
      <w:r>
        <w:rPr>
          <w:sz w:val="20"/>
          <w:szCs w:val="20"/>
          <w:color w:val="auto"/>
        </w:rPr>
        <w:tab/>
      </w:r>
      <w:r>
        <w:rPr>
          <w:rFonts w:ascii="Arial" w:cs="Arial" w:eastAsia="Arial" w:hAnsi="Arial"/>
          <w:sz w:val="14"/>
          <w:szCs w:val="14"/>
          <w:color w:val="auto"/>
        </w:rPr>
        <w:t>Dave &amp; Buster’s Entertainment, Inc.</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O</w:t>
      </w:r>
      <w:r>
        <w:rPr>
          <w:rFonts w:ascii="Arial" w:cs="Arial" w:eastAsia="Arial" w:hAnsi="Arial"/>
          <w:sz w:val="13"/>
          <w:szCs w:val="13"/>
          <w:u w:val="single" w:color="auto"/>
          <w:color w:val="auto"/>
        </w:rPr>
        <w:t>THER</w:t>
      </w:r>
      <w:r>
        <w:rPr>
          <w:rFonts w:ascii="Arial" w:cs="Arial" w:eastAsia="Arial" w:hAnsi="Arial"/>
          <w:sz w:val="16"/>
          <w:szCs w:val="16"/>
          <w:u w:val="single" w:color="auto"/>
          <w:color w:val="auto"/>
        </w:rPr>
        <w:t xml:space="preserve"> P</w:t>
      </w:r>
      <w:r>
        <w:rPr>
          <w:rFonts w:ascii="Arial" w:cs="Arial" w:eastAsia="Arial" w:hAnsi="Arial"/>
          <w:sz w:val="13"/>
          <w:szCs w:val="13"/>
          <w:u w:val="single" w:color="auto"/>
          <w:color w:val="auto"/>
        </w:rPr>
        <w:t>OSITIONS</w:t>
      </w:r>
      <w:r>
        <w:rPr>
          <w:rFonts w:ascii="Arial" w:cs="Arial" w:eastAsia="Arial" w:hAnsi="Arial"/>
          <w:sz w:val="16"/>
          <w:szCs w:val="16"/>
          <w:u w:val="single" w:color="auto"/>
          <w:color w:val="auto"/>
        </w:rPr>
        <w:t>/M</w:t>
      </w:r>
      <w:r>
        <w:rPr>
          <w:rFonts w:ascii="Arial" w:cs="Arial" w:eastAsia="Arial" w:hAnsi="Arial"/>
          <w:sz w:val="13"/>
          <w:szCs w:val="13"/>
          <w:u w:val="single" w:color="auto"/>
          <w:color w:val="auto"/>
        </w:rPr>
        <w:t>EMBERSHIPS</w:t>
      </w:r>
      <w:r>
        <w:rPr>
          <w:rFonts w:ascii="Arial" w:cs="Arial" w:eastAsia="Arial" w:hAnsi="Arial"/>
          <w:sz w:val="16"/>
          <w:szCs w:val="16"/>
          <w:u w:val="single" w:color="auto"/>
          <w:color w:val="auto"/>
        </w:rPr>
        <w:t>:</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Fellow Member, Chartered Management Accountants</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E</w:t>
      </w:r>
      <w:r>
        <w:rPr>
          <w:rFonts w:ascii="Arial" w:cs="Arial" w:eastAsia="Arial" w:hAnsi="Arial"/>
          <w:sz w:val="13"/>
          <w:szCs w:val="13"/>
          <w:u w:val="single" w:color="auto"/>
          <w:color w:val="auto"/>
        </w:rPr>
        <w:t>DUCATION</w:t>
      </w:r>
      <w:r>
        <w:rPr>
          <w:rFonts w:ascii="Arial" w:cs="Arial" w:eastAsia="Arial" w:hAnsi="Arial"/>
          <w:sz w:val="16"/>
          <w:szCs w:val="16"/>
          <w:u w:val="single" w:color="auto"/>
          <w:color w:val="auto"/>
        </w:rPr>
        <w:t>:</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B.A. Business Studies, Robert Gordon University, Scotland</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A</w:t>
      </w:r>
      <w:r>
        <w:rPr>
          <w:rFonts w:ascii="Arial" w:cs="Arial" w:eastAsia="Arial" w:hAnsi="Arial"/>
          <w:sz w:val="13"/>
          <w:szCs w:val="13"/>
          <w:u w:val="single" w:color="auto"/>
          <w:color w:val="auto"/>
        </w:rPr>
        <w:t>CCOLADES</w:t>
      </w:r>
      <w:r>
        <w:rPr>
          <w:rFonts w:ascii="Arial" w:cs="Arial" w:eastAsia="Arial" w:hAnsi="Arial"/>
          <w:sz w:val="16"/>
          <w:szCs w:val="16"/>
          <w:u w:val="single" w:color="auto"/>
          <w:color w:val="auto"/>
        </w:rPr>
        <w:t>:</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Honorary Doctorate, Business Administration, Robert Gordon University (2011)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Pier 1 Imports, Inc.</w:t>
      </w:r>
    </w:p>
    <w:p>
      <w:pPr>
        <w:spacing w:after="0" w:line="1333" w:lineRule="exact"/>
        <w:rPr>
          <w:sz w:val="20"/>
          <w:szCs w:val="20"/>
          <w:color w:val="auto"/>
        </w:rPr>
      </w:pPr>
    </w:p>
    <w:p>
      <w:pPr>
        <w:sectPr>
          <w:pgSz w:w="11900" w:h="16838" w:orient="portrait"/>
          <w:cols w:equalWidth="0" w:num="2">
            <w:col w:w="5440" w:space="200"/>
            <w:col w:w="5500"/>
          </w:cols>
          <w:pgMar w:left="320" w:top="459" w:right="439" w:bottom="1440" w:gutter="0" w:footer="0" w:header="0"/>
          <w:type w:val="continuous"/>
        </w:sectPr>
      </w:pPr>
    </w:p>
    <w:p>
      <w:pPr>
        <w:spacing w:after="0" w:line="43" w:lineRule="exact"/>
        <w:rPr>
          <w:sz w:val="20"/>
          <w:szCs w:val="20"/>
          <w:color w:val="auto"/>
        </w:rPr>
      </w:pPr>
    </w:p>
    <w:p>
      <w:pPr>
        <w:ind w:left="120"/>
        <w:spacing w:after="0"/>
        <w:tabs>
          <w:tab w:leader="none" w:pos="560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5</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2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FFFFF"/>
        </w:rPr>
        <w:t>Michael J. Griffith</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2011</w:t>
      </w:r>
    </w:p>
    <w:p>
      <w:pPr>
        <w:ind w:left="280"/>
        <w:spacing w:after="0" w:line="234" w:lineRule="auto"/>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xml:space="preserve">: </w:t>
      </w:r>
      <w:r>
        <w:rPr>
          <w:rFonts w:ascii="Arial" w:cs="Arial" w:eastAsia="Arial" w:hAnsi="Arial"/>
          <w:sz w:val="16"/>
          <w:szCs w:val="16"/>
          <w:color w:val="auto"/>
        </w:rPr>
        <w:t>Compensation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R</w:t>
      </w:r>
      <w:r>
        <w:rPr>
          <w:rFonts w:ascii="Arial" w:cs="Arial" w:eastAsia="Arial" w:hAnsi="Arial"/>
          <w:sz w:val="14"/>
          <w:szCs w:val="14"/>
          <w:u w:val="single" w:color="auto"/>
          <w:color w:val="auto"/>
        </w:rPr>
        <w:t>ECENT</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OSITION</w:t>
      </w: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xml:space="preserve">: </w:t>
      </w: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-299085</wp:posOffset>
            </wp:positionV>
            <wp:extent cx="7003415" cy="25971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3415" cy="25971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TATUS</w:t>
      </w:r>
      <w:r>
        <w:rPr>
          <w:rFonts w:ascii="Arial" w:cs="Arial" w:eastAsia="Arial" w:hAnsi="Arial"/>
          <w:sz w:val="18"/>
          <w:szCs w:val="18"/>
          <w:color w:val="auto"/>
        </w:rPr>
        <w:t xml:space="preserve">: </w:t>
      </w:r>
      <w:r>
        <w:rPr>
          <w:rFonts w:ascii="Arial" w:cs="Arial" w:eastAsia="Arial" w:hAnsi="Arial"/>
          <w:sz w:val="16"/>
          <w:szCs w:val="16"/>
          <w:color w:val="auto"/>
        </w:rPr>
        <w:t>I</w:t>
      </w:r>
      <w:r>
        <w:rPr>
          <w:rFonts w:ascii="Arial" w:cs="Arial" w:eastAsia="Arial" w:hAnsi="Arial"/>
          <w:sz w:val="13"/>
          <w:szCs w:val="13"/>
          <w:color w:val="auto"/>
        </w:rPr>
        <w:t>NDEPENDENT</w:t>
      </w:r>
    </w:p>
    <w:p>
      <w:pPr>
        <w:spacing w:after="0" w:line="203" w:lineRule="exact"/>
        <w:rPr>
          <w:sz w:val="20"/>
          <w:szCs w:val="20"/>
          <w:color w:val="auto"/>
        </w:rPr>
      </w:pPr>
    </w:p>
    <w:p>
      <w:pPr>
        <w:sectPr>
          <w:pgSz w:w="11900" w:h="16838" w:orient="portrait"/>
          <w:cols w:equalWidth="0" w:num="2">
            <w:col w:w="5060" w:space="720"/>
            <w:col w:w="5360"/>
          </w:cols>
          <w:pgMar w:left="320" w:top="459" w:right="439" w:bottom="1440" w:gutter="0" w:footer="0" w:header="0"/>
          <w:type w:val="continuous"/>
        </w:sectPr>
      </w:pPr>
    </w:p>
    <w:p>
      <w:pPr>
        <w:ind w:left="420" w:right="580" w:hanging="147"/>
        <w:spacing w:after="0" w:line="241" w:lineRule="auto"/>
        <w:tabs>
          <w:tab w:leader="none" w:pos="405"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President and Chief Executive Officer of </w:t>
      </w:r>
      <w:r>
        <w:rPr>
          <w:rFonts w:ascii="Arial" w:cs="Arial" w:eastAsia="Arial" w:hAnsi="Arial"/>
          <w:sz w:val="14"/>
          <w:szCs w:val="14"/>
          <w:i w:val="1"/>
          <w:iCs w:val="1"/>
          <w:color w:val="auto"/>
        </w:rPr>
        <w:t>EAT Club, Inc.</w:t>
      </w:r>
      <w:r>
        <w:rPr>
          <w:rFonts w:ascii="Arial" w:cs="Arial" w:eastAsia="Arial" w:hAnsi="Arial"/>
          <w:sz w:val="14"/>
          <w:szCs w:val="14"/>
          <w:color w:val="auto"/>
        </w:rPr>
        <w:t>, the largest business-focused online lunch delivery company in the United States, from July 2016-March 2018.</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Leadership, Strategic, Finance, Food &amp; Beverage, Marketing, E-Commerce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r>
        <w:rPr>
          <w:rFonts w:ascii="Arial" w:cs="Arial" w:eastAsia="Arial" w:hAnsi="Arial"/>
          <w:sz w:val="18"/>
          <w:szCs w:val="18"/>
          <w:u w:val="single" w:color="auto"/>
          <w:color w:val="auto"/>
        </w:rPr>
        <w:t>:</w:t>
      </w:r>
    </w:p>
    <w:p>
      <w:pPr>
        <w:spacing w:after="0" w:line="1" w:lineRule="exact"/>
        <w:rPr>
          <w:sz w:val="20"/>
          <w:szCs w:val="20"/>
          <w:color w:val="auto"/>
        </w:rPr>
      </w:pPr>
    </w:p>
    <w:p>
      <w:pPr>
        <w:ind w:left="400" w:hanging="127"/>
        <w:spacing w:after="0"/>
        <w:tabs>
          <w:tab w:leader="none" w:pos="400"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Activision Blizzard, Inc.</w:t>
      </w:r>
      <w:r>
        <w:rPr>
          <w:rFonts w:ascii="Arial" w:cs="Arial" w:eastAsia="Arial" w:hAnsi="Arial"/>
          <w:sz w:val="14"/>
          <w:szCs w:val="14"/>
          <w:color w:val="auto"/>
        </w:rPr>
        <w:t>, a worldwide online, personal computer, console, handheld, and mobile game publisher:</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25"/>
        </w:numPr>
        <w:rPr>
          <w:rFonts w:ascii="Arial" w:cs="Arial" w:eastAsia="Arial" w:hAnsi="Arial"/>
          <w:sz w:val="14"/>
          <w:szCs w:val="14"/>
          <w:color w:val="003B71"/>
        </w:rPr>
      </w:pPr>
      <w:r>
        <w:rPr>
          <w:rFonts w:ascii="Arial" w:cs="Arial" w:eastAsia="Arial" w:hAnsi="Arial"/>
          <w:sz w:val="14"/>
          <w:szCs w:val="14"/>
          <w:color w:val="auto"/>
        </w:rPr>
        <w:t>Vice Chairman (March 2010-August 2016)</w:t>
      </w:r>
    </w:p>
    <w:p>
      <w:pPr>
        <w:spacing w:after="0" w:line="1" w:lineRule="exact"/>
        <w:rPr>
          <w:sz w:val="20"/>
          <w:szCs w:val="20"/>
          <w:color w:val="auto"/>
        </w:rPr>
      </w:pPr>
    </w:p>
    <w:p>
      <w:pPr>
        <w:ind w:left="4140"/>
        <w:spacing w:after="0"/>
        <w:rPr>
          <w:sz w:val="20"/>
          <w:szCs w:val="20"/>
          <w:color w:val="auto"/>
        </w:rPr>
      </w:pPr>
      <w:r>
        <w:rPr>
          <w:rFonts w:ascii="Arial" w:cs="Arial" w:eastAsia="Arial" w:hAnsi="Arial"/>
          <w:sz w:val="14"/>
          <w:szCs w:val="14"/>
          <w:b w:val="1"/>
          <w:bCs w:val="1"/>
          <w:color w:val="auto"/>
        </w:rPr>
        <w:t>Leadership, Strategic, Board/Governance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Activision Publishing, Inc.</w:t>
      </w:r>
      <w:r>
        <w:rPr>
          <w:rFonts w:ascii="Arial" w:cs="Arial" w:eastAsia="Arial" w:hAnsi="Arial"/>
          <w:sz w:val="14"/>
          <w:szCs w:val="14"/>
          <w:color w:val="auto"/>
        </w:rPr>
        <w:t xml:space="preserve"> (prior to merger with Blizzard Entertainment, Inc.), one of the world’s largest third-party video game publishers:</w:t>
      </w:r>
    </w:p>
    <w:p>
      <w:pPr>
        <w:spacing w:after="0" w:line="1" w:lineRule="exact"/>
        <w:rPr>
          <w:sz w:val="20"/>
          <w:szCs w:val="20"/>
          <w:color w:val="auto"/>
        </w:rPr>
      </w:pPr>
    </w:p>
    <w:p>
      <w:pPr>
        <w:ind w:left="600" w:hanging="183"/>
        <w:spacing w:after="0"/>
        <w:tabs>
          <w:tab w:leader="none" w:pos="600" w:val="left"/>
        </w:tabs>
        <w:numPr>
          <w:ilvl w:val="0"/>
          <w:numId w:val="26"/>
        </w:numPr>
        <w:rPr>
          <w:rFonts w:ascii="Arial" w:cs="Arial" w:eastAsia="Arial" w:hAnsi="Arial"/>
          <w:sz w:val="14"/>
          <w:szCs w:val="14"/>
          <w:color w:val="003B71"/>
        </w:rPr>
      </w:pPr>
      <w:r>
        <w:rPr>
          <w:rFonts w:ascii="Arial" w:cs="Arial" w:eastAsia="Arial" w:hAnsi="Arial"/>
          <w:sz w:val="14"/>
          <w:szCs w:val="14"/>
          <w:color w:val="auto"/>
        </w:rPr>
        <w:t>President and Chief Executive Officer (June 2005-March 2010)</w:t>
      </w:r>
    </w:p>
    <w:p>
      <w:pPr>
        <w:spacing w:after="0" w:line="1" w:lineRule="exact"/>
        <w:rPr>
          <w:sz w:val="20"/>
          <w:szCs w:val="20"/>
          <w:color w:val="auto"/>
        </w:rPr>
      </w:pPr>
    </w:p>
    <w:p>
      <w:pPr>
        <w:ind w:left="280" w:right="2820" w:firstLine="2515"/>
        <w:spacing w:after="0" w:line="241" w:lineRule="auto"/>
        <w:rPr>
          <w:sz w:val="20"/>
          <w:szCs w:val="20"/>
          <w:color w:val="auto"/>
        </w:rPr>
      </w:pPr>
      <w:r>
        <w:rPr>
          <w:rFonts w:ascii="Arial" w:cs="Arial" w:eastAsia="Arial" w:hAnsi="Arial"/>
          <w:sz w:val="14"/>
          <w:szCs w:val="14"/>
          <w:b w:val="1"/>
          <w:bCs w:val="1"/>
          <w:color w:val="auto"/>
        </w:rPr>
        <w:t xml:space="preserve">Leadership, Strategic, Finance, Amusements/Gaming, Operations, Entertainment </w:t>
      </w:r>
      <w:r>
        <w:rPr>
          <w:rFonts w:ascii="Arial" w:cs="Arial" w:eastAsia="Arial" w:hAnsi="Arial"/>
          <w:sz w:val="14"/>
          <w:szCs w:val="14"/>
          <w:color w:val="auto"/>
        </w:rPr>
        <w:t xml:space="preserve">- </w:t>
      </w:r>
      <w:r>
        <w:rPr>
          <w:rFonts w:ascii="Arial" w:cs="Arial" w:eastAsia="Arial" w:hAnsi="Arial"/>
          <w:sz w:val="14"/>
          <w:szCs w:val="14"/>
          <w:i w:val="1"/>
          <w:iCs w:val="1"/>
          <w:color w:val="auto"/>
        </w:rPr>
        <w:t>The Procter &amp; Gamble Company</w:t>
      </w:r>
      <w:r>
        <w:rPr>
          <w:rFonts w:ascii="Arial" w:cs="Arial" w:eastAsia="Arial" w:hAnsi="Arial"/>
          <w:sz w:val="14"/>
          <w:szCs w:val="14"/>
          <w:color w:val="auto"/>
        </w:rPr>
        <w:t>, a multinational consumer goods corporation:</w:t>
      </w:r>
    </w:p>
    <w:p>
      <w:pPr>
        <w:spacing w:after="0" w:line="1" w:lineRule="exact"/>
        <w:rPr>
          <w:sz w:val="20"/>
          <w:szCs w:val="20"/>
          <w:color w:val="auto"/>
        </w:rPr>
      </w:pPr>
    </w:p>
    <w:p>
      <w:pPr>
        <w:ind w:left="640" w:right="500" w:hanging="223"/>
        <w:spacing w:after="0" w:line="241" w:lineRule="auto"/>
        <w:tabs>
          <w:tab w:leader="none" w:pos="604" w:val="left"/>
        </w:tabs>
        <w:numPr>
          <w:ilvl w:val="0"/>
          <w:numId w:val="27"/>
        </w:numPr>
        <w:rPr>
          <w:rFonts w:ascii="Arial" w:cs="Arial" w:eastAsia="Arial" w:hAnsi="Arial"/>
          <w:sz w:val="14"/>
          <w:szCs w:val="14"/>
          <w:color w:val="003B71"/>
        </w:rPr>
      </w:pPr>
      <w:r>
        <w:rPr>
          <w:rFonts w:ascii="Arial" w:cs="Arial" w:eastAsia="Arial" w:hAnsi="Arial"/>
          <w:sz w:val="14"/>
          <w:szCs w:val="14"/>
          <w:color w:val="auto"/>
        </w:rPr>
        <w:t>Various executive positions, including President of the Global Beverage Division, Vice President and General Manager of Coffee Products, and Vice President and General Manager of Fabric &amp; Home Care—Japan and Korea and Fabric &amp; Home Care Strategic Planning—Asia (1981-2005)</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Leadership, Strategic, Global, Consumer Goods, Consumer Insights/Marketing</w:t>
      </w:r>
    </w:p>
    <w:p>
      <w:pPr>
        <w:sectPr>
          <w:pgSz w:w="11900" w:h="16838" w:orient="portrait"/>
          <w:cols w:equalWidth="0" w:num="1">
            <w:col w:w="11140"/>
          </w:cols>
          <w:pgMar w:left="320" w:top="459" w:right="439" w:bottom="1440" w:gutter="0" w:footer="0" w:header="0"/>
          <w:type w:val="continuous"/>
        </w:sectPr>
      </w:pPr>
    </w:p>
    <w:p>
      <w:pPr>
        <w:spacing w:after="0" w:line="36"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UBLIC</w:t>
      </w:r>
      <w:r>
        <w:rPr>
          <w:rFonts w:ascii="Arial" w:cs="Arial" w:eastAsia="Arial" w:hAnsi="Arial"/>
          <w:sz w:val="18"/>
          <w:szCs w:val="18"/>
          <w:u w:val="single" w:color="auto"/>
          <w:color w:val="auto"/>
        </w:rPr>
        <w:t xml:space="preserve"> C</w:t>
      </w:r>
      <w:r>
        <w:rPr>
          <w:rFonts w:ascii="Arial" w:cs="Arial" w:eastAsia="Arial" w:hAnsi="Arial"/>
          <w:sz w:val="14"/>
          <w:szCs w:val="14"/>
          <w:u w:val="single" w:color="auto"/>
          <w:color w:val="auto"/>
        </w:rPr>
        <w:t>OMPANY</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OARDS</w:t>
      </w:r>
      <w:r>
        <w:rPr>
          <w:rFonts w:ascii="Arial" w:cs="Arial" w:eastAsia="Arial" w:hAnsi="Arial"/>
          <w:sz w:val="18"/>
          <w:szCs w:val="18"/>
          <w:u w:val="single" w:color="auto"/>
          <w:color w:val="auto"/>
        </w:rPr>
        <w:t>:</w:t>
      </w:r>
    </w:p>
    <w:p>
      <w:pPr>
        <w:spacing w:after="0" w:line="1" w:lineRule="exact"/>
        <w:rPr>
          <w:sz w:val="20"/>
          <w:szCs w:val="20"/>
          <w:color w:val="auto"/>
        </w:rPr>
      </w:pPr>
    </w:p>
    <w:p>
      <w:pPr>
        <w:ind w:left="280"/>
        <w:spacing w:after="0"/>
        <w:tabs>
          <w:tab w:leader="none" w:pos="1420" w:val="left"/>
        </w:tabs>
        <w:rPr>
          <w:sz w:val="20"/>
          <w:szCs w:val="20"/>
          <w:color w:val="auto"/>
        </w:rPr>
      </w:pPr>
      <w:r>
        <w:rPr>
          <w:rFonts w:ascii="Arial" w:cs="Arial" w:eastAsia="Arial" w:hAnsi="Arial"/>
          <w:sz w:val="14"/>
          <w:szCs w:val="14"/>
          <w:color w:val="auto"/>
        </w:rPr>
        <w:t>- Current:</w:t>
      </w:r>
      <w:r>
        <w:rPr>
          <w:sz w:val="20"/>
          <w:szCs w:val="20"/>
          <w:color w:val="auto"/>
        </w:rPr>
        <w:tab/>
      </w:r>
      <w:r>
        <w:rPr>
          <w:rFonts w:ascii="Arial" w:cs="Arial" w:eastAsia="Arial" w:hAnsi="Arial"/>
          <w:sz w:val="14"/>
          <w:szCs w:val="14"/>
          <w:color w:val="auto"/>
        </w:rPr>
        <w:t>Dave &amp; Buster’s Entertainment, Inc.</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E</w:t>
      </w:r>
      <w:r>
        <w:rPr>
          <w:rFonts w:ascii="Arial" w:cs="Arial" w:eastAsia="Arial" w:hAnsi="Arial"/>
          <w:sz w:val="13"/>
          <w:szCs w:val="13"/>
          <w:u w:val="single" w:color="auto"/>
          <w:color w:val="auto"/>
        </w:rPr>
        <w:t>DUCATION</w:t>
      </w:r>
      <w:r>
        <w:rPr>
          <w:rFonts w:ascii="Arial" w:cs="Arial" w:eastAsia="Arial" w:hAnsi="Arial"/>
          <w:sz w:val="16"/>
          <w:szCs w:val="16"/>
          <w:u w:val="single" w:color="auto"/>
          <w:color w:val="auto"/>
        </w:rPr>
        <w:t>:</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B.A. Mathematics, Computational Math, and Economics, Albion College, MI</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Central Garden &amp; Pet Company</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 M.B.A. Finance and Strategic Planning, University of Michigan</w:t>
      </w:r>
    </w:p>
    <w:p>
      <w:pPr>
        <w:spacing w:after="0" w:line="200" w:lineRule="exact"/>
        <w:rPr>
          <w:sz w:val="20"/>
          <w:szCs w:val="20"/>
          <w:color w:val="auto"/>
        </w:rPr>
      </w:pPr>
    </w:p>
    <w:p>
      <w:pPr>
        <w:sectPr>
          <w:pgSz w:w="11900" w:h="16838" w:orient="portrait"/>
          <w:cols w:equalWidth="0" w:num="2">
            <w:col w:w="5200" w:space="500"/>
            <w:col w:w="5440"/>
          </w:cols>
          <w:pgMar w:left="320" w:top="459" w:right="439" w:bottom="1440" w:gutter="0" w:footer="0" w:header="0"/>
          <w:type w:val="continuous"/>
        </w:sectPr>
      </w:pPr>
    </w:p>
    <w:p>
      <w:pPr>
        <w:spacing w:after="0" w:line="61"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FFFFFF"/>
        </w:rPr>
        <w:t>Jonathan S. Halkyard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7003415" cy="3531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3415" cy="353187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4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2011</w:t>
      </w:r>
    </w:p>
    <w:p>
      <w:pPr>
        <w:ind w:left="1420" w:right="1100" w:hanging="1149"/>
        <w:spacing w:after="0" w:line="239" w:lineRule="auto"/>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xml:space="preserve">: </w:t>
      </w:r>
      <w:r>
        <w:rPr>
          <w:rFonts w:ascii="Arial" w:cs="Arial" w:eastAsia="Arial" w:hAnsi="Arial"/>
          <w:sz w:val="16"/>
          <w:szCs w:val="16"/>
          <w:color w:val="auto"/>
        </w:rPr>
        <w:t>Audit, Finance, and Nominating and</w:t>
      </w:r>
      <w:r>
        <w:rPr>
          <w:rFonts w:ascii="Arial" w:cs="Arial" w:eastAsia="Arial" w:hAnsi="Arial"/>
          <w:sz w:val="18"/>
          <w:szCs w:val="18"/>
          <w:color w:val="auto"/>
        </w:rPr>
        <w:t xml:space="preserve"> </w:t>
      </w:r>
      <w:r>
        <w:rPr>
          <w:rFonts w:ascii="Arial" w:cs="Arial" w:eastAsia="Arial" w:hAnsi="Arial"/>
          <w:sz w:val="16"/>
          <w:szCs w:val="16"/>
          <w:color w:val="auto"/>
        </w:rPr>
        <w:t>Corporate Governance</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R</w:t>
      </w:r>
      <w:r>
        <w:rPr>
          <w:rFonts w:ascii="Arial" w:cs="Arial" w:eastAsia="Arial" w:hAnsi="Arial"/>
          <w:sz w:val="14"/>
          <w:szCs w:val="14"/>
          <w:u w:val="single" w:color="auto"/>
          <w:color w:val="auto"/>
        </w:rPr>
        <w:t>ECENT</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OSITION</w:t>
      </w: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xml:space="preserve">: </w:t>
      </w:r>
      <w:r>
        <w:rPr>
          <w:rFonts w:ascii="Arial" w:cs="Arial" w:eastAsia="Arial" w:hAnsi="Arial"/>
          <w:sz w:val="16"/>
          <w:szCs w:val="16"/>
          <w:color w:val="auto"/>
        </w:rPr>
        <w:t>55</w:t>
      </w: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TATUS</w:t>
      </w:r>
      <w:r>
        <w:rPr>
          <w:rFonts w:ascii="Arial" w:cs="Arial" w:eastAsia="Arial" w:hAnsi="Arial"/>
          <w:sz w:val="18"/>
          <w:szCs w:val="18"/>
          <w:color w:val="auto"/>
        </w:rPr>
        <w:t xml:space="preserve">: </w:t>
      </w:r>
      <w:r>
        <w:rPr>
          <w:rFonts w:ascii="Arial" w:cs="Arial" w:eastAsia="Arial" w:hAnsi="Arial"/>
          <w:sz w:val="16"/>
          <w:szCs w:val="16"/>
          <w:color w:val="auto"/>
        </w:rPr>
        <w:t>I</w:t>
      </w:r>
      <w:r>
        <w:rPr>
          <w:rFonts w:ascii="Arial" w:cs="Arial" w:eastAsia="Arial" w:hAnsi="Arial"/>
          <w:sz w:val="13"/>
          <w:szCs w:val="13"/>
          <w:color w:val="auto"/>
        </w:rPr>
        <w:t>NDEPENDENT</w:t>
      </w:r>
    </w:p>
    <w:p>
      <w:pPr>
        <w:spacing w:after="0" w:line="419" w:lineRule="exact"/>
        <w:rPr>
          <w:sz w:val="20"/>
          <w:szCs w:val="20"/>
          <w:color w:val="auto"/>
        </w:rPr>
      </w:pPr>
    </w:p>
    <w:p>
      <w:pPr>
        <w:sectPr>
          <w:pgSz w:w="11900" w:h="16838" w:orient="portrait"/>
          <w:cols w:equalWidth="0" w:num="2">
            <w:col w:w="5060" w:space="720"/>
            <w:col w:w="5360"/>
          </w:cols>
          <w:pgMar w:left="320" w:top="459" w:right="439" w:bottom="1440" w:gutter="0" w:footer="0" w:header="0"/>
          <w:type w:val="continuous"/>
        </w:sectPr>
      </w:pPr>
    </w:p>
    <w:p>
      <w:pPr>
        <w:ind w:left="420" w:right="340" w:hanging="147"/>
        <w:spacing w:after="0" w:line="241" w:lineRule="auto"/>
        <w:tabs>
          <w:tab w:leader="none" w:pos="405"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President and Chief Executive Officer of </w:t>
      </w:r>
      <w:r>
        <w:rPr>
          <w:rFonts w:ascii="Arial" w:cs="Arial" w:eastAsia="Arial" w:hAnsi="Arial"/>
          <w:sz w:val="14"/>
          <w:szCs w:val="14"/>
          <w:i w:val="1"/>
          <w:iCs w:val="1"/>
          <w:color w:val="auto"/>
        </w:rPr>
        <w:t>Extended Stay America, Inc.</w:t>
      </w:r>
      <w:r>
        <w:rPr>
          <w:rFonts w:ascii="Arial" w:cs="Arial" w:eastAsia="Arial" w:hAnsi="Arial"/>
          <w:sz w:val="14"/>
          <w:szCs w:val="14"/>
          <w:color w:val="auto"/>
        </w:rPr>
        <w:t xml:space="preserve">, the largest owner/operator of company branded hotels in North America, and its paired-share REIT, </w:t>
      </w:r>
      <w:r>
        <w:rPr>
          <w:rFonts w:ascii="Arial" w:cs="Arial" w:eastAsia="Arial" w:hAnsi="Arial"/>
          <w:sz w:val="14"/>
          <w:szCs w:val="14"/>
          <w:i w:val="1"/>
          <w:iCs w:val="1"/>
          <w:color w:val="auto"/>
        </w:rPr>
        <w:t>ESH Hospitality, Inc.</w:t>
      </w:r>
      <w:r>
        <w:rPr>
          <w:rFonts w:ascii="Arial" w:cs="Arial" w:eastAsia="Arial" w:hAnsi="Arial"/>
          <w:sz w:val="14"/>
          <w:szCs w:val="14"/>
          <w:color w:val="auto"/>
        </w:rPr>
        <w:t>, from January 2018 to December 2019.</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Leadership, Strategic, Hospitality, Board Governance, Finance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r>
        <w:rPr>
          <w:rFonts w:ascii="Arial" w:cs="Arial" w:eastAsia="Arial" w:hAnsi="Arial"/>
          <w:sz w:val="18"/>
          <w:szCs w:val="18"/>
          <w:u w:val="single" w:color="auto"/>
          <w:color w:val="auto"/>
        </w:rPr>
        <w:t>:</w:t>
      </w:r>
    </w:p>
    <w:p>
      <w:pPr>
        <w:spacing w:after="0" w:line="1" w:lineRule="exact"/>
        <w:rPr>
          <w:sz w:val="20"/>
          <w:szCs w:val="20"/>
          <w:color w:val="auto"/>
        </w:rPr>
      </w:pPr>
    </w:p>
    <w:p>
      <w:pPr>
        <w:ind w:left="400" w:hanging="127"/>
        <w:spacing w:after="0"/>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i w:val="1"/>
          <w:iCs w:val="1"/>
          <w:color w:val="auto"/>
        </w:rPr>
        <w:t>Extended Stay America, Inc.</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29"/>
        </w:numPr>
        <w:rPr>
          <w:rFonts w:ascii="Arial" w:cs="Arial" w:eastAsia="Arial" w:hAnsi="Arial"/>
          <w:sz w:val="14"/>
          <w:szCs w:val="14"/>
          <w:color w:val="003B71"/>
        </w:rPr>
      </w:pPr>
      <w:r>
        <w:rPr>
          <w:rFonts w:ascii="Arial" w:cs="Arial" w:eastAsia="Arial" w:hAnsi="Arial"/>
          <w:sz w:val="14"/>
          <w:szCs w:val="14"/>
          <w:color w:val="auto"/>
        </w:rPr>
        <w:t>Chief Financial Officer (January 2015-December 2017)</w:t>
      </w:r>
    </w:p>
    <w:p>
      <w:pPr>
        <w:spacing w:after="0" w:line="1" w:lineRule="exact"/>
        <w:rPr>
          <w:rFonts w:ascii="Arial" w:cs="Arial" w:eastAsia="Arial" w:hAnsi="Arial"/>
          <w:sz w:val="14"/>
          <w:szCs w:val="14"/>
          <w:color w:val="003B71"/>
        </w:rPr>
      </w:pPr>
    </w:p>
    <w:p>
      <w:pPr>
        <w:ind w:left="600" w:hanging="183"/>
        <w:spacing w:after="0"/>
        <w:tabs>
          <w:tab w:leader="none" w:pos="600" w:val="left"/>
        </w:tabs>
        <w:numPr>
          <w:ilvl w:val="1"/>
          <w:numId w:val="29"/>
        </w:numPr>
        <w:rPr>
          <w:rFonts w:ascii="Arial" w:cs="Arial" w:eastAsia="Arial" w:hAnsi="Arial"/>
          <w:sz w:val="14"/>
          <w:szCs w:val="14"/>
          <w:color w:val="003B71"/>
        </w:rPr>
      </w:pPr>
      <w:r>
        <w:rPr>
          <w:rFonts w:ascii="Arial" w:cs="Arial" w:eastAsia="Arial" w:hAnsi="Arial"/>
          <w:sz w:val="14"/>
          <w:szCs w:val="14"/>
          <w:color w:val="auto"/>
        </w:rPr>
        <w:t>Chief Operating Officer (September 2013-January 2015)</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Leadership, Strategic, Hospitality, Operations, Finance</w:t>
      </w:r>
    </w:p>
    <w:p>
      <w:pPr>
        <w:spacing w:after="0" w:line="1" w:lineRule="exact"/>
        <w:rPr>
          <w:sz w:val="20"/>
          <w:szCs w:val="20"/>
          <w:color w:val="auto"/>
        </w:rPr>
      </w:pPr>
    </w:p>
    <w:p>
      <w:pPr>
        <w:ind w:left="420" w:right="720" w:hanging="147"/>
        <w:spacing w:after="0" w:line="241" w:lineRule="auto"/>
        <w:tabs>
          <w:tab w:leader="none" w:pos="405"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 xml:space="preserve">NV Energy, Inc. </w:t>
      </w:r>
      <w:r>
        <w:rPr>
          <w:rFonts w:ascii="Arial" w:cs="Arial" w:eastAsia="Arial" w:hAnsi="Arial"/>
          <w:sz w:val="14"/>
          <w:szCs w:val="14"/>
          <w:color w:val="auto"/>
        </w:rPr>
        <w:t>a holding company providing energy services and products in Nevada, and its wholly-owned utility subsidiaries, Nevada Power Company and</w:t>
      </w:r>
      <w:r>
        <w:rPr>
          <w:rFonts w:ascii="Arial" w:cs="Arial" w:eastAsia="Arial" w:hAnsi="Arial"/>
          <w:sz w:val="14"/>
          <w:szCs w:val="14"/>
          <w:i w:val="1"/>
          <w:iCs w:val="1"/>
          <w:color w:val="auto"/>
        </w:rPr>
        <w:t xml:space="preserve"> </w:t>
      </w:r>
      <w:r>
        <w:rPr>
          <w:rFonts w:ascii="Arial" w:cs="Arial" w:eastAsia="Arial" w:hAnsi="Arial"/>
          <w:sz w:val="14"/>
          <w:szCs w:val="14"/>
          <w:color w:val="auto"/>
        </w:rPr>
        <w:t>Sierra Pacific Power Company:</w:t>
      </w:r>
    </w:p>
    <w:p>
      <w:pPr>
        <w:ind w:left="420"/>
        <w:spacing w:after="0"/>
        <w:rPr>
          <w:rFonts w:ascii="Arial" w:cs="Arial" w:eastAsia="Arial" w:hAnsi="Arial"/>
          <w:sz w:val="14"/>
          <w:szCs w:val="14"/>
          <w:color w:val="auto"/>
        </w:rPr>
      </w:pPr>
      <w:r>
        <w:rPr>
          <w:rFonts w:ascii="Arial" w:cs="Arial" w:eastAsia="Arial" w:hAnsi="Arial"/>
          <w:sz w:val="14"/>
          <w:szCs w:val="14"/>
          <w:color w:val="003B71"/>
        </w:rPr>
        <w:t xml:space="preserve">•  </w:t>
      </w:r>
      <w:r>
        <w:rPr>
          <w:rFonts w:ascii="Arial" w:cs="Arial" w:eastAsia="Arial" w:hAnsi="Arial"/>
          <w:sz w:val="14"/>
          <w:szCs w:val="14"/>
          <w:color w:val="000000"/>
        </w:rPr>
        <w:t>Executive Vice President and Chief Financial Officer (July 2012-September 2013)</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Leadership, Strategic, Finance</w:t>
      </w:r>
    </w:p>
    <w:p>
      <w:pPr>
        <w:spacing w:after="0" w:line="1" w:lineRule="exact"/>
        <w:rPr>
          <w:sz w:val="20"/>
          <w:szCs w:val="20"/>
          <w:color w:val="auto"/>
        </w:rPr>
      </w:pPr>
    </w:p>
    <w:p>
      <w:pPr>
        <w:ind w:left="400" w:hanging="127"/>
        <w:spacing w:after="0"/>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 xml:space="preserve">Caesar’s Entertainment Corporation </w:t>
      </w:r>
      <w:r>
        <w:rPr>
          <w:rFonts w:ascii="Arial" w:cs="Arial" w:eastAsia="Arial" w:hAnsi="Arial"/>
          <w:sz w:val="14"/>
          <w:szCs w:val="14"/>
          <w:color w:val="auto"/>
        </w:rPr>
        <w:t>(formerly Harrah’s Entertainment, Inc.), one of the world’s largest casino entertainment providers:</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31"/>
        </w:numPr>
        <w:rPr>
          <w:rFonts w:ascii="Arial" w:cs="Arial" w:eastAsia="Arial" w:hAnsi="Arial"/>
          <w:sz w:val="14"/>
          <w:szCs w:val="14"/>
          <w:color w:val="003B71"/>
        </w:rPr>
      </w:pPr>
      <w:r>
        <w:rPr>
          <w:rFonts w:ascii="Arial" w:cs="Arial" w:eastAsia="Arial" w:hAnsi="Arial"/>
          <w:sz w:val="14"/>
          <w:szCs w:val="14"/>
          <w:color w:val="auto"/>
        </w:rPr>
        <w:t>Various executive, finance and managerial capacities, including Executive Vice President, Chief Financial Officer and Treasurer (2001-2012)</w:t>
      </w:r>
    </w:p>
    <w:p>
      <w:pPr>
        <w:spacing w:after="0" w:line="1" w:lineRule="exact"/>
        <w:rPr>
          <w:rFonts w:ascii="Arial" w:cs="Arial" w:eastAsia="Arial" w:hAnsi="Arial"/>
          <w:sz w:val="14"/>
          <w:szCs w:val="14"/>
          <w:color w:val="003B71"/>
        </w:rPr>
      </w:pPr>
    </w:p>
    <w:p>
      <w:pPr>
        <w:ind w:left="2620"/>
        <w:spacing w:after="0"/>
        <w:rPr>
          <w:rFonts w:ascii="Arial" w:cs="Arial" w:eastAsia="Arial" w:hAnsi="Arial"/>
          <w:sz w:val="14"/>
          <w:szCs w:val="14"/>
          <w:color w:val="003B71"/>
        </w:rPr>
      </w:pPr>
      <w:r>
        <w:rPr>
          <w:rFonts w:ascii="Arial" w:cs="Arial" w:eastAsia="Arial" w:hAnsi="Arial"/>
          <w:sz w:val="14"/>
          <w:szCs w:val="14"/>
          <w:b w:val="1"/>
          <w:bCs w:val="1"/>
          <w:color w:val="auto"/>
        </w:rPr>
        <w:t>Leadership, Strategic, Operations, Finance, Entertainment, Gaming, Food &amp; Beverage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UBLIC</w:t>
      </w:r>
      <w:r>
        <w:rPr>
          <w:rFonts w:ascii="Arial" w:cs="Arial" w:eastAsia="Arial" w:hAnsi="Arial"/>
          <w:sz w:val="18"/>
          <w:szCs w:val="18"/>
          <w:color w:val="auto"/>
        </w:rPr>
        <w:t xml:space="preserve"> C</w:t>
      </w:r>
      <w:r>
        <w:rPr>
          <w:rFonts w:ascii="Arial" w:cs="Arial" w:eastAsia="Arial" w:hAnsi="Arial"/>
          <w:sz w:val="14"/>
          <w:szCs w:val="14"/>
          <w:color w:val="auto"/>
        </w:rPr>
        <w:t>OMPANY</w:t>
      </w:r>
      <w:r>
        <w:rPr>
          <w:rFonts w:ascii="Arial" w:cs="Arial" w:eastAsia="Arial" w:hAnsi="Arial"/>
          <w:sz w:val="18"/>
          <w:szCs w:val="18"/>
          <w:color w:val="auto"/>
        </w:rPr>
        <w:t xml:space="preserve"> B</w:t>
      </w:r>
      <w:r>
        <w:rPr>
          <w:rFonts w:ascii="Arial" w:cs="Arial" w:eastAsia="Arial" w:hAnsi="Arial"/>
          <w:sz w:val="14"/>
          <w:szCs w:val="14"/>
          <w:color w:val="auto"/>
        </w:rPr>
        <w:t>OARDS</w:t>
      </w:r>
      <w:r>
        <w:rPr>
          <w:rFonts w:ascii="Arial" w:cs="Arial" w:eastAsia="Arial" w:hAnsi="Arial"/>
          <w:sz w:val="18"/>
          <w:szCs w:val="18"/>
          <w:color w:val="auto"/>
        </w:rPr>
        <w:t>:</w:t>
      </w:r>
    </w:p>
    <w:p>
      <w:pPr>
        <w:spacing w:after="0" w:line="20" w:lineRule="exact"/>
        <w:rPr>
          <w:sz w:val="20"/>
          <w:szCs w:val="20"/>
          <w:color w:val="auto"/>
        </w:rPr>
      </w:pPr>
    </w:p>
    <w:tbl>
      <w:tblPr>
        <w:tblLayout w:type="fixed"/>
        <w:tblInd w:w="280" w:type="dxa"/>
        <w:tblCellMar>
          <w:top w:w="0" w:type="dxa"/>
          <w:left w:w="0" w:type="dxa"/>
          <w:bottom w:w="0" w:type="dxa"/>
          <w:right w:w="0" w:type="dxa"/>
        </w:tblCellMar>
      </w:tblPr>
      <w:tr>
        <w:trPr>
          <w:trHeight w:val="20"/>
        </w:trPr>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54"/>
        </w:trPr>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980" w:type="dxa"/>
            <w:vAlign w:val="bottom"/>
          </w:tcPr>
          <w:p>
            <w:pPr>
              <w:ind w:left="40"/>
              <w:spacing w:after="0" w:line="154" w:lineRule="exact"/>
              <w:rPr>
                <w:sz w:val="20"/>
                <w:szCs w:val="20"/>
                <w:color w:val="auto"/>
              </w:rPr>
            </w:pPr>
            <w:r>
              <w:rPr>
                <w:rFonts w:ascii="Arial" w:cs="Arial" w:eastAsia="Arial" w:hAnsi="Arial"/>
                <w:sz w:val="14"/>
                <w:szCs w:val="14"/>
                <w:color w:val="auto"/>
              </w:rPr>
              <w:t>Current:</w:t>
            </w:r>
          </w:p>
        </w:tc>
        <w:tc>
          <w:tcPr>
            <w:tcW w:w="2780" w:type="dxa"/>
            <w:vAlign w:val="bottom"/>
            <w:gridSpan w:val="2"/>
          </w:tcPr>
          <w:p>
            <w:pPr>
              <w:ind w:left="100"/>
              <w:spacing w:after="0" w:line="154" w:lineRule="exact"/>
              <w:rPr>
                <w:sz w:val="20"/>
                <w:szCs w:val="20"/>
                <w:color w:val="auto"/>
              </w:rPr>
            </w:pPr>
            <w:r>
              <w:rPr>
                <w:rFonts w:ascii="Arial" w:cs="Arial" w:eastAsia="Arial" w:hAnsi="Arial"/>
                <w:sz w:val="14"/>
                <w:szCs w:val="14"/>
                <w:color w:val="auto"/>
              </w:rPr>
              <w:t>Dave &amp; Buster’s Entertainment, Inc.</w:t>
            </w:r>
          </w:p>
        </w:tc>
      </w:tr>
      <w:tr>
        <w:trPr>
          <w:trHeight w:val="172"/>
        </w:trPr>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980" w:type="dxa"/>
            <w:vAlign w:val="bottom"/>
          </w:tcPr>
          <w:p>
            <w:pPr>
              <w:ind w:left="40"/>
              <w:spacing w:after="0"/>
              <w:rPr>
                <w:sz w:val="20"/>
                <w:szCs w:val="20"/>
                <w:color w:val="auto"/>
              </w:rPr>
            </w:pPr>
            <w:r>
              <w:rPr>
                <w:rFonts w:ascii="Arial" w:cs="Arial" w:eastAsia="Arial" w:hAnsi="Arial"/>
                <w:sz w:val="14"/>
                <w:szCs w:val="14"/>
                <w:color w:val="auto"/>
              </w:rPr>
              <w:t>Past 5 years:</w:t>
            </w:r>
          </w:p>
        </w:tc>
        <w:tc>
          <w:tcPr>
            <w:tcW w:w="2780" w:type="dxa"/>
            <w:vAlign w:val="bottom"/>
            <w:gridSpan w:val="2"/>
          </w:tcPr>
          <w:p>
            <w:pPr>
              <w:ind w:left="140"/>
              <w:spacing w:after="0"/>
              <w:rPr>
                <w:sz w:val="20"/>
                <w:szCs w:val="20"/>
                <w:color w:val="auto"/>
              </w:rPr>
            </w:pPr>
            <w:r>
              <w:rPr>
                <w:rFonts w:ascii="Arial" w:cs="Arial" w:eastAsia="Arial" w:hAnsi="Arial"/>
                <w:sz w:val="14"/>
                <w:szCs w:val="14"/>
                <w:color w:val="auto"/>
              </w:rPr>
              <w:t>Extended Stay America, Inc. (2018-2019)</w:t>
            </w:r>
          </w:p>
        </w:tc>
      </w:tr>
    </w:tbl>
    <w:p>
      <w:pPr>
        <w:spacing w:after="0" w:line="14"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p>
      <w:pPr>
        <w:ind w:left="280"/>
        <w:spacing w:after="0"/>
        <w:rPr>
          <w:sz w:val="20"/>
          <w:szCs w:val="20"/>
          <w:color w:val="auto"/>
        </w:rPr>
      </w:pPr>
      <w:r>
        <w:rPr>
          <w:rFonts w:ascii="Arial" w:cs="Arial" w:eastAsia="Arial" w:hAnsi="Arial"/>
          <w:sz w:val="16"/>
          <w:szCs w:val="16"/>
          <w:u w:val="single" w:color="auto"/>
          <w:color w:val="auto"/>
        </w:rPr>
        <w:t>O</w:t>
      </w:r>
      <w:r>
        <w:rPr>
          <w:rFonts w:ascii="Arial" w:cs="Arial" w:eastAsia="Arial" w:hAnsi="Arial"/>
          <w:sz w:val="13"/>
          <w:szCs w:val="13"/>
          <w:u w:val="single" w:color="auto"/>
          <w:color w:val="auto"/>
        </w:rPr>
        <w:t>THER</w:t>
      </w:r>
      <w:r>
        <w:rPr>
          <w:rFonts w:ascii="Arial" w:cs="Arial" w:eastAsia="Arial" w:hAnsi="Arial"/>
          <w:sz w:val="16"/>
          <w:szCs w:val="16"/>
          <w:u w:val="single" w:color="auto"/>
          <w:color w:val="auto"/>
        </w:rPr>
        <w:t xml:space="preserve"> P</w:t>
      </w:r>
      <w:r>
        <w:rPr>
          <w:rFonts w:ascii="Arial" w:cs="Arial" w:eastAsia="Arial" w:hAnsi="Arial"/>
          <w:sz w:val="13"/>
          <w:szCs w:val="13"/>
          <w:u w:val="single" w:color="auto"/>
          <w:color w:val="auto"/>
        </w:rPr>
        <w:t>OSITIONS</w:t>
      </w:r>
      <w:r>
        <w:rPr>
          <w:rFonts w:ascii="Arial" w:cs="Arial" w:eastAsia="Arial" w:hAnsi="Arial"/>
          <w:sz w:val="16"/>
          <w:szCs w:val="16"/>
          <w:u w:val="single" w:color="auto"/>
          <w:color w:val="auto"/>
        </w:rPr>
        <w:t>/M</w:t>
      </w:r>
      <w:r>
        <w:rPr>
          <w:rFonts w:ascii="Arial" w:cs="Arial" w:eastAsia="Arial" w:hAnsi="Arial"/>
          <w:sz w:val="13"/>
          <w:szCs w:val="13"/>
          <w:u w:val="single" w:color="auto"/>
          <w:color w:val="auto"/>
        </w:rPr>
        <w:t>EMBERSHIPS</w:t>
      </w:r>
      <w:r>
        <w:rPr>
          <w:rFonts w:ascii="Arial" w:cs="Arial" w:eastAsia="Arial" w:hAnsi="Arial"/>
          <w:sz w:val="16"/>
          <w:szCs w:val="16"/>
          <w:u w:val="single" w:color="auto"/>
          <w:color w:val="auto"/>
        </w:rPr>
        <w:t>:</w:t>
      </w:r>
    </w:p>
    <w:p>
      <w:pPr>
        <w:spacing w:after="0" w:line="8" w:lineRule="exact"/>
        <w:rPr>
          <w:sz w:val="20"/>
          <w:szCs w:val="20"/>
          <w:color w:val="auto"/>
        </w:rPr>
      </w:pPr>
    </w:p>
    <w:p>
      <w:pPr>
        <w:ind w:left="420" w:hanging="147"/>
        <w:spacing w:after="0" w:line="258" w:lineRule="auto"/>
        <w:tabs>
          <w:tab w:leader="none" w:pos="405" w:val="left"/>
        </w:tabs>
        <w:numPr>
          <w:ilvl w:val="0"/>
          <w:numId w:val="32"/>
        </w:numPr>
        <w:rPr>
          <w:rFonts w:ascii="Arial" w:cs="Arial" w:eastAsia="Arial" w:hAnsi="Arial"/>
          <w:sz w:val="14"/>
          <w:szCs w:val="14"/>
          <w:color w:val="auto"/>
        </w:rPr>
      </w:pPr>
      <w:r>
        <w:rPr>
          <w:rFonts w:ascii="Arial" w:cs="Arial" w:eastAsia="Arial" w:hAnsi="Arial"/>
          <w:sz w:val="14"/>
          <w:szCs w:val="14"/>
          <w:color w:val="auto"/>
        </w:rPr>
        <w:t>Member, Board of Advisors, McColl School of Business, Queens University of Charlotte, NC</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E</w:t>
      </w:r>
      <w:r>
        <w:rPr>
          <w:rFonts w:ascii="Arial" w:cs="Arial" w:eastAsia="Arial" w:hAnsi="Arial"/>
          <w:sz w:val="13"/>
          <w:szCs w:val="13"/>
          <w:u w:val="single" w:color="auto"/>
          <w:color w:val="auto"/>
        </w:rPr>
        <w:t>DUCATION</w:t>
      </w:r>
      <w:r>
        <w:rPr>
          <w:rFonts w:ascii="Arial" w:cs="Arial" w:eastAsia="Arial" w:hAnsi="Arial"/>
          <w:sz w:val="16"/>
          <w:szCs w:val="16"/>
          <w:u w:val="single" w:color="auto"/>
          <w:color w:val="auto"/>
        </w:rPr>
        <w:t>:</w:t>
      </w:r>
    </w:p>
    <w:p>
      <w:pPr>
        <w:spacing w:after="0" w:line="8" w:lineRule="exact"/>
        <w:rPr>
          <w:sz w:val="20"/>
          <w:szCs w:val="20"/>
          <w:color w:val="auto"/>
        </w:rPr>
      </w:pPr>
    </w:p>
    <w:p>
      <w:pPr>
        <w:ind w:left="400" w:hanging="127"/>
        <w:spacing w:after="0"/>
        <w:tabs>
          <w:tab w:leader="none" w:pos="4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 Economics, Colgate University</w:t>
      </w:r>
    </w:p>
    <w:p>
      <w:pPr>
        <w:spacing w:after="0" w:line="25" w:lineRule="exact"/>
        <w:rPr>
          <w:rFonts w:ascii="Arial" w:cs="Arial" w:eastAsia="Arial" w:hAnsi="Arial"/>
          <w:sz w:val="14"/>
          <w:szCs w:val="14"/>
          <w:color w:val="auto"/>
        </w:rPr>
      </w:pPr>
    </w:p>
    <w:p>
      <w:pPr>
        <w:ind w:left="280"/>
        <w:spacing w:after="0"/>
        <w:rPr>
          <w:rFonts w:ascii="Arial" w:cs="Arial" w:eastAsia="Arial" w:hAnsi="Arial"/>
          <w:sz w:val="14"/>
          <w:szCs w:val="14"/>
          <w:color w:val="auto"/>
        </w:rPr>
      </w:pPr>
      <w:r>
        <w:rPr>
          <w:rFonts w:ascii="Arial" w:cs="Arial" w:eastAsia="Arial" w:hAnsi="Arial"/>
          <w:sz w:val="16"/>
          <w:szCs w:val="16"/>
          <w:u w:val="single" w:color="auto"/>
          <w:color w:val="auto"/>
        </w:rPr>
        <w:t>A</w:t>
      </w:r>
      <w:r>
        <w:rPr>
          <w:rFonts w:ascii="Arial" w:cs="Arial" w:eastAsia="Arial" w:hAnsi="Arial"/>
          <w:sz w:val="13"/>
          <w:szCs w:val="13"/>
          <w:u w:val="single" w:color="auto"/>
          <w:color w:val="auto"/>
        </w:rPr>
        <w:t>CCOLADES</w:t>
      </w:r>
      <w:r>
        <w:rPr>
          <w:rFonts w:ascii="Arial" w:cs="Arial" w:eastAsia="Arial" w:hAnsi="Arial"/>
          <w:sz w:val="16"/>
          <w:szCs w:val="16"/>
          <w:u w:val="single" w:color="auto"/>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135" w:hanging="135"/>
        <w:spacing w:after="0"/>
        <w:tabs>
          <w:tab w:leader="none" w:pos="135" w:val="left"/>
        </w:tabs>
        <w:numPr>
          <w:ilvl w:val="0"/>
          <w:numId w:val="34"/>
        </w:numPr>
        <w:rPr>
          <w:rFonts w:ascii="Arial" w:cs="Arial" w:eastAsia="Arial" w:hAnsi="Arial"/>
          <w:sz w:val="14"/>
          <w:szCs w:val="14"/>
          <w:color w:val="auto"/>
        </w:rPr>
      </w:pPr>
      <w:r>
        <w:rPr>
          <w:rFonts w:ascii="Arial" w:cs="Arial" w:eastAsia="Arial" w:hAnsi="Arial"/>
          <w:sz w:val="14"/>
          <w:szCs w:val="14"/>
          <w:color w:val="auto"/>
        </w:rPr>
        <w:t>Member, Board of Trustees, Charlotte Latin School, NC</w:t>
      </w:r>
    </w:p>
    <w:p>
      <w:pPr>
        <w:spacing w:after="0" w:line="392" w:lineRule="exact"/>
        <w:rPr>
          <w:rFonts w:ascii="Arial" w:cs="Arial" w:eastAsia="Arial" w:hAnsi="Arial"/>
          <w:sz w:val="14"/>
          <w:szCs w:val="14"/>
          <w:color w:val="auto"/>
        </w:rPr>
      </w:pPr>
    </w:p>
    <w:p>
      <w:pPr>
        <w:ind w:left="135" w:hanging="135"/>
        <w:spacing w:after="0"/>
        <w:tabs>
          <w:tab w:leader="none" w:pos="135" w:val="left"/>
        </w:tabs>
        <w:numPr>
          <w:ilvl w:val="0"/>
          <w:numId w:val="34"/>
        </w:numPr>
        <w:rPr>
          <w:rFonts w:ascii="Arial" w:cs="Arial" w:eastAsia="Arial" w:hAnsi="Arial"/>
          <w:sz w:val="14"/>
          <w:szCs w:val="14"/>
          <w:color w:val="auto"/>
        </w:rPr>
      </w:pPr>
      <w:r>
        <w:rPr>
          <w:rFonts w:ascii="Arial" w:cs="Arial" w:eastAsia="Arial" w:hAnsi="Arial"/>
          <w:sz w:val="14"/>
          <w:szCs w:val="14"/>
          <w:color w:val="auto"/>
        </w:rPr>
        <w:t>M.B.A. Harvard Business School</w:t>
      </w:r>
    </w:p>
    <w:p>
      <w:pPr>
        <w:spacing w:after="0" w:line="217" w:lineRule="exact"/>
        <w:rPr>
          <w:sz w:val="20"/>
          <w:szCs w:val="20"/>
          <w:color w:val="auto"/>
        </w:rPr>
      </w:pPr>
    </w:p>
    <w:p>
      <w:pPr>
        <w:sectPr>
          <w:pgSz w:w="11900" w:h="16838" w:orient="portrait"/>
          <w:cols w:equalWidth="0" w:num="2">
            <w:col w:w="5340" w:space="365"/>
            <w:col w:w="5435"/>
          </w:cols>
          <w:pgMar w:left="320" w:top="459" w:right="439" w:bottom="1440" w:gutter="0" w:footer="0" w:header="0"/>
          <w:type w:val="continuous"/>
        </w:sectPr>
      </w:pPr>
    </w:p>
    <w:p>
      <w:pPr>
        <w:ind w:left="280"/>
        <w:spacing w:after="0"/>
        <w:rPr>
          <w:sz w:val="20"/>
          <w:szCs w:val="20"/>
          <w:color w:val="auto"/>
        </w:rPr>
      </w:pPr>
      <w:r>
        <w:rPr>
          <w:rFonts w:ascii="Arial" w:cs="Arial" w:eastAsia="Arial" w:hAnsi="Arial"/>
          <w:sz w:val="14"/>
          <w:szCs w:val="14"/>
          <w:color w:val="auto"/>
        </w:rPr>
        <w:t>- 2013 Civitas Laurel Award, Foundation for an Independent Tomorrow, Las Vegas, NV</w:t>
      </w:r>
    </w:p>
    <w:p>
      <w:pPr>
        <w:spacing w:after="0" w:line="243" w:lineRule="exact"/>
        <w:rPr>
          <w:sz w:val="20"/>
          <w:szCs w:val="20"/>
          <w:color w:val="auto"/>
        </w:rPr>
      </w:pPr>
    </w:p>
    <w:p>
      <w:pPr>
        <w:ind w:left="120"/>
        <w:spacing w:after="0"/>
        <w:tabs>
          <w:tab w:leader="none" w:pos="560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6</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2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FFFFF"/>
        </w:rPr>
        <w:t>John C. Hockin</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2020</w:t>
      </w:r>
    </w:p>
    <w:p>
      <w:pPr>
        <w:ind w:left="280"/>
        <w:spacing w:after="0" w:line="234" w:lineRule="auto"/>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xml:space="preserve">: </w:t>
      </w:r>
      <w:r>
        <w:rPr>
          <w:rFonts w:ascii="Arial" w:cs="Arial" w:eastAsia="Arial" w:hAnsi="Arial"/>
          <w:sz w:val="16"/>
          <w:szCs w:val="16"/>
          <w:color w:val="auto"/>
        </w:rPr>
        <w:t>Compensation &amp; Finance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URRENT</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OSITION</w:t>
      </w: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xml:space="preserve">: </w:t>
      </w: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-299085</wp:posOffset>
            </wp:positionV>
            <wp:extent cx="7003415" cy="28460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3415" cy="2846070"/>
                    </a:xfrm>
                    <a:prstGeom prst="rect">
                      <a:avLst/>
                    </a:prstGeom>
                    <a:noFill/>
                  </pic:spPr>
                </pic:pic>
              </a:graphicData>
            </a:graphic>
          </wp:anchor>
        </w:drawing>
      </w:r>
    </w:p>
    <w:p>
      <w:pPr>
        <w:jc w:val="center"/>
        <w:ind w:right="284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TATUS</w:t>
      </w:r>
      <w:r>
        <w:rPr>
          <w:rFonts w:ascii="Arial" w:cs="Arial" w:eastAsia="Arial" w:hAnsi="Arial"/>
          <w:sz w:val="18"/>
          <w:szCs w:val="18"/>
          <w:color w:val="auto"/>
        </w:rPr>
        <w:t xml:space="preserve">: </w:t>
      </w:r>
      <w:r>
        <w:rPr>
          <w:rFonts w:ascii="Arial" w:cs="Arial" w:eastAsia="Arial" w:hAnsi="Arial"/>
          <w:sz w:val="16"/>
          <w:szCs w:val="16"/>
          <w:color w:val="auto"/>
        </w:rPr>
        <w:t>I</w:t>
      </w:r>
      <w:r>
        <w:rPr>
          <w:rFonts w:ascii="Arial" w:cs="Arial" w:eastAsia="Arial" w:hAnsi="Arial"/>
          <w:sz w:val="13"/>
          <w:szCs w:val="13"/>
          <w:color w:val="auto"/>
        </w:rPr>
        <w:t>NDEPENDENT</w:t>
      </w:r>
    </w:p>
    <w:p>
      <w:pPr>
        <w:spacing w:after="0" w:line="203" w:lineRule="exact"/>
        <w:rPr>
          <w:sz w:val="20"/>
          <w:szCs w:val="20"/>
          <w:color w:val="auto"/>
        </w:rPr>
      </w:pPr>
    </w:p>
    <w:p>
      <w:pPr>
        <w:sectPr>
          <w:pgSz w:w="11900" w:h="16838" w:orient="portrait"/>
          <w:cols w:equalWidth="0" w:num="2">
            <w:col w:w="5060" w:space="720"/>
            <w:col w:w="5360"/>
          </w:cols>
          <w:pgMar w:left="320" w:top="459" w:right="439" w:bottom="1440" w:gutter="0" w:footer="0" w:header="0"/>
          <w:type w:val="continuous"/>
        </w:sectPr>
      </w:pPr>
    </w:p>
    <w:p>
      <w:pPr>
        <w:ind w:left="420" w:right="660" w:hanging="147"/>
        <w:spacing w:after="0" w:line="241" w:lineRule="auto"/>
        <w:tabs>
          <w:tab w:leader="none" w:pos="405"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Managing Director, Public Equity Investing, </w:t>
      </w:r>
      <w:r>
        <w:rPr>
          <w:rFonts w:ascii="Arial" w:cs="Arial" w:eastAsia="Arial" w:hAnsi="Arial"/>
          <w:sz w:val="14"/>
          <w:szCs w:val="14"/>
          <w:i w:val="1"/>
          <w:iCs w:val="1"/>
          <w:color w:val="auto"/>
        </w:rPr>
        <w:t>Kohlberg Kravis Roberts &amp; Co.</w:t>
      </w:r>
      <w:r>
        <w:rPr>
          <w:rFonts w:ascii="Arial" w:cs="Arial" w:eastAsia="Arial" w:hAnsi="Arial"/>
          <w:sz w:val="14"/>
          <w:szCs w:val="14"/>
          <w:color w:val="auto"/>
        </w:rPr>
        <w:t>, a global investment firm with over $200bn of assets under management since April 2015.</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Leadership, Strategic, Investments, Finance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r>
        <w:rPr>
          <w:rFonts w:ascii="Arial" w:cs="Arial" w:eastAsia="Arial" w:hAnsi="Arial"/>
          <w:sz w:val="18"/>
          <w:szCs w:val="18"/>
          <w:u w:val="single" w:color="auto"/>
          <w:color w:val="auto"/>
        </w:rPr>
        <w:t>:</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Golden Gate Capital</w:t>
      </w:r>
      <w:r>
        <w:rPr>
          <w:rFonts w:ascii="Arial" w:cs="Arial" w:eastAsia="Arial" w:hAnsi="Arial"/>
          <w:sz w:val="14"/>
          <w:szCs w:val="14"/>
          <w:color w:val="auto"/>
        </w:rPr>
        <w:t>, a San Francisco-based private equity firm with over $12bn in committed capital under management:</w:t>
      </w:r>
    </w:p>
    <w:p>
      <w:pPr>
        <w:spacing w:after="0" w:line="1" w:lineRule="exact"/>
        <w:rPr>
          <w:sz w:val="20"/>
          <w:szCs w:val="20"/>
          <w:color w:val="auto"/>
        </w:rPr>
      </w:pPr>
    </w:p>
    <w:p>
      <w:pPr>
        <w:ind w:left="600" w:hanging="183"/>
        <w:spacing w:after="0"/>
        <w:tabs>
          <w:tab w:leader="none" w:pos="600" w:val="left"/>
        </w:tabs>
        <w:numPr>
          <w:ilvl w:val="0"/>
          <w:numId w:val="36"/>
        </w:numPr>
        <w:rPr>
          <w:rFonts w:ascii="Arial" w:cs="Arial" w:eastAsia="Arial" w:hAnsi="Arial"/>
          <w:sz w:val="14"/>
          <w:szCs w:val="14"/>
          <w:color w:val="003B71"/>
        </w:rPr>
      </w:pPr>
      <w:r>
        <w:rPr>
          <w:rFonts w:ascii="Arial" w:cs="Arial" w:eastAsia="Arial" w:hAnsi="Arial"/>
          <w:sz w:val="14"/>
          <w:szCs w:val="14"/>
          <w:color w:val="auto"/>
        </w:rPr>
        <w:t>Co-head of Public Equity Investing (2010-2015)</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Leadership, Strategic, Investments, Finance</w:t>
      </w:r>
    </w:p>
    <w:p>
      <w:pPr>
        <w:spacing w:after="0" w:line="1" w:lineRule="exact"/>
        <w:rPr>
          <w:sz w:val="20"/>
          <w:szCs w:val="20"/>
          <w:color w:val="auto"/>
        </w:rPr>
      </w:pPr>
    </w:p>
    <w:p>
      <w:pPr>
        <w:ind w:left="400" w:hanging="127"/>
        <w:spacing w:after="0"/>
        <w:tabs>
          <w:tab w:leader="none" w:pos="400" w:val="left"/>
        </w:tabs>
        <w:numPr>
          <w:ilvl w:val="0"/>
          <w:numId w:val="37"/>
        </w:numPr>
        <w:rPr>
          <w:rFonts w:ascii="Arial" w:cs="Arial" w:eastAsia="Arial" w:hAnsi="Arial"/>
          <w:sz w:val="14"/>
          <w:szCs w:val="14"/>
          <w:color w:val="auto"/>
        </w:rPr>
      </w:pPr>
      <w:r>
        <w:rPr>
          <w:rFonts w:ascii="Arial" w:cs="Arial" w:eastAsia="Arial" w:hAnsi="Arial"/>
          <w:sz w:val="14"/>
          <w:szCs w:val="14"/>
          <w:i w:val="1"/>
          <w:iCs w:val="1"/>
          <w:color w:val="auto"/>
        </w:rPr>
        <w:t>J.H. Whitney &amp; Co.</w:t>
      </w:r>
      <w:r>
        <w:rPr>
          <w:rFonts w:ascii="Arial" w:cs="Arial" w:eastAsia="Arial" w:hAnsi="Arial"/>
          <w:sz w:val="14"/>
          <w:szCs w:val="14"/>
          <w:color w:val="auto"/>
        </w:rPr>
        <w:t>, a private equity firm founded in 1946:</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37"/>
        </w:numPr>
        <w:rPr>
          <w:rFonts w:ascii="Arial" w:cs="Arial" w:eastAsia="Arial" w:hAnsi="Arial"/>
          <w:sz w:val="14"/>
          <w:szCs w:val="14"/>
          <w:color w:val="003B71"/>
        </w:rPr>
      </w:pPr>
      <w:r>
        <w:rPr>
          <w:rFonts w:ascii="Arial" w:cs="Arial" w:eastAsia="Arial" w:hAnsi="Arial"/>
          <w:sz w:val="14"/>
          <w:szCs w:val="14"/>
          <w:color w:val="auto"/>
        </w:rPr>
        <w:t>Partner (1995-2010)</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Leadership, Strategic, Corporate Governance, Investments, Finance</w:t>
      </w:r>
    </w:p>
    <w:p>
      <w:pPr>
        <w:spacing w:after="0" w:line="1" w:lineRule="exact"/>
        <w:rPr>
          <w:sz w:val="20"/>
          <w:szCs w:val="20"/>
          <w:color w:val="auto"/>
        </w:rPr>
      </w:pPr>
    </w:p>
    <w:p>
      <w:pPr>
        <w:ind w:left="420" w:right="520" w:hanging="147"/>
        <w:spacing w:after="0" w:line="241" w:lineRule="auto"/>
        <w:tabs>
          <w:tab w:leader="none" w:pos="405" w:val="left"/>
        </w:tabs>
        <w:numPr>
          <w:ilvl w:val="0"/>
          <w:numId w:val="38"/>
        </w:numPr>
        <w:rPr>
          <w:rFonts w:ascii="Arial" w:cs="Arial" w:eastAsia="Arial" w:hAnsi="Arial"/>
          <w:sz w:val="14"/>
          <w:szCs w:val="14"/>
          <w:color w:val="auto"/>
        </w:rPr>
      </w:pPr>
      <w:r>
        <w:rPr>
          <w:rFonts w:ascii="Arial" w:cs="Arial" w:eastAsia="Arial" w:hAnsi="Arial"/>
          <w:sz w:val="14"/>
          <w:szCs w:val="14"/>
          <w:i w:val="1"/>
          <w:iCs w:val="1"/>
          <w:color w:val="auto"/>
        </w:rPr>
        <w:t xml:space="preserve">Morgan Stanley, </w:t>
      </w:r>
      <w:r>
        <w:rPr>
          <w:rFonts w:ascii="Arial" w:cs="Arial" w:eastAsia="Arial" w:hAnsi="Arial"/>
          <w:sz w:val="14"/>
          <w:szCs w:val="14"/>
          <w:color w:val="auto"/>
        </w:rPr>
        <w:t>a financial holding company providing various financial products and services to corporations, governments, financial institutions and individuals</w:t>
      </w:r>
      <w:r>
        <w:rPr>
          <w:rFonts w:ascii="Arial" w:cs="Arial" w:eastAsia="Arial" w:hAnsi="Arial"/>
          <w:sz w:val="14"/>
          <w:szCs w:val="14"/>
          <w:i w:val="1"/>
          <w:iCs w:val="1"/>
          <w:color w:val="auto"/>
        </w:rPr>
        <w:t xml:space="preserve"> </w:t>
      </w:r>
      <w:r>
        <w:rPr>
          <w:rFonts w:ascii="Arial" w:cs="Arial" w:eastAsia="Arial" w:hAnsi="Arial"/>
          <w:sz w:val="14"/>
          <w:szCs w:val="14"/>
          <w:color w:val="auto"/>
        </w:rPr>
        <w:t>globally:</w:t>
      </w:r>
    </w:p>
    <w:p>
      <w:pPr>
        <w:ind w:left="420"/>
        <w:spacing w:after="0"/>
        <w:rPr>
          <w:rFonts w:ascii="Arial" w:cs="Arial" w:eastAsia="Arial" w:hAnsi="Arial"/>
          <w:sz w:val="14"/>
          <w:szCs w:val="14"/>
          <w:color w:val="auto"/>
        </w:rPr>
      </w:pPr>
      <w:r>
        <w:rPr>
          <w:rFonts w:ascii="Arial" w:cs="Arial" w:eastAsia="Arial" w:hAnsi="Arial"/>
          <w:sz w:val="14"/>
          <w:szCs w:val="14"/>
          <w:color w:val="003B71"/>
        </w:rPr>
        <w:t xml:space="preserve">•  </w:t>
      </w:r>
      <w:r>
        <w:rPr>
          <w:rFonts w:ascii="Arial" w:cs="Arial" w:eastAsia="Arial" w:hAnsi="Arial"/>
          <w:sz w:val="14"/>
          <w:szCs w:val="14"/>
          <w:color w:val="000000"/>
        </w:rPr>
        <w:t>Analyst (1993-1995)</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Investments, Finance</w:t>
      </w:r>
    </w:p>
    <w:p>
      <w:pPr>
        <w:spacing w:after="0" w:line="36"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UBLIC</w:t>
      </w:r>
      <w:r>
        <w:rPr>
          <w:rFonts w:ascii="Arial" w:cs="Arial" w:eastAsia="Arial" w:hAnsi="Arial"/>
          <w:sz w:val="18"/>
          <w:szCs w:val="18"/>
          <w:u w:val="single" w:color="auto"/>
          <w:color w:val="auto"/>
        </w:rPr>
        <w:t xml:space="preserve"> C</w:t>
      </w:r>
      <w:r>
        <w:rPr>
          <w:rFonts w:ascii="Arial" w:cs="Arial" w:eastAsia="Arial" w:hAnsi="Arial"/>
          <w:sz w:val="14"/>
          <w:szCs w:val="14"/>
          <w:u w:val="single" w:color="auto"/>
          <w:color w:val="auto"/>
        </w:rPr>
        <w:t>OMPANY</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OARDS</w:t>
      </w:r>
      <w:r>
        <w:rPr>
          <w:rFonts w:ascii="Arial" w:cs="Arial" w:eastAsia="Arial" w:hAnsi="Arial"/>
          <w:sz w:val="18"/>
          <w:szCs w:val="18"/>
          <w:u w:val="single" w:color="auto"/>
          <w:color w:val="auto"/>
        </w:rPr>
        <w:t>:</w:t>
      </w:r>
    </w:p>
    <w:p>
      <w:pPr>
        <w:spacing w:after="0" w:line="1" w:lineRule="exact"/>
        <w:rPr>
          <w:sz w:val="20"/>
          <w:szCs w:val="20"/>
          <w:color w:val="auto"/>
        </w:rPr>
      </w:pPr>
    </w:p>
    <w:p>
      <w:pPr>
        <w:ind w:left="280"/>
        <w:spacing w:after="0"/>
        <w:tabs>
          <w:tab w:leader="none" w:pos="1420" w:val="left"/>
        </w:tabs>
        <w:rPr>
          <w:sz w:val="20"/>
          <w:szCs w:val="20"/>
          <w:color w:val="auto"/>
        </w:rPr>
      </w:pPr>
      <w:r>
        <w:rPr>
          <w:rFonts w:ascii="Arial" w:cs="Arial" w:eastAsia="Arial" w:hAnsi="Arial"/>
          <w:sz w:val="14"/>
          <w:szCs w:val="14"/>
          <w:color w:val="auto"/>
        </w:rPr>
        <w:t>- Current:</w:t>
      </w:r>
      <w:r>
        <w:rPr>
          <w:sz w:val="20"/>
          <w:szCs w:val="20"/>
          <w:color w:val="auto"/>
        </w:rPr>
        <w:tab/>
      </w:r>
      <w:r>
        <w:rPr>
          <w:rFonts w:ascii="Arial" w:cs="Arial" w:eastAsia="Arial" w:hAnsi="Arial"/>
          <w:sz w:val="14"/>
          <w:szCs w:val="14"/>
          <w:color w:val="auto"/>
        </w:rPr>
        <w:t>Dave &amp; Buster’s Entertainment, Inc.</w:t>
      </w:r>
    </w:p>
    <w:p>
      <w:pPr>
        <w:sectPr>
          <w:pgSz w:w="11900" w:h="16838" w:orient="portrait"/>
          <w:cols w:equalWidth="0" w:num="1">
            <w:col w:w="11140"/>
          </w:cols>
          <w:pgMar w:left="320" w:top="459" w:right="439" w:bottom="1440" w:gutter="0" w:footer="0" w:header="0"/>
          <w:type w:val="continuous"/>
        </w:sectPr>
      </w:pPr>
    </w:p>
    <w:p>
      <w:pPr>
        <w:spacing w:after="0" w:line="22"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THER</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OSITIONS</w:t>
      </w:r>
      <w:r>
        <w:rPr>
          <w:rFonts w:ascii="Arial" w:cs="Arial" w:eastAsia="Arial" w:hAnsi="Arial"/>
          <w:sz w:val="18"/>
          <w:szCs w:val="18"/>
          <w:u w:val="single" w:color="auto"/>
          <w:color w:val="auto"/>
        </w:rPr>
        <w:t>/M</w:t>
      </w:r>
      <w:r>
        <w:rPr>
          <w:rFonts w:ascii="Arial" w:cs="Arial" w:eastAsia="Arial" w:hAnsi="Arial"/>
          <w:sz w:val="14"/>
          <w:szCs w:val="14"/>
          <w:u w:val="single" w:color="auto"/>
          <w:color w:val="auto"/>
        </w:rPr>
        <w:t>EMBERSHIPS</w:t>
      </w:r>
      <w:r>
        <w:rPr>
          <w:rFonts w:ascii="Arial" w:cs="Arial" w:eastAsia="Arial" w:hAnsi="Arial"/>
          <w:sz w:val="18"/>
          <w:szCs w:val="18"/>
          <w:u w:val="single" w:color="auto"/>
          <w:color w:val="auto"/>
        </w:rPr>
        <w:t>:</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Board Member, Episcopal Impact Fund</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E</w:t>
      </w:r>
      <w:r>
        <w:rPr>
          <w:rFonts w:ascii="Arial" w:cs="Arial" w:eastAsia="Arial" w:hAnsi="Arial"/>
          <w:sz w:val="13"/>
          <w:szCs w:val="13"/>
          <w:u w:val="single" w:color="auto"/>
          <w:color w:val="auto"/>
        </w:rPr>
        <w:t>DUCATION</w:t>
      </w:r>
      <w:r>
        <w:rPr>
          <w:rFonts w:ascii="Arial" w:cs="Arial" w:eastAsia="Arial" w:hAnsi="Arial"/>
          <w:sz w:val="16"/>
          <w:szCs w:val="16"/>
          <w:u w:val="single" w:color="auto"/>
          <w:color w:val="auto"/>
        </w:rPr>
        <w:t>:</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B.A. Economics, Yale University (cum laude)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color w:val="auto"/>
        </w:rPr>
        <w:t>- M.B.A. Stanford University Graduate School of Business (Arjay Miller Scholar)</w:t>
      </w:r>
    </w:p>
    <w:p>
      <w:pPr>
        <w:spacing w:after="0" w:line="200" w:lineRule="exact"/>
        <w:rPr>
          <w:sz w:val="20"/>
          <w:szCs w:val="20"/>
          <w:color w:val="auto"/>
        </w:rPr>
      </w:pPr>
    </w:p>
    <w:p>
      <w:pPr>
        <w:sectPr>
          <w:pgSz w:w="11900" w:h="16838" w:orient="portrait"/>
          <w:cols w:equalWidth="0" w:num="2">
            <w:col w:w="4980" w:space="720"/>
            <w:col w:w="5440"/>
          </w:cols>
          <w:pgMar w:left="320" w:top="459" w:right="439" w:bottom="1440" w:gutter="0" w:footer="0" w:header="0"/>
          <w:type w:val="continuous"/>
        </w:sectPr>
      </w:pPr>
    </w:p>
    <w:p>
      <w:pPr>
        <w:spacing w:after="0" w:line="61"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FFFFF"/>
        </w:rPr>
        <w:t>Brian A. Jenkins</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2018</w:t>
      </w:r>
    </w:p>
    <w:p>
      <w:pPr>
        <w:ind w:left="280"/>
        <w:spacing w:after="0" w:line="234" w:lineRule="auto"/>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xml:space="preserve">: </w:t>
      </w:r>
      <w:r>
        <w:rPr>
          <w:rFonts w:ascii="Arial" w:cs="Arial" w:eastAsia="Arial" w:hAnsi="Arial"/>
          <w:sz w:val="16"/>
          <w:szCs w:val="16"/>
          <w:color w:val="auto"/>
        </w:rPr>
        <w:t>None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URRENT</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OSITION</w:t>
      </w: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xml:space="preserve">: </w:t>
      </w: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-299085</wp:posOffset>
            </wp:positionV>
            <wp:extent cx="7003415" cy="23914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3415" cy="23914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TATUS</w:t>
      </w:r>
      <w:r>
        <w:rPr>
          <w:rFonts w:ascii="Arial" w:cs="Arial" w:eastAsia="Arial" w:hAnsi="Arial"/>
          <w:sz w:val="18"/>
          <w:szCs w:val="18"/>
          <w:color w:val="auto"/>
        </w:rPr>
        <w:t xml:space="preserve">: </w:t>
      </w:r>
      <w:r>
        <w:rPr>
          <w:rFonts w:ascii="Arial" w:cs="Arial" w:eastAsia="Arial" w:hAnsi="Arial"/>
          <w:sz w:val="16"/>
          <w:szCs w:val="16"/>
          <w:color w:val="auto"/>
        </w:rPr>
        <w:t>M</w:t>
      </w:r>
      <w:r>
        <w:rPr>
          <w:rFonts w:ascii="Arial" w:cs="Arial" w:eastAsia="Arial" w:hAnsi="Arial"/>
          <w:sz w:val="13"/>
          <w:szCs w:val="13"/>
          <w:color w:val="auto"/>
        </w:rPr>
        <w:t>ANAGEMENT</w:t>
      </w:r>
    </w:p>
    <w:p>
      <w:pPr>
        <w:spacing w:after="0" w:line="203" w:lineRule="exact"/>
        <w:rPr>
          <w:sz w:val="20"/>
          <w:szCs w:val="20"/>
          <w:color w:val="auto"/>
        </w:rPr>
      </w:pPr>
    </w:p>
    <w:p>
      <w:pPr>
        <w:sectPr>
          <w:pgSz w:w="11900" w:h="16838" w:orient="portrait"/>
          <w:cols w:equalWidth="0" w:num="2">
            <w:col w:w="5060" w:space="720"/>
            <w:col w:w="5360"/>
          </w:cols>
          <w:pgMar w:left="320" w:top="459" w:right="439" w:bottom="1440" w:gutter="0" w:footer="0" w:header="0"/>
          <w:type w:val="continuous"/>
        </w:sectPr>
      </w:pPr>
    </w:p>
    <w:p>
      <w:pPr>
        <w:ind w:left="280"/>
        <w:spacing w:after="0"/>
        <w:rPr>
          <w:sz w:val="20"/>
          <w:szCs w:val="20"/>
          <w:color w:val="auto"/>
        </w:rPr>
      </w:pPr>
      <w:r>
        <w:rPr>
          <w:rFonts w:ascii="Arial" w:cs="Arial" w:eastAsia="Arial" w:hAnsi="Arial"/>
          <w:sz w:val="14"/>
          <w:szCs w:val="14"/>
          <w:color w:val="auto"/>
        </w:rPr>
        <w:t xml:space="preserve">- Chief Executive Officer for </w:t>
      </w:r>
      <w:r>
        <w:rPr>
          <w:rFonts w:ascii="Arial" w:cs="Arial" w:eastAsia="Arial" w:hAnsi="Arial"/>
          <w:sz w:val="14"/>
          <w:szCs w:val="14"/>
          <w:i w:val="1"/>
          <w:iCs w:val="1"/>
          <w:color w:val="auto"/>
        </w:rPr>
        <w:t>Dave &amp; Buster’s Entertainment, Inc.</w:t>
      </w:r>
      <w:r>
        <w:rPr>
          <w:rFonts w:ascii="Arial" w:cs="Arial" w:eastAsia="Arial" w:hAnsi="Arial"/>
          <w:sz w:val="14"/>
          <w:szCs w:val="14"/>
          <w:color w:val="auto"/>
        </w:rPr>
        <w:t>, since August 2018.</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Leadership, Strategic, Board Governance, Finance, Operations, Food &amp; Beverage, Amusements/Gaming, Marketing, Consumer Insights, Global</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r>
        <w:rPr>
          <w:rFonts w:ascii="Arial" w:cs="Arial" w:eastAsia="Arial" w:hAnsi="Arial"/>
          <w:sz w:val="18"/>
          <w:szCs w:val="18"/>
          <w:u w:val="single" w:color="auto"/>
          <w:color w:val="auto"/>
        </w:rPr>
        <w:t>:</w:t>
      </w:r>
    </w:p>
    <w:p>
      <w:pPr>
        <w:spacing w:after="0" w:line="1" w:lineRule="exact"/>
        <w:rPr>
          <w:sz w:val="20"/>
          <w:szCs w:val="20"/>
          <w:color w:val="auto"/>
        </w:rPr>
      </w:pPr>
    </w:p>
    <w:p>
      <w:pPr>
        <w:ind w:left="400" w:hanging="127"/>
        <w:spacing w:after="0"/>
        <w:tabs>
          <w:tab w:leader="none" w:pos="400" w:val="left"/>
        </w:tabs>
        <w:numPr>
          <w:ilvl w:val="0"/>
          <w:numId w:val="39"/>
        </w:numPr>
        <w:rPr>
          <w:rFonts w:ascii="Arial" w:cs="Arial" w:eastAsia="Arial" w:hAnsi="Arial"/>
          <w:sz w:val="14"/>
          <w:szCs w:val="14"/>
          <w:color w:val="auto"/>
        </w:rPr>
      </w:pPr>
      <w:r>
        <w:rPr>
          <w:rFonts w:ascii="Arial" w:cs="Arial" w:eastAsia="Arial" w:hAnsi="Arial"/>
          <w:sz w:val="14"/>
          <w:szCs w:val="14"/>
          <w:i w:val="1"/>
          <w:iCs w:val="1"/>
          <w:color w:val="auto"/>
        </w:rPr>
        <w:t>Dave &amp; Buster’s Entertainment, Inc.</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39"/>
        </w:numPr>
        <w:rPr>
          <w:rFonts w:ascii="Arial" w:cs="Arial" w:eastAsia="Arial" w:hAnsi="Arial"/>
          <w:sz w:val="14"/>
          <w:szCs w:val="14"/>
          <w:color w:val="003B71"/>
        </w:rPr>
      </w:pPr>
      <w:r>
        <w:rPr>
          <w:rFonts w:ascii="Arial" w:cs="Arial" w:eastAsia="Arial" w:hAnsi="Arial"/>
          <w:sz w:val="14"/>
          <w:szCs w:val="14"/>
          <w:color w:val="auto"/>
        </w:rPr>
        <w:t>Senior Vice President and Chief Financial Officer (December 2006-August 2018)</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Leadership, Strategic, Finance, Consumer Insights, Global, Food &amp; Beverage, Amusements/Gaming</w:t>
      </w:r>
    </w:p>
    <w:p>
      <w:pPr>
        <w:spacing w:after="0" w:line="1" w:lineRule="exact"/>
        <w:rPr>
          <w:sz w:val="20"/>
          <w:szCs w:val="20"/>
          <w:color w:val="auto"/>
        </w:rPr>
      </w:pPr>
    </w:p>
    <w:p>
      <w:pPr>
        <w:ind w:left="400" w:hanging="127"/>
        <w:spacing w:after="0"/>
        <w:tabs>
          <w:tab w:leader="none" w:pos="400" w:val="left"/>
        </w:tabs>
        <w:numPr>
          <w:ilvl w:val="0"/>
          <w:numId w:val="40"/>
        </w:numPr>
        <w:rPr>
          <w:rFonts w:ascii="Arial" w:cs="Arial" w:eastAsia="Arial" w:hAnsi="Arial"/>
          <w:sz w:val="14"/>
          <w:szCs w:val="14"/>
          <w:color w:val="auto"/>
        </w:rPr>
      </w:pPr>
      <w:r>
        <w:rPr>
          <w:rFonts w:ascii="Arial" w:cs="Arial" w:eastAsia="Arial" w:hAnsi="Arial"/>
          <w:sz w:val="14"/>
          <w:szCs w:val="14"/>
          <w:i w:val="1"/>
          <w:iCs w:val="1"/>
          <w:color w:val="auto"/>
        </w:rPr>
        <w:t xml:space="preserve">Six Flags, Inc., </w:t>
      </w:r>
      <w:r>
        <w:rPr>
          <w:rFonts w:ascii="Arial" w:cs="Arial" w:eastAsia="Arial" w:hAnsi="Arial"/>
          <w:sz w:val="14"/>
          <w:szCs w:val="14"/>
          <w:color w:val="auto"/>
        </w:rPr>
        <w:t>an amusement park operator:</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40"/>
        </w:numPr>
        <w:rPr>
          <w:rFonts w:ascii="Arial" w:cs="Arial" w:eastAsia="Arial" w:hAnsi="Arial"/>
          <w:sz w:val="14"/>
          <w:szCs w:val="14"/>
          <w:color w:val="003B71"/>
        </w:rPr>
      </w:pPr>
      <w:r>
        <w:rPr>
          <w:rFonts w:ascii="Arial" w:cs="Arial" w:eastAsia="Arial" w:hAnsi="Arial"/>
          <w:sz w:val="14"/>
          <w:szCs w:val="14"/>
          <w:color w:val="auto"/>
        </w:rPr>
        <w:t>Various positions, including Senior Vice President—Finance (1996-2006)</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Leadership, Strategic, Finance, Consumer Insights, Global, Food &amp; Beverage, Amusements</w:t>
      </w:r>
    </w:p>
    <w:p>
      <w:pPr>
        <w:spacing w:after="0" w:line="1" w:lineRule="exact"/>
        <w:rPr>
          <w:sz w:val="20"/>
          <w:szCs w:val="20"/>
          <w:color w:val="auto"/>
        </w:rPr>
      </w:pPr>
    </w:p>
    <w:p>
      <w:pPr>
        <w:ind w:left="400" w:hanging="127"/>
        <w:spacing w:after="0"/>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 xml:space="preserve">FoxMeyer Health Corporation, </w:t>
      </w:r>
      <w:r>
        <w:rPr>
          <w:rFonts w:ascii="Arial" w:cs="Arial" w:eastAsia="Arial" w:hAnsi="Arial"/>
          <w:sz w:val="14"/>
          <w:szCs w:val="14"/>
          <w:color w:val="auto"/>
        </w:rPr>
        <w:t>a wholesale pharmaceuticals distributor:</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41"/>
        </w:numPr>
        <w:rPr>
          <w:rFonts w:ascii="Arial" w:cs="Arial" w:eastAsia="Arial" w:hAnsi="Arial"/>
          <w:sz w:val="14"/>
          <w:szCs w:val="14"/>
          <w:color w:val="003B71"/>
        </w:rPr>
      </w:pPr>
      <w:r>
        <w:rPr>
          <w:rFonts w:ascii="Arial" w:cs="Arial" w:eastAsia="Arial" w:hAnsi="Arial"/>
          <w:sz w:val="14"/>
          <w:szCs w:val="14"/>
          <w:color w:val="auto"/>
        </w:rPr>
        <w:t>Various finance positions, including Vice President of Corporate Planning and Business Development (1990-1996)</w:t>
      </w:r>
    </w:p>
    <w:p>
      <w:pPr>
        <w:spacing w:after="0" w:line="1" w:lineRule="exact"/>
        <w:rPr>
          <w:rFonts w:ascii="Arial" w:cs="Arial" w:eastAsia="Arial" w:hAnsi="Arial"/>
          <w:sz w:val="14"/>
          <w:szCs w:val="14"/>
          <w:color w:val="003B71"/>
        </w:rPr>
      </w:pPr>
    </w:p>
    <w:p>
      <w:pPr>
        <w:ind w:left="4520"/>
        <w:spacing w:after="0"/>
        <w:rPr>
          <w:rFonts w:ascii="Arial" w:cs="Arial" w:eastAsia="Arial" w:hAnsi="Arial"/>
          <w:sz w:val="14"/>
          <w:szCs w:val="14"/>
          <w:color w:val="003B71"/>
        </w:rPr>
      </w:pPr>
      <w:r>
        <w:rPr>
          <w:rFonts w:ascii="Arial" w:cs="Arial" w:eastAsia="Arial" w:hAnsi="Arial"/>
          <w:sz w:val="14"/>
          <w:szCs w:val="14"/>
          <w:b w:val="1"/>
          <w:bCs w:val="1"/>
          <w:color w:val="auto"/>
        </w:rPr>
        <w:t>Leadership, Strategic, Finance</w:t>
      </w:r>
    </w:p>
    <w:p>
      <w:pPr>
        <w:sectPr>
          <w:pgSz w:w="11900" w:h="16838" w:orient="portrait"/>
          <w:cols w:equalWidth="0" w:num="1">
            <w:col w:w="11140"/>
          </w:cols>
          <w:pgMar w:left="320" w:top="459" w:right="439" w:bottom="1440" w:gutter="0" w:footer="0" w:header="0"/>
          <w:type w:val="continuous"/>
        </w:sectPr>
      </w:pPr>
    </w:p>
    <w:p>
      <w:pPr>
        <w:spacing w:after="0" w:line="36"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UBLIC</w:t>
      </w:r>
      <w:r>
        <w:rPr>
          <w:rFonts w:ascii="Arial" w:cs="Arial" w:eastAsia="Arial" w:hAnsi="Arial"/>
          <w:sz w:val="18"/>
          <w:szCs w:val="18"/>
          <w:u w:val="single" w:color="auto"/>
          <w:color w:val="auto"/>
        </w:rPr>
        <w:t xml:space="preserve"> C</w:t>
      </w:r>
      <w:r>
        <w:rPr>
          <w:rFonts w:ascii="Arial" w:cs="Arial" w:eastAsia="Arial" w:hAnsi="Arial"/>
          <w:sz w:val="14"/>
          <w:szCs w:val="14"/>
          <w:u w:val="single" w:color="auto"/>
          <w:color w:val="auto"/>
        </w:rPr>
        <w:t>OMPANY</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OARDS</w:t>
      </w:r>
      <w:r>
        <w:rPr>
          <w:rFonts w:ascii="Arial" w:cs="Arial" w:eastAsia="Arial" w:hAnsi="Arial"/>
          <w:sz w:val="18"/>
          <w:szCs w:val="18"/>
          <w:u w:val="single" w:color="auto"/>
          <w:color w:val="auto"/>
        </w:rPr>
        <w:t>:</w:t>
      </w:r>
    </w:p>
    <w:p>
      <w:pPr>
        <w:spacing w:after="0" w:line="1" w:lineRule="exact"/>
        <w:rPr>
          <w:sz w:val="20"/>
          <w:szCs w:val="20"/>
          <w:color w:val="auto"/>
        </w:rPr>
      </w:pPr>
    </w:p>
    <w:p>
      <w:pPr>
        <w:ind w:left="280"/>
        <w:spacing w:after="0"/>
        <w:tabs>
          <w:tab w:leader="none" w:pos="1420" w:val="left"/>
        </w:tabs>
        <w:rPr>
          <w:sz w:val="20"/>
          <w:szCs w:val="20"/>
          <w:color w:val="auto"/>
        </w:rPr>
      </w:pPr>
      <w:r>
        <w:rPr>
          <w:rFonts w:ascii="Arial" w:cs="Arial" w:eastAsia="Arial" w:hAnsi="Arial"/>
          <w:sz w:val="14"/>
          <w:szCs w:val="14"/>
          <w:color w:val="auto"/>
        </w:rPr>
        <w:t>- Current:</w:t>
      </w:r>
      <w:r>
        <w:rPr>
          <w:sz w:val="20"/>
          <w:szCs w:val="20"/>
          <w:color w:val="auto"/>
        </w:rPr>
        <w:tab/>
      </w:r>
      <w:r>
        <w:rPr>
          <w:rFonts w:ascii="Arial" w:cs="Arial" w:eastAsia="Arial" w:hAnsi="Arial"/>
          <w:sz w:val="14"/>
          <w:szCs w:val="14"/>
          <w:color w:val="auto"/>
        </w:rPr>
        <w:t>Dave &amp; Buster’s Entertainment, Inc.</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E</w:t>
      </w:r>
      <w:r>
        <w:rPr>
          <w:rFonts w:ascii="Arial" w:cs="Arial" w:eastAsia="Arial" w:hAnsi="Arial"/>
          <w:sz w:val="13"/>
          <w:szCs w:val="13"/>
          <w:u w:val="single" w:color="auto"/>
          <w:color w:val="auto"/>
        </w:rPr>
        <w:t>DUCATION</w:t>
      </w:r>
      <w:r>
        <w:rPr>
          <w:rFonts w:ascii="Arial" w:cs="Arial" w:eastAsia="Arial" w:hAnsi="Arial"/>
          <w:sz w:val="16"/>
          <w:szCs w:val="16"/>
          <w:u w:val="single" w:color="auto"/>
          <w:color w:val="auto"/>
        </w:rPr>
        <w:t>:</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B.S. Commerce, Finance/MIS, University of Virginia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 M.B.A. Southern Methodist University</w:t>
      </w:r>
    </w:p>
    <w:p>
      <w:pPr>
        <w:spacing w:after="0" w:line="200" w:lineRule="exact"/>
        <w:rPr>
          <w:sz w:val="20"/>
          <w:szCs w:val="20"/>
          <w:color w:val="auto"/>
        </w:rPr>
      </w:pPr>
    </w:p>
    <w:p>
      <w:pPr>
        <w:sectPr>
          <w:pgSz w:w="11900" w:h="16838" w:orient="portrait"/>
          <w:cols w:equalWidth="0" w:num="2">
            <w:col w:w="4980" w:space="720"/>
            <w:col w:w="5440"/>
          </w:cols>
          <w:pgMar w:left="320" w:top="459" w:right="439" w:bottom="1440" w:gutter="0" w:footer="0" w:header="0"/>
          <w:type w:val="continuous"/>
        </w:sectPr>
      </w:pPr>
    </w:p>
    <w:p>
      <w:pPr>
        <w:spacing w:after="0" w:line="219" w:lineRule="exact"/>
        <w:rPr>
          <w:sz w:val="20"/>
          <w:szCs w:val="20"/>
          <w:color w:val="auto"/>
        </w:rPr>
      </w:pPr>
    </w:p>
    <w:p>
      <w:pPr>
        <w:ind w:left="120"/>
        <w:spacing w:after="0"/>
        <w:tabs>
          <w:tab w:leader="none" w:pos="560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7</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2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FFFFF"/>
        </w:rPr>
        <w:t>Stephen M. King</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2006</w:t>
      </w:r>
    </w:p>
    <w:p>
      <w:pPr>
        <w:ind w:left="280"/>
        <w:spacing w:after="0" w:line="234" w:lineRule="auto"/>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xml:space="preserve">: </w:t>
      </w:r>
      <w:r>
        <w:rPr>
          <w:rFonts w:ascii="Arial" w:cs="Arial" w:eastAsia="Arial" w:hAnsi="Arial"/>
          <w:sz w:val="16"/>
          <w:szCs w:val="16"/>
          <w:color w:val="auto"/>
        </w:rPr>
        <w:t>None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URRENT</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OSITION</w:t>
      </w: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xml:space="preserve">: </w:t>
      </w: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-299085</wp:posOffset>
            </wp:positionV>
            <wp:extent cx="7003415" cy="2682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3415" cy="26828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TATUS</w:t>
      </w:r>
      <w:r>
        <w:rPr>
          <w:rFonts w:ascii="Arial" w:cs="Arial" w:eastAsia="Arial" w:hAnsi="Arial"/>
          <w:sz w:val="18"/>
          <w:szCs w:val="18"/>
          <w:color w:val="auto"/>
        </w:rPr>
        <w:t xml:space="preserve">: </w:t>
      </w:r>
      <w:r>
        <w:rPr>
          <w:rFonts w:ascii="Arial" w:cs="Arial" w:eastAsia="Arial" w:hAnsi="Arial"/>
          <w:sz w:val="16"/>
          <w:szCs w:val="16"/>
          <w:color w:val="auto"/>
        </w:rPr>
        <w:t>N</w:t>
      </w:r>
      <w:r>
        <w:rPr>
          <w:rFonts w:ascii="Arial" w:cs="Arial" w:eastAsia="Arial" w:hAnsi="Arial"/>
          <w:sz w:val="13"/>
          <w:szCs w:val="13"/>
          <w:color w:val="auto"/>
        </w:rPr>
        <w:t>ON</w:t>
      </w:r>
      <w:r>
        <w:rPr>
          <w:rFonts w:ascii="Arial" w:cs="Arial" w:eastAsia="Arial" w:hAnsi="Arial"/>
          <w:sz w:val="16"/>
          <w:szCs w:val="16"/>
          <w:color w:val="auto"/>
        </w:rPr>
        <w:t>-I</w:t>
      </w:r>
      <w:r>
        <w:rPr>
          <w:rFonts w:ascii="Arial" w:cs="Arial" w:eastAsia="Arial" w:hAnsi="Arial"/>
          <w:sz w:val="13"/>
          <w:szCs w:val="13"/>
          <w:color w:val="auto"/>
        </w:rPr>
        <w:t>NDEPENDENT</w:t>
      </w:r>
    </w:p>
    <w:p>
      <w:pPr>
        <w:spacing w:after="0" w:line="203" w:lineRule="exact"/>
        <w:rPr>
          <w:sz w:val="20"/>
          <w:szCs w:val="20"/>
          <w:color w:val="auto"/>
        </w:rPr>
      </w:pPr>
    </w:p>
    <w:p>
      <w:pPr>
        <w:sectPr>
          <w:pgSz w:w="11900" w:h="16838" w:orient="portrait"/>
          <w:cols w:equalWidth="0" w:num="2">
            <w:col w:w="4980" w:space="720"/>
            <w:col w:w="5440"/>
          </w:cols>
          <w:pgMar w:left="320" w:top="459" w:right="439" w:bottom="1440" w:gutter="0" w:footer="0" w:header="0"/>
          <w:type w:val="continuous"/>
        </w:sectPr>
      </w:pPr>
    </w:p>
    <w:p>
      <w:pPr>
        <w:ind w:left="280"/>
        <w:spacing w:after="0"/>
        <w:rPr>
          <w:sz w:val="20"/>
          <w:szCs w:val="20"/>
          <w:color w:val="auto"/>
        </w:rPr>
      </w:pPr>
      <w:r>
        <w:rPr>
          <w:rFonts w:ascii="Arial" w:cs="Arial" w:eastAsia="Arial" w:hAnsi="Arial"/>
          <w:sz w:val="14"/>
          <w:szCs w:val="14"/>
          <w:color w:val="auto"/>
        </w:rPr>
        <w:t xml:space="preserve">- Chairman of the Board of </w:t>
      </w:r>
      <w:r>
        <w:rPr>
          <w:rFonts w:ascii="Arial" w:cs="Arial" w:eastAsia="Arial" w:hAnsi="Arial"/>
          <w:sz w:val="14"/>
          <w:szCs w:val="14"/>
          <w:i w:val="1"/>
          <w:iCs w:val="1"/>
          <w:color w:val="auto"/>
        </w:rPr>
        <w:t>Dave &amp; Buster’s Entertainment, Inc.</w:t>
      </w:r>
      <w:r>
        <w:rPr>
          <w:rFonts w:ascii="Arial" w:cs="Arial" w:eastAsia="Arial" w:hAnsi="Arial"/>
          <w:sz w:val="14"/>
          <w:szCs w:val="14"/>
          <w:color w:val="auto"/>
        </w:rPr>
        <w:t>, since July 2017.</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Leadership, Strategic, Board Governance, Finance, Operations, Food &amp; Beverage, Amusements/Gaming, Marketing, Consumer Insights, Global</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r>
        <w:rPr>
          <w:rFonts w:ascii="Arial" w:cs="Arial" w:eastAsia="Arial" w:hAnsi="Arial"/>
          <w:sz w:val="18"/>
          <w:szCs w:val="18"/>
          <w:u w:val="single" w:color="auto"/>
          <w:color w:val="auto"/>
        </w:rPr>
        <w:t>:</w:t>
      </w:r>
    </w:p>
    <w:p>
      <w:pPr>
        <w:spacing w:after="0" w:line="1" w:lineRule="exact"/>
        <w:rPr>
          <w:sz w:val="20"/>
          <w:szCs w:val="20"/>
          <w:color w:val="auto"/>
        </w:rPr>
      </w:pPr>
    </w:p>
    <w:p>
      <w:pPr>
        <w:ind w:left="400" w:hanging="127"/>
        <w:spacing w:after="0"/>
        <w:tabs>
          <w:tab w:leader="none" w:pos="40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Dave &amp; Buster’s Entertainment, Inc.</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42"/>
        </w:numPr>
        <w:rPr>
          <w:rFonts w:ascii="Arial" w:cs="Arial" w:eastAsia="Arial" w:hAnsi="Arial"/>
          <w:sz w:val="14"/>
          <w:szCs w:val="14"/>
          <w:color w:val="003B71"/>
        </w:rPr>
      </w:pPr>
      <w:r>
        <w:rPr>
          <w:rFonts w:ascii="Arial" w:cs="Arial" w:eastAsia="Arial" w:hAnsi="Arial"/>
          <w:sz w:val="14"/>
          <w:szCs w:val="14"/>
          <w:color w:val="auto"/>
        </w:rPr>
        <w:t>Chief Executive Officer (September 2006-August 2018)</w:t>
      </w:r>
    </w:p>
    <w:p>
      <w:pPr>
        <w:spacing w:after="0" w:line="1" w:lineRule="exact"/>
        <w:rPr>
          <w:rFonts w:ascii="Arial" w:cs="Arial" w:eastAsia="Arial" w:hAnsi="Arial"/>
          <w:sz w:val="14"/>
          <w:szCs w:val="14"/>
          <w:color w:val="003B71"/>
        </w:rPr>
      </w:pPr>
    </w:p>
    <w:p>
      <w:pPr>
        <w:ind w:left="600" w:hanging="183"/>
        <w:spacing w:after="0"/>
        <w:tabs>
          <w:tab w:leader="none" w:pos="600" w:val="left"/>
        </w:tabs>
        <w:numPr>
          <w:ilvl w:val="1"/>
          <w:numId w:val="42"/>
        </w:numPr>
        <w:rPr>
          <w:rFonts w:ascii="Arial" w:cs="Arial" w:eastAsia="Arial" w:hAnsi="Arial"/>
          <w:sz w:val="14"/>
          <w:szCs w:val="14"/>
          <w:color w:val="003B71"/>
        </w:rPr>
      </w:pPr>
      <w:r>
        <w:rPr>
          <w:rFonts w:ascii="Arial" w:cs="Arial" w:eastAsia="Arial" w:hAnsi="Arial"/>
          <w:sz w:val="14"/>
          <w:szCs w:val="14"/>
          <w:color w:val="auto"/>
        </w:rPr>
        <w:t>Senior Vice President and Chief Financial Officer (2006)</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Leadership, Strategic, Board Governance, Finance, Operations, Food &amp; Beverage, Amusements/Gaming, Marketing, Consumer Insights, Global</w:t>
      </w:r>
    </w:p>
    <w:p>
      <w:pPr>
        <w:spacing w:after="0" w:line="1" w:lineRule="exact"/>
        <w:rPr>
          <w:sz w:val="20"/>
          <w:szCs w:val="20"/>
          <w:color w:val="auto"/>
        </w:rPr>
      </w:pPr>
    </w:p>
    <w:p>
      <w:pPr>
        <w:ind w:left="400" w:hanging="127"/>
        <w:spacing w:after="0"/>
        <w:tabs>
          <w:tab w:leader="none" w:pos="40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Carlson Restaurants Worldwide Inc.</w:t>
      </w:r>
      <w:r>
        <w:rPr>
          <w:rFonts w:ascii="Arial" w:cs="Arial" w:eastAsia="Arial" w:hAnsi="Arial"/>
          <w:sz w:val="14"/>
          <w:szCs w:val="14"/>
          <w:color w:val="auto"/>
        </w:rPr>
        <w:t>, an owner, franchisor and operator of casual dining restaurant brands worldwide, including T.G.I. Friday’s:</w:t>
      </w:r>
    </w:p>
    <w:p>
      <w:pPr>
        <w:spacing w:after="0" w:line="1" w:lineRule="exact"/>
        <w:rPr>
          <w:rFonts w:ascii="Arial" w:cs="Arial" w:eastAsia="Arial" w:hAnsi="Arial"/>
          <w:sz w:val="14"/>
          <w:szCs w:val="14"/>
          <w:i w:val="1"/>
          <w:iCs w:val="1"/>
          <w:color w:val="auto"/>
        </w:rPr>
      </w:pPr>
    </w:p>
    <w:p>
      <w:pPr>
        <w:ind w:left="640" w:right="480" w:hanging="223"/>
        <w:spacing w:after="0" w:line="241" w:lineRule="auto"/>
        <w:tabs>
          <w:tab w:leader="none" w:pos="604" w:val="left"/>
        </w:tabs>
        <w:numPr>
          <w:ilvl w:val="1"/>
          <w:numId w:val="43"/>
        </w:numPr>
        <w:rPr>
          <w:rFonts w:ascii="Arial" w:cs="Arial" w:eastAsia="Arial" w:hAnsi="Arial"/>
          <w:sz w:val="14"/>
          <w:szCs w:val="14"/>
          <w:color w:val="003B71"/>
        </w:rPr>
      </w:pPr>
      <w:r>
        <w:rPr>
          <w:rFonts w:ascii="Arial" w:cs="Arial" w:eastAsia="Arial" w:hAnsi="Arial"/>
          <w:sz w:val="14"/>
          <w:szCs w:val="14"/>
          <w:color w:val="auto"/>
        </w:rPr>
        <w:t>Various executive and management capacities, including, Chief Financial Officer, Chief Administrative Officer, Chief Operating Officer, and President and Chief Operating Officer of International (1984-2006)</w:t>
      </w:r>
    </w:p>
    <w:p>
      <w:pPr>
        <w:ind w:left="1460"/>
        <w:spacing w:after="0"/>
        <w:rPr>
          <w:rFonts w:ascii="Arial" w:cs="Arial" w:eastAsia="Arial" w:hAnsi="Arial"/>
          <w:sz w:val="14"/>
          <w:szCs w:val="14"/>
          <w:color w:val="003B71"/>
        </w:rPr>
      </w:pPr>
      <w:r>
        <w:rPr>
          <w:rFonts w:ascii="Arial" w:cs="Arial" w:eastAsia="Arial" w:hAnsi="Arial"/>
          <w:sz w:val="14"/>
          <w:szCs w:val="14"/>
          <w:b w:val="1"/>
          <w:bCs w:val="1"/>
          <w:color w:val="auto"/>
        </w:rPr>
        <w:t>Leadership, Strategic, Finance, Operations, Food &amp; Beverage, Supply Chain, Information Technology, Franchise, Global</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UBLIC</w:t>
      </w:r>
      <w:r>
        <w:rPr>
          <w:rFonts w:ascii="Arial" w:cs="Arial" w:eastAsia="Arial" w:hAnsi="Arial"/>
          <w:sz w:val="18"/>
          <w:szCs w:val="18"/>
          <w:u w:val="single" w:color="auto"/>
          <w:color w:val="auto"/>
        </w:rPr>
        <w:t xml:space="preserve"> C</w:t>
      </w:r>
      <w:r>
        <w:rPr>
          <w:rFonts w:ascii="Arial" w:cs="Arial" w:eastAsia="Arial" w:hAnsi="Arial"/>
          <w:sz w:val="14"/>
          <w:szCs w:val="14"/>
          <w:u w:val="single" w:color="auto"/>
          <w:color w:val="auto"/>
        </w:rPr>
        <w:t>OMPANY</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OARDS</w:t>
      </w:r>
      <w:r>
        <w:rPr>
          <w:rFonts w:ascii="Arial" w:cs="Arial" w:eastAsia="Arial" w:hAnsi="Arial"/>
          <w:sz w:val="18"/>
          <w:szCs w:val="18"/>
          <w:u w:val="single" w:color="auto"/>
          <w:color w:val="auto"/>
        </w:rPr>
        <w:t>:</w:t>
      </w:r>
    </w:p>
    <w:p>
      <w:pPr>
        <w:sectPr>
          <w:pgSz w:w="11900" w:h="16838" w:orient="portrait"/>
          <w:cols w:equalWidth="0" w:num="1">
            <w:col w:w="11140"/>
          </w:cols>
          <w:pgMar w:left="320" w:top="459" w:right="439" w:bottom="1440" w:gutter="0" w:footer="0" w:header="0"/>
          <w:type w:val="continuous"/>
        </w:sectPr>
      </w:pPr>
    </w:p>
    <w:p>
      <w:pPr>
        <w:ind w:left="280"/>
        <w:spacing w:after="0"/>
        <w:tabs>
          <w:tab w:leader="none" w:pos="1420" w:val="left"/>
        </w:tabs>
        <w:rPr>
          <w:sz w:val="20"/>
          <w:szCs w:val="20"/>
          <w:color w:val="auto"/>
        </w:rPr>
      </w:pPr>
      <w:r>
        <w:rPr>
          <w:rFonts w:ascii="Arial" w:cs="Arial" w:eastAsia="Arial" w:hAnsi="Arial"/>
          <w:sz w:val="14"/>
          <w:szCs w:val="14"/>
          <w:color w:val="auto"/>
        </w:rPr>
        <w:t>- Current:</w:t>
      </w:r>
      <w:r>
        <w:rPr>
          <w:sz w:val="20"/>
          <w:szCs w:val="20"/>
          <w:color w:val="auto"/>
        </w:rPr>
        <w:tab/>
      </w:r>
      <w:r>
        <w:rPr>
          <w:rFonts w:ascii="Arial" w:cs="Arial" w:eastAsia="Arial" w:hAnsi="Arial"/>
          <w:sz w:val="14"/>
          <w:szCs w:val="14"/>
          <w:color w:val="auto"/>
        </w:rPr>
        <w:t>Dave &amp; Buster’s Entertainment, Inc.</w:t>
      </w:r>
    </w:p>
    <w:p>
      <w:pPr>
        <w:ind w:left="280"/>
        <w:spacing w:after="0"/>
        <w:rPr>
          <w:sz w:val="20"/>
          <w:szCs w:val="20"/>
          <w:color w:val="auto"/>
        </w:rPr>
      </w:pPr>
      <w:r>
        <w:rPr>
          <w:rFonts w:ascii="Arial" w:cs="Arial" w:eastAsia="Arial" w:hAnsi="Arial"/>
          <w:sz w:val="16"/>
          <w:szCs w:val="16"/>
          <w:u w:val="single" w:color="auto"/>
          <w:color w:val="auto"/>
        </w:rPr>
        <w:t>E</w:t>
      </w:r>
      <w:r>
        <w:rPr>
          <w:rFonts w:ascii="Arial" w:cs="Arial" w:eastAsia="Arial" w:hAnsi="Arial"/>
          <w:sz w:val="13"/>
          <w:szCs w:val="13"/>
          <w:u w:val="single" w:color="auto"/>
          <w:color w:val="auto"/>
        </w:rPr>
        <w:t>DUCATION</w:t>
      </w:r>
      <w:r>
        <w:rPr>
          <w:rFonts w:ascii="Arial" w:cs="Arial" w:eastAsia="Arial" w:hAnsi="Arial"/>
          <w:sz w:val="16"/>
          <w:szCs w:val="16"/>
          <w:u w:val="single" w:color="auto"/>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Ruth’s Hospitality Group, Inc.</w:t>
      </w:r>
    </w:p>
    <w:p>
      <w:pPr>
        <w:spacing w:after="0" w:line="190" w:lineRule="exact"/>
        <w:rPr>
          <w:sz w:val="20"/>
          <w:szCs w:val="20"/>
          <w:color w:val="auto"/>
        </w:rPr>
      </w:pPr>
    </w:p>
    <w:p>
      <w:pPr>
        <w:sectPr>
          <w:pgSz w:w="11900" w:h="16838" w:orient="portrait"/>
          <w:cols w:equalWidth="0" w:num="2">
            <w:col w:w="4920" w:space="720"/>
            <w:col w:w="5500"/>
          </w:cols>
          <w:pgMar w:left="320" w:top="459" w:right="439" w:bottom="1440" w:gutter="0" w:footer="0" w:header="0"/>
          <w:type w:val="continuous"/>
        </w:sectPr>
      </w:pPr>
    </w:p>
    <w:p>
      <w:pPr>
        <w:ind w:left="400" w:hanging="127"/>
        <w:spacing w:after="0"/>
        <w:tabs>
          <w:tab w:leader="none" w:pos="4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B.S. Hotel &amp; Restaurant Administration, Cornell University</w:t>
      </w:r>
    </w:p>
    <w:p>
      <w:pPr>
        <w:spacing w:after="0" w:line="11" w:lineRule="exact"/>
        <w:rPr>
          <w:rFonts w:ascii="Arial" w:cs="Arial" w:eastAsia="Arial" w:hAnsi="Arial"/>
          <w:sz w:val="14"/>
          <w:szCs w:val="14"/>
          <w:color w:val="auto"/>
        </w:rPr>
      </w:pPr>
    </w:p>
    <w:p>
      <w:pPr>
        <w:ind w:left="280"/>
        <w:spacing w:after="0" w:line="233" w:lineRule="auto"/>
        <w:rPr>
          <w:rFonts w:ascii="Arial" w:cs="Arial" w:eastAsia="Arial" w:hAnsi="Arial"/>
          <w:sz w:val="14"/>
          <w:szCs w:val="14"/>
          <w:color w:val="auto"/>
        </w:rPr>
      </w:pPr>
      <w:r>
        <w:rPr>
          <w:rFonts w:ascii="Arial" w:cs="Arial" w:eastAsia="Arial" w:hAnsi="Arial"/>
          <w:sz w:val="16"/>
          <w:szCs w:val="16"/>
          <w:u w:val="single" w:color="auto"/>
          <w:color w:val="auto"/>
        </w:rPr>
        <w:t>A</w:t>
      </w:r>
      <w:r>
        <w:rPr>
          <w:rFonts w:ascii="Arial" w:cs="Arial" w:eastAsia="Arial" w:hAnsi="Arial"/>
          <w:sz w:val="13"/>
          <w:szCs w:val="13"/>
          <w:u w:val="single" w:color="auto"/>
          <w:color w:val="auto"/>
        </w:rPr>
        <w:t>CCOLADES</w:t>
      </w:r>
      <w:r>
        <w:rPr>
          <w:rFonts w:ascii="Arial" w:cs="Arial" w:eastAsia="Arial" w:hAnsi="Arial"/>
          <w:sz w:val="16"/>
          <w:szCs w:val="16"/>
          <w:u w:val="single" w:color="auto"/>
          <w:color w:val="auto"/>
        </w:rPr>
        <w:t>:</w:t>
      </w:r>
    </w:p>
    <w:p>
      <w:pPr>
        <w:ind w:left="400" w:hanging="127"/>
        <w:spacing w:after="0"/>
        <w:tabs>
          <w:tab w:leader="none" w:pos="4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2017 Golden Chain Award Honoree, Nation’s Restaurant News</w:t>
      </w:r>
    </w:p>
    <w:p>
      <w:pPr>
        <w:spacing w:after="0" w:line="1" w:lineRule="exact"/>
        <w:rPr>
          <w:rFonts w:ascii="Arial" w:cs="Arial" w:eastAsia="Arial" w:hAnsi="Arial"/>
          <w:sz w:val="14"/>
          <w:szCs w:val="14"/>
          <w:color w:val="auto"/>
        </w:rPr>
      </w:pPr>
    </w:p>
    <w:p>
      <w:pPr>
        <w:ind w:left="400" w:hanging="127"/>
        <w:spacing w:after="0"/>
        <w:tabs>
          <w:tab w:leader="none" w:pos="4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Ernst &amp; Young Entrepreneur of the Year Finalist (2017 – Southwest Region)</w:t>
      </w:r>
    </w:p>
    <w:p>
      <w:pPr>
        <w:spacing w:after="0" w:line="1" w:lineRule="exact"/>
        <w:rPr>
          <w:rFonts w:ascii="Arial" w:cs="Arial" w:eastAsia="Arial" w:hAnsi="Arial"/>
          <w:sz w:val="14"/>
          <w:szCs w:val="14"/>
          <w:color w:val="auto"/>
        </w:rPr>
      </w:pPr>
    </w:p>
    <w:p>
      <w:pPr>
        <w:ind w:left="400" w:hanging="127"/>
        <w:spacing w:after="0"/>
        <w:tabs>
          <w:tab w:leader="none" w:pos="4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Cornell University Distinguished Classmates of 1979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M.B.A. Finance, Cornell University</w:t>
      </w:r>
    </w:p>
    <w:p>
      <w:pPr>
        <w:spacing w:after="0" w:line="875" w:lineRule="exact"/>
        <w:rPr>
          <w:sz w:val="20"/>
          <w:szCs w:val="20"/>
          <w:color w:val="auto"/>
        </w:rPr>
      </w:pPr>
    </w:p>
    <w:p>
      <w:pPr>
        <w:sectPr>
          <w:pgSz w:w="11900" w:h="16838" w:orient="portrait"/>
          <w:cols w:equalWidth="0" w:num="2">
            <w:col w:w="5200" w:space="440"/>
            <w:col w:w="5500"/>
          </w:cols>
          <w:pgMar w:left="320" w:top="459" w:right="439" w:bottom="1440" w:gutter="0" w:footer="0" w:header="0"/>
          <w:type w:val="continuous"/>
        </w:sectPr>
      </w:pPr>
    </w:p>
    <w:p>
      <w:pPr>
        <w:spacing w:after="0" w:line="12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FFFFF"/>
        </w:rPr>
        <w:t>Patricia H. Mueller</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2015</w:t>
      </w:r>
    </w:p>
    <w:p>
      <w:pPr>
        <w:ind w:left="1420" w:right="1040" w:hanging="1149"/>
        <w:spacing w:after="0" w:line="239" w:lineRule="auto"/>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xml:space="preserve">: </w:t>
      </w:r>
      <w:r>
        <w:rPr>
          <w:rFonts w:ascii="Arial" w:cs="Arial" w:eastAsia="Arial" w:hAnsi="Arial"/>
          <w:sz w:val="16"/>
          <w:szCs w:val="16"/>
          <w:color w:val="auto"/>
        </w:rPr>
        <w:t>Compensation and Nominating and</w:t>
      </w:r>
      <w:r>
        <w:rPr>
          <w:rFonts w:ascii="Arial" w:cs="Arial" w:eastAsia="Arial" w:hAnsi="Arial"/>
          <w:sz w:val="18"/>
          <w:szCs w:val="18"/>
          <w:color w:val="auto"/>
        </w:rPr>
        <w:t xml:space="preserve"> </w:t>
      </w:r>
      <w:r>
        <w:rPr>
          <w:rFonts w:ascii="Arial" w:cs="Arial" w:eastAsia="Arial" w:hAnsi="Arial"/>
          <w:sz w:val="16"/>
          <w:szCs w:val="16"/>
          <w:color w:val="auto"/>
        </w:rPr>
        <w:t>Corporate Governance</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URRENT</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OSITION</w:t>
      </w: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xml:space="preserve">: </w:t>
      </w: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-299085</wp:posOffset>
            </wp:positionV>
            <wp:extent cx="7003415" cy="386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03415" cy="38658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TATUS</w:t>
      </w:r>
      <w:r>
        <w:rPr>
          <w:rFonts w:ascii="Arial" w:cs="Arial" w:eastAsia="Arial" w:hAnsi="Arial"/>
          <w:sz w:val="18"/>
          <w:szCs w:val="18"/>
          <w:color w:val="auto"/>
        </w:rPr>
        <w:t xml:space="preserve">: </w:t>
      </w:r>
      <w:r>
        <w:rPr>
          <w:rFonts w:ascii="Arial" w:cs="Arial" w:eastAsia="Arial" w:hAnsi="Arial"/>
          <w:sz w:val="16"/>
          <w:szCs w:val="16"/>
          <w:color w:val="auto"/>
        </w:rPr>
        <w:t>I</w:t>
      </w:r>
      <w:r>
        <w:rPr>
          <w:rFonts w:ascii="Arial" w:cs="Arial" w:eastAsia="Arial" w:hAnsi="Arial"/>
          <w:sz w:val="13"/>
          <w:szCs w:val="13"/>
          <w:color w:val="auto"/>
        </w:rPr>
        <w:t>NDEPENDENT</w:t>
      </w:r>
    </w:p>
    <w:p>
      <w:pPr>
        <w:spacing w:after="0" w:line="419" w:lineRule="exact"/>
        <w:rPr>
          <w:sz w:val="20"/>
          <w:szCs w:val="20"/>
          <w:color w:val="auto"/>
        </w:rPr>
      </w:pPr>
    </w:p>
    <w:p>
      <w:pPr>
        <w:sectPr>
          <w:pgSz w:w="11900" w:h="16838" w:orient="portrait"/>
          <w:cols w:equalWidth="0" w:num="2">
            <w:col w:w="4980" w:space="720"/>
            <w:col w:w="5440"/>
          </w:cols>
          <w:pgMar w:left="320" w:top="459" w:right="439" w:bottom="1440" w:gutter="0" w:footer="0" w:header="0"/>
          <w:type w:val="continuous"/>
        </w:sectPr>
      </w:pPr>
    </w:p>
    <w:p>
      <w:pPr>
        <w:ind w:left="400" w:hanging="127"/>
        <w:spacing w:after="0"/>
        <w:tabs>
          <w:tab w:leader="none" w:pos="4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Co-founder of </w:t>
      </w:r>
      <w:r>
        <w:rPr>
          <w:rFonts w:ascii="Arial" w:cs="Arial" w:eastAsia="Arial" w:hAnsi="Arial"/>
          <w:sz w:val="14"/>
          <w:szCs w:val="14"/>
          <w:i w:val="1"/>
          <w:iCs w:val="1"/>
          <w:color w:val="auto"/>
        </w:rPr>
        <w:t>Mueller Retail Consulting, LLC</w:t>
      </w:r>
      <w:r>
        <w:rPr>
          <w:rFonts w:ascii="Arial" w:cs="Arial" w:eastAsia="Arial" w:hAnsi="Arial"/>
          <w:sz w:val="14"/>
          <w:szCs w:val="14"/>
          <w:color w:val="auto"/>
        </w:rPr>
        <w:t>, a company assisting retailers with branding, marketing and interconnected retail strategies, since June 2016.</w:t>
      </w:r>
    </w:p>
    <w:p>
      <w:pPr>
        <w:spacing w:after="0" w:line="1" w:lineRule="exact"/>
        <w:rPr>
          <w:rFonts w:ascii="Arial" w:cs="Arial" w:eastAsia="Arial" w:hAnsi="Arial"/>
          <w:sz w:val="14"/>
          <w:szCs w:val="14"/>
          <w:color w:val="auto"/>
        </w:rPr>
      </w:pPr>
    </w:p>
    <w:p>
      <w:pPr>
        <w:ind w:left="3040"/>
        <w:spacing w:after="0"/>
        <w:rPr>
          <w:rFonts w:ascii="Arial" w:cs="Arial" w:eastAsia="Arial" w:hAnsi="Arial"/>
          <w:sz w:val="14"/>
          <w:szCs w:val="14"/>
          <w:color w:val="auto"/>
        </w:rPr>
      </w:pPr>
      <w:r>
        <w:rPr>
          <w:rFonts w:ascii="Arial" w:cs="Arial" w:eastAsia="Arial" w:hAnsi="Arial"/>
          <w:sz w:val="14"/>
          <w:szCs w:val="14"/>
          <w:b w:val="1"/>
          <w:bCs w:val="1"/>
          <w:color w:val="auto"/>
        </w:rPr>
        <w:t>Leadership, Strategic, Retail, Marketing, Consumer Insights, E-Commerce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r>
        <w:rPr>
          <w:rFonts w:ascii="Arial" w:cs="Arial" w:eastAsia="Arial" w:hAnsi="Arial"/>
          <w:sz w:val="18"/>
          <w:szCs w:val="18"/>
          <w:u w:val="single" w:color="auto"/>
          <w:color w:val="auto"/>
        </w:rPr>
        <w:t>:</w:t>
      </w:r>
    </w:p>
    <w:p>
      <w:pPr>
        <w:spacing w:after="0" w:line="1" w:lineRule="exact"/>
        <w:rPr>
          <w:sz w:val="20"/>
          <w:szCs w:val="20"/>
          <w:color w:val="auto"/>
        </w:rPr>
      </w:pPr>
    </w:p>
    <w:p>
      <w:pPr>
        <w:ind w:left="400" w:hanging="127"/>
        <w:spacing w:after="0"/>
        <w:tabs>
          <w:tab w:leader="none" w:pos="400" w:val="left"/>
        </w:tabs>
        <w:numPr>
          <w:ilvl w:val="0"/>
          <w:numId w:val="46"/>
        </w:numPr>
        <w:rPr>
          <w:rFonts w:ascii="Arial" w:cs="Arial" w:eastAsia="Arial" w:hAnsi="Arial"/>
          <w:sz w:val="14"/>
          <w:szCs w:val="14"/>
          <w:color w:val="auto"/>
        </w:rPr>
      </w:pPr>
      <w:r>
        <w:rPr>
          <w:rFonts w:ascii="Arial" w:cs="Arial" w:eastAsia="Arial" w:hAnsi="Arial"/>
          <w:sz w:val="14"/>
          <w:szCs w:val="14"/>
          <w:i w:val="1"/>
          <w:iCs w:val="1"/>
          <w:color w:val="auto"/>
        </w:rPr>
        <w:t>The Home Depot, Inc.</w:t>
      </w:r>
      <w:r>
        <w:rPr>
          <w:rFonts w:ascii="Arial" w:cs="Arial" w:eastAsia="Arial" w:hAnsi="Arial"/>
          <w:sz w:val="14"/>
          <w:szCs w:val="14"/>
          <w:color w:val="auto"/>
        </w:rPr>
        <w:t>, the world’s largest home improvement retailer:</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46"/>
        </w:numPr>
        <w:rPr>
          <w:rFonts w:ascii="Arial" w:cs="Arial" w:eastAsia="Arial" w:hAnsi="Arial"/>
          <w:sz w:val="14"/>
          <w:szCs w:val="14"/>
          <w:color w:val="003B71"/>
        </w:rPr>
      </w:pPr>
      <w:r>
        <w:rPr>
          <w:rFonts w:ascii="Arial" w:cs="Arial" w:eastAsia="Arial" w:hAnsi="Arial"/>
          <w:sz w:val="14"/>
          <w:szCs w:val="14"/>
          <w:color w:val="auto"/>
        </w:rPr>
        <w:t>Senior Vice President and Chief Marketing Officer (February 2011-May 2016)</w:t>
      </w:r>
    </w:p>
    <w:p>
      <w:pPr>
        <w:spacing w:after="0" w:line="1" w:lineRule="exact"/>
        <w:rPr>
          <w:rFonts w:ascii="Arial" w:cs="Arial" w:eastAsia="Arial" w:hAnsi="Arial"/>
          <w:sz w:val="14"/>
          <w:szCs w:val="14"/>
          <w:color w:val="003B71"/>
        </w:rPr>
      </w:pPr>
    </w:p>
    <w:p>
      <w:pPr>
        <w:ind w:left="600" w:hanging="183"/>
        <w:spacing w:after="0"/>
        <w:tabs>
          <w:tab w:leader="none" w:pos="600" w:val="left"/>
        </w:tabs>
        <w:numPr>
          <w:ilvl w:val="1"/>
          <w:numId w:val="46"/>
        </w:numPr>
        <w:rPr>
          <w:rFonts w:ascii="Arial" w:cs="Arial" w:eastAsia="Arial" w:hAnsi="Arial"/>
          <w:sz w:val="14"/>
          <w:szCs w:val="14"/>
          <w:color w:val="003B71"/>
        </w:rPr>
      </w:pPr>
      <w:r>
        <w:rPr>
          <w:rFonts w:ascii="Arial" w:cs="Arial" w:eastAsia="Arial" w:hAnsi="Arial"/>
          <w:sz w:val="14"/>
          <w:szCs w:val="14"/>
          <w:color w:val="auto"/>
        </w:rPr>
        <w:t>Vice President, Advertising (2009-2011)</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Leadership, Strategic, Branding, Retail, Marketing, Consumer Insights, E-Commerce, Global</w:t>
      </w:r>
    </w:p>
    <w:p>
      <w:pPr>
        <w:spacing w:after="0" w:line="1" w:lineRule="exact"/>
        <w:rPr>
          <w:sz w:val="20"/>
          <w:szCs w:val="20"/>
          <w:color w:val="auto"/>
        </w:rPr>
      </w:pPr>
    </w:p>
    <w:p>
      <w:pPr>
        <w:ind w:left="400" w:hanging="127"/>
        <w:spacing w:after="0"/>
        <w:tabs>
          <w:tab w:leader="none" w:pos="400"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 xml:space="preserve">The Sports Authority, Inc., </w:t>
      </w:r>
      <w:r>
        <w:rPr>
          <w:rFonts w:ascii="Arial" w:cs="Arial" w:eastAsia="Arial" w:hAnsi="Arial"/>
          <w:sz w:val="14"/>
          <w:szCs w:val="14"/>
          <w:color w:val="auto"/>
        </w:rPr>
        <w:t>an operator of sporting goods retail stores:</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47"/>
        </w:numPr>
        <w:rPr>
          <w:rFonts w:ascii="Arial" w:cs="Arial" w:eastAsia="Arial" w:hAnsi="Arial"/>
          <w:sz w:val="14"/>
          <w:szCs w:val="14"/>
          <w:color w:val="003B71"/>
        </w:rPr>
      </w:pPr>
      <w:r>
        <w:rPr>
          <w:rFonts w:ascii="Arial" w:cs="Arial" w:eastAsia="Arial" w:hAnsi="Arial"/>
          <w:sz w:val="14"/>
          <w:szCs w:val="14"/>
          <w:color w:val="auto"/>
        </w:rPr>
        <w:t>Senior Vice President of Marketing and Advertising (2006-2009)</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Leadership, Strategic, Retail, Marketing, Consumer Insights</w:t>
      </w:r>
    </w:p>
    <w:p>
      <w:pPr>
        <w:spacing w:after="0" w:line="1" w:lineRule="exact"/>
        <w:rPr>
          <w:sz w:val="20"/>
          <w:szCs w:val="20"/>
          <w:color w:val="auto"/>
        </w:rPr>
      </w:pPr>
    </w:p>
    <w:p>
      <w:pPr>
        <w:ind w:left="400" w:hanging="127"/>
        <w:spacing w:after="0"/>
        <w:tabs>
          <w:tab w:leader="none" w:pos="400" w:val="left"/>
        </w:tabs>
        <w:numPr>
          <w:ilvl w:val="0"/>
          <w:numId w:val="48"/>
        </w:numPr>
        <w:rPr>
          <w:rFonts w:ascii="Arial" w:cs="Arial" w:eastAsia="Arial" w:hAnsi="Arial"/>
          <w:sz w:val="14"/>
          <w:szCs w:val="14"/>
          <w:color w:val="auto"/>
        </w:rPr>
      </w:pPr>
      <w:r>
        <w:rPr>
          <w:rFonts w:ascii="Arial" w:cs="Arial" w:eastAsia="Arial" w:hAnsi="Arial"/>
          <w:sz w:val="14"/>
          <w:szCs w:val="14"/>
          <w:i w:val="1"/>
          <w:iCs w:val="1"/>
          <w:color w:val="auto"/>
        </w:rPr>
        <w:t xml:space="preserve">American Signature, Inc., </w:t>
      </w:r>
      <w:r>
        <w:rPr>
          <w:rFonts w:ascii="Arial" w:cs="Arial" w:eastAsia="Arial" w:hAnsi="Arial"/>
          <w:sz w:val="14"/>
          <w:szCs w:val="14"/>
          <w:color w:val="auto"/>
        </w:rPr>
        <w:t>a manufacturer and retailer of furniture and home furnishings:</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48"/>
        </w:numPr>
        <w:rPr>
          <w:rFonts w:ascii="Arial" w:cs="Arial" w:eastAsia="Arial" w:hAnsi="Arial"/>
          <w:sz w:val="14"/>
          <w:szCs w:val="14"/>
          <w:color w:val="003B71"/>
        </w:rPr>
      </w:pPr>
      <w:r>
        <w:rPr>
          <w:rFonts w:ascii="Arial" w:cs="Arial" w:eastAsia="Arial" w:hAnsi="Arial"/>
          <w:sz w:val="14"/>
          <w:szCs w:val="14"/>
          <w:color w:val="auto"/>
        </w:rPr>
        <w:t>Vice President of Advertising (2004-2006)</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Leadership, Retail, Marketing, Consumer Insights</w:t>
      </w:r>
    </w:p>
    <w:p>
      <w:pPr>
        <w:spacing w:after="0" w:line="1" w:lineRule="exact"/>
        <w:rPr>
          <w:sz w:val="20"/>
          <w:szCs w:val="20"/>
          <w:color w:val="auto"/>
        </w:rPr>
      </w:pPr>
    </w:p>
    <w:p>
      <w:pPr>
        <w:ind w:left="400" w:hanging="127"/>
        <w:spacing w:after="0"/>
        <w:tabs>
          <w:tab w:leader="none" w:pos="400" w:val="left"/>
        </w:tabs>
        <w:numPr>
          <w:ilvl w:val="0"/>
          <w:numId w:val="49"/>
        </w:numPr>
        <w:rPr>
          <w:rFonts w:ascii="Arial" w:cs="Arial" w:eastAsia="Arial" w:hAnsi="Arial"/>
          <w:sz w:val="14"/>
          <w:szCs w:val="14"/>
          <w:color w:val="auto"/>
        </w:rPr>
      </w:pPr>
      <w:r>
        <w:rPr>
          <w:rFonts w:ascii="Arial" w:cs="Arial" w:eastAsia="Arial" w:hAnsi="Arial"/>
          <w:sz w:val="14"/>
          <w:szCs w:val="14"/>
          <w:i w:val="1"/>
          <w:iCs w:val="1"/>
          <w:color w:val="auto"/>
        </w:rPr>
        <w:t xml:space="preserve">Value Vision, Inc./ShopNBC, </w:t>
      </w:r>
      <w:r>
        <w:rPr>
          <w:rFonts w:ascii="Arial" w:cs="Arial" w:eastAsia="Arial" w:hAnsi="Arial"/>
          <w:sz w:val="14"/>
          <w:szCs w:val="14"/>
          <w:color w:val="auto"/>
        </w:rPr>
        <w:t>an integrated direct marketing company selling products to consumers:</w:t>
      </w:r>
    </w:p>
    <w:p>
      <w:pPr>
        <w:spacing w:after="0" w:line="1" w:lineRule="exact"/>
        <w:rPr>
          <w:rFonts w:ascii="Arial" w:cs="Arial" w:eastAsia="Arial" w:hAnsi="Arial"/>
          <w:sz w:val="14"/>
          <w:szCs w:val="14"/>
          <w:color w:val="auto"/>
        </w:rPr>
      </w:pPr>
    </w:p>
    <w:p>
      <w:pPr>
        <w:ind w:left="640" w:right="360" w:hanging="223"/>
        <w:spacing w:after="0" w:line="241" w:lineRule="auto"/>
        <w:tabs>
          <w:tab w:leader="none" w:pos="604" w:val="left"/>
        </w:tabs>
        <w:numPr>
          <w:ilvl w:val="1"/>
          <w:numId w:val="49"/>
        </w:numPr>
        <w:rPr>
          <w:rFonts w:ascii="Arial" w:cs="Arial" w:eastAsia="Arial" w:hAnsi="Arial"/>
          <w:sz w:val="14"/>
          <w:szCs w:val="14"/>
          <w:color w:val="003B71"/>
        </w:rPr>
      </w:pPr>
      <w:r>
        <w:rPr>
          <w:rFonts w:ascii="Arial" w:cs="Arial" w:eastAsia="Arial" w:hAnsi="Arial"/>
          <w:sz w:val="14"/>
          <w:szCs w:val="14"/>
          <w:color w:val="auto"/>
        </w:rPr>
        <w:t>Various executive positions, including Senior Vice President of TV Sales &amp; Promotions, Senior Vice President Strategic Development, and Senior Vice President Marketing &amp; Programming (1999-2004)</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Leadership, Strategic, Marketing, Consumer Insights, E-Commerce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UBLIC</w:t>
      </w:r>
      <w:r>
        <w:rPr>
          <w:rFonts w:ascii="Arial" w:cs="Arial" w:eastAsia="Arial" w:hAnsi="Arial"/>
          <w:sz w:val="18"/>
          <w:szCs w:val="18"/>
          <w:u w:val="single" w:color="auto"/>
          <w:color w:val="auto"/>
        </w:rPr>
        <w:t xml:space="preserve"> C</w:t>
      </w:r>
      <w:r>
        <w:rPr>
          <w:rFonts w:ascii="Arial" w:cs="Arial" w:eastAsia="Arial" w:hAnsi="Arial"/>
          <w:sz w:val="14"/>
          <w:szCs w:val="14"/>
          <w:u w:val="single" w:color="auto"/>
          <w:color w:val="auto"/>
        </w:rPr>
        <w:t>OMPANY</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OARDS</w:t>
      </w:r>
      <w:r>
        <w:rPr>
          <w:rFonts w:ascii="Arial" w:cs="Arial" w:eastAsia="Arial" w:hAnsi="Arial"/>
          <w:sz w:val="18"/>
          <w:szCs w:val="18"/>
          <w:u w:val="single" w:color="auto"/>
          <w:color w:val="auto"/>
        </w:rPr>
        <w:t>:</w:t>
      </w:r>
    </w:p>
    <w:p>
      <w:pPr>
        <w:sectPr>
          <w:pgSz w:w="11900" w:h="16838" w:orient="portrait"/>
          <w:cols w:equalWidth="0" w:num="1">
            <w:col w:w="11140"/>
          </w:cols>
          <w:pgMar w:left="320" w:top="459" w:right="439" w:bottom="1440" w:gutter="0" w:footer="0" w:header="0"/>
          <w:type w:val="continuous"/>
        </w:sectPr>
      </w:pPr>
    </w:p>
    <w:p>
      <w:pPr>
        <w:ind w:left="280"/>
        <w:spacing w:after="0"/>
        <w:tabs>
          <w:tab w:leader="none" w:pos="1420" w:val="left"/>
        </w:tabs>
        <w:rPr>
          <w:sz w:val="20"/>
          <w:szCs w:val="20"/>
          <w:color w:val="auto"/>
        </w:rPr>
      </w:pPr>
      <w:r>
        <w:rPr>
          <w:rFonts w:ascii="Arial" w:cs="Arial" w:eastAsia="Arial" w:hAnsi="Arial"/>
          <w:sz w:val="14"/>
          <w:szCs w:val="14"/>
          <w:color w:val="auto"/>
        </w:rPr>
        <w:t>- Current:</w:t>
      </w:r>
      <w:r>
        <w:rPr>
          <w:sz w:val="20"/>
          <w:szCs w:val="20"/>
          <w:color w:val="auto"/>
        </w:rPr>
        <w:tab/>
      </w:r>
      <w:r>
        <w:rPr>
          <w:rFonts w:ascii="Arial" w:cs="Arial" w:eastAsia="Arial" w:hAnsi="Arial"/>
          <w:sz w:val="14"/>
          <w:szCs w:val="14"/>
          <w:color w:val="auto"/>
        </w:rPr>
        <w:t>Dave &amp; Buster’s Entertainment, Inc.</w:t>
      </w:r>
    </w:p>
    <w:p>
      <w:pPr>
        <w:ind w:left="280"/>
        <w:spacing w:after="0"/>
        <w:rPr>
          <w:sz w:val="20"/>
          <w:szCs w:val="20"/>
          <w:color w:val="auto"/>
        </w:rPr>
      </w:pPr>
      <w:r>
        <w:rPr>
          <w:rFonts w:ascii="Arial" w:cs="Arial" w:eastAsia="Arial" w:hAnsi="Arial"/>
          <w:sz w:val="16"/>
          <w:szCs w:val="16"/>
          <w:u w:val="single" w:color="auto"/>
          <w:color w:val="auto"/>
        </w:rPr>
        <w:t>O</w:t>
      </w:r>
      <w:r>
        <w:rPr>
          <w:rFonts w:ascii="Arial" w:cs="Arial" w:eastAsia="Arial" w:hAnsi="Arial"/>
          <w:sz w:val="13"/>
          <w:szCs w:val="13"/>
          <w:u w:val="single" w:color="auto"/>
          <w:color w:val="auto"/>
        </w:rPr>
        <w:t>THER</w:t>
      </w:r>
      <w:r>
        <w:rPr>
          <w:rFonts w:ascii="Arial" w:cs="Arial" w:eastAsia="Arial" w:hAnsi="Arial"/>
          <w:sz w:val="16"/>
          <w:szCs w:val="16"/>
          <w:u w:val="single" w:color="auto"/>
          <w:color w:val="auto"/>
        </w:rPr>
        <w:t xml:space="preserve"> P</w:t>
      </w:r>
      <w:r>
        <w:rPr>
          <w:rFonts w:ascii="Arial" w:cs="Arial" w:eastAsia="Arial" w:hAnsi="Arial"/>
          <w:sz w:val="13"/>
          <w:szCs w:val="13"/>
          <w:u w:val="single" w:color="auto"/>
          <w:color w:val="auto"/>
        </w:rPr>
        <w:t>OSITIONS</w:t>
      </w:r>
      <w:r>
        <w:rPr>
          <w:rFonts w:ascii="Arial" w:cs="Arial" w:eastAsia="Arial" w:hAnsi="Arial"/>
          <w:sz w:val="16"/>
          <w:szCs w:val="16"/>
          <w:u w:val="single" w:color="auto"/>
          <w:color w:val="auto"/>
        </w:rPr>
        <w:t>/M</w:t>
      </w:r>
      <w:r>
        <w:rPr>
          <w:rFonts w:ascii="Arial" w:cs="Arial" w:eastAsia="Arial" w:hAnsi="Arial"/>
          <w:sz w:val="13"/>
          <w:szCs w:val="13"/>
          <w:u w:val="single" w:color="auto"/>
          <w:color w:val="auto"/>
        </w:rPr>
        <w:t>EMBERSHIPS</w:t>
      </w:r>
      <w:r>
        <w:rPr>
          <w:rFonts w:ascii="Arial" w:cs="Arial" w:eastAsia="Arial" w:hAnsi="Arial"/>
          <w:sz w:val="16"/>
          <w:szCs w:val="16"/>
          <w:u w:val="single" w:color="auto"/>
          <w:color w:val="auto"/>
        </w:rPr>
        <w:t>:</w:t>
      </w:r>
    </w:p>
    <w:p>
      <w:pPr>
        <w:spacing w:after="0" w:line="8" w:lineRule="exact"/>
        <w:rPr>
          <w:sz w:val="20"/>
          <w:szCs w:val="20"/>
          <w:color w:val="auto"/>
        </w:rPr>
      </w:pPr>
    </w:p>
    <w:p>
      <w:pPr>
        <w:ind w:left="400" w:hanging="127"/>
        <w:spacing w:after="0"/>
        <w:tabs>
          <w:tab w:leader="none" w:pos="4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2016-2020 National Association of Corporate Directors Fellow</w:t>
      </w:r>
    </w:p>
    <w:p>
      <w:pPr>
        <w:spacing w:after="0" w:line="11" w:lineRule="exact"/>
        <w:rPr>
          <w:rFonts w:ascii="Arial" w:cs="Arial" w:eastAsia="Arial" w:hAnsi="Arial"/>
          <w:sz w:val="14"/>
          <w:szCs w:val="14"/>
          <w:color w:val="auto"/>
        </w:rPr>
      </w:pPr>
    </w:p>
    <w:p>
      <w:pPr>
        <w:ind w:left="280"/>
        <w:spacing w:after="0" w:line="233" w:lineRule="auto"/>
        <w:rPr>
          <w:rFonts w:ascii="Arial" w:cs="Arial" w:eastAsia="Arial" w:hAnsi="Arial"/>
          <w:sz w:val="14"/>
          <w:szCs w:val="14"/>
          <w:color w:val="auto"/>
        </w:rPr>
      </w:pPr>
      <w:r>
        <w:rPr>
          <w:rFonts w:ascii="Arial" w:cs="Arial" w:eastAsia="Arial" w:hAnsi="Arial"/>
          <w:sz w:val="16"/>
          <w:szCs w:val="16"/>
          <w:u w:val="single" w:color="auto"/>
          <w:color w:val="auto"/>
        </w:rPr>
        <w:t>E</w:t>
      </w:r>
      <w:r>
        <w:rPr>
          <w:rFonts w:ascii="Arial" w:cs="Arial" w:eastAsia="Arial" w:hAnsi="Arial"/>
          <w:sz w:val="13"/>
          <w:szCs w:val="13"/>
          <w:u w:val="single" w:color="auto"/>
          <w:color w:val="auto"/>
        </w:rPr>
        <w:t>DUCATION</w:t>
      </w:r>
      <w:r>
        <w:rPr>
          <w:rFonts w:ascii="Arial" w:cs="Arial" w:eastAsia="Arial" w:hAnsi="Arial"/>
          <w:sz w:val="16"/>
          <w:szCs w:val="16"/>
          <w:u w:val="single" w:color="auto"/>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Ross Stores, Inc.</w:t>
      </w:r>
    </w:p>
    <w:p>
      <w:pPr>
        <w:spacing w:after="0" w:line="541" w:lineRule="exact"/>
        <w:rPr>
          <w:sz w:val="20"/>
          <w:szCs w:val="20"/>
          <w:color w:val="auto"/>
        </w:rPr>
      </w:pPr>
    </w:p>
    <w:p>
      <w:pPr>
        <w:sectPr>
          <w:pgSz w:w="11900" w:h="16838" w:orient="portrait"/>
          <w:cols w:equalWidth="0" w:num="2">
            <w:col w:w="4920" w:space="720"/>
            <w:col w:w="5500"/>
          </w:cols>
          <w:pgMar w:left="320" w:top="459" w:right="439" w:bottom="1440" w:gutter="0" w:footer="0" w:header="0"/>
          <w:type w:val="continuous"/>
        </w:sectPr>
      </w:pPr>
    </w:p>
    <w:p>
      <w:pPr>
        <w:ind w:left="400" w:hanging="127"/>
        <w:spacing w:after="0"/>
        <w:tabs>
          <w:tab w:leader="none" w:pos="4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B.S. Business, Management, Marketing and Related Support Services, State University of New York at Plattsburgh – Magna Cum Laude</w:t>
      </w:r>
    </w:p>
    <w:p>
      <w:pPr>
        <w:spacing w:after="0" w:line="11" w:lineRule="exact"/>
        <w:rPr>
          <w:rFonts w:ascii="Arial" w:cs="Arial" w:eastAsia="Arial" w:hAnsi="Arial"/>
          <w:sz w:val="14"/>
          <w:szCs w:val="14"/>
          <w:color w:val="auto"/>
        </w:rPr>
      </w:pPr>
    </w:p>
    <w:p>
      <w:pPr>
        <w:ind w:left="280"/>
        <w:spacing w:after="0" w:line="233" w:lineRule="auto"/>
        <w:rPr>
          <w:rFonts w:ascii="Arial" w:cs="Arial" w:eastAsia="Arial" w:hAnsi="Arial"/>
          <w:sz w:val="14"/>
          <w:szCs w:val="14"/>
          <w:color w:val="auto"/>
        </w:rPr>
      </w:pPr>
      <w:r>
        <w:rPr>
          <w:rFonts w:ascii="Arial" w:cs="Arial" w:eastAsia="Arial" w:hAnsi="Arial"/>
          <w:sz w:val="16"/>
          <w:szCs w:val="16"/>
          <w:u w:val="single" w:color="auto"/>
          <w:color w:val="auto"/>
        </w:rPr>
        <w:t>A</w:t>
      </w:r>
      <w:r>
        <w:rPr>
          <w:rFonts w:ascii="Arial" w:cs="Arial" w:eastAsia="Arial" w:hAnsi="Arial"/>
          <w:sz w:val="13"/>
          <w:szCs w:val="13"/>
          <w:u w:val="single" w:color="auto"/>
          <w:color w:val="auto"/>
        </w:rPr>
        <w:t>CCOLADES</w:t>
      </w:r>
      <w:r>
        <w:rPr>
          <w:rFonts w:ascii="Arial" w:cs="Arial" w:eastAsia="Arial" w:hAnsi="Arial"/>
          <w:sz w:val="16"/>
          <w:szCs w:val="16"/>
          <w:u w:val="single" w:color="auto"/>
          <w:color w:val="auto"/>
        </w:rPr>
        <w:t>:</w:t>
      </w:r>
    </w:p>
    <w:p>
      <w:pPr>
        <w:ind w:left="400" w:hanging="127"/>
        <w:spacing w:after="0"/>
        <w:tabs>
          <w:tab w:leader="none" w:pos="4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2010 National Diversity Council Most Influential Woman of the Year</w:t>
      </w:r>
    </w:p>
    <w:p>
      <w:pPr>
        <w:spacing w:after="0" w:line="1" w:lineRule="exact"/>
        <w:rPr>
          <w:rFonts w:ascii="Arial" w:cs="Arial" w:eastAsia="Arial" w:hAnsi="Arial"/>
          <w:sz w:val="14"/>
          <w:szCs w:val="14"/>
          <w:color w:val="auto"/>
        </w:rPr>
      </w:pPr>
    </w:p>
    <w:p>
      <w:pPr>
        <w:ind w:left="400" w:hanging="127"/>
        <w:spacing w:after="0"/>
        <w:tabs>
          <w:tab w:leader="none" w:pos="4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2011 “Ad Age” Women to Watch</w:t>
      </w:r>
    </w:p>
    <w:p>
      <w:pPr>
        <w:spacing w:after="0" w:line="1" w:lineRule="exact"/>
        <w:rPr>
          <w:rFonts w:ascii="Arial" w:cs="Arial" w:eastAsia="Arial" w:hAnsi="Arial"/>
          <w:sz w:val="14"/>
          <w:szCs w:val="14"/>
          <w:color w:val="auto"/>
        </w:rPr>
      </w:pPr>
    </w:p>
    <w:p>
      <w:pPr>
        <w:ind w:left="400" w:hanging="127"/>
        <w:spacing w:after="0"/>
        <w:tabs>
          <w:tab w:leader="none" w:pos="4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2014-15 Top 50 Women in Brand Marketing</w:t>
      </w:r>
    </w:p>
    <w:p>
      <w:pPr>
        <w:spacing w:after="0" w:line="1" w:lineRule="exact"/>
        <w:rPr>
          <w:rFonts w:ascii="Arial" w:cs="Arial" w:eastAsia="Arial" w:hAnsi="Arial"/>
          <w:sz w:val="14"/>
          <w:szCs w:val="14"/>
          <w:color w:val="auto"/>
        </w:rPr>
      </w:pPr>
    </w:p>
    <w:p>
      <w:pPr>
        <w:ind w:left="400" w:hanging="127"/>
        <w:spacing w:after="0"/>
        <w:tabs>
          <w:tab w:leader="none" w:pos="4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2014 Marketing Hall of Femme Honoree, Digital Marketing News</w:t>
      </w:r>
    </w:p>
    <w:p>
      <w:pPr>
        <w:spacing w:after="0" w:line="1" w:lineRule="exact"/>
        <w:rPr>
          <w:rFonts w:ascii="Arial" w:cs="Arial" w:eastAsia="Arial" w:hAnsi="Arial"/>
          <w:sz w:val="14"/>
          <w:szCs w:val="14"/>
          <w:color w:val="auto"/>
        </w:rPr>
      </w:pPr>
    </w:p>
    <w:p>
      <w:pPr>
        <w:ind w:left="400" w:hanging="127"/>
        <w:spacing w:after="0"/>
        <w:tabs>
          <w:tab w:leader="none" w:pos="4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2015 CMO Club Marketing Innovation Award</w:t>
      </w:r>
    </w:p>
    <w:p>
      <w:pPr>
        <w:spacing w:after="0" w:line="243" w:lineRule="exact"/>
        <w:rPr>
          <w:sz w:val="20"/>
          <w:szCs w:val="20"/>
          <w:color w:val="auto"/>
        </w:rPr>
      </w:pPr>
    </w:p>
    <w:p>
      <w:pPr>
        <w:ind w:left="120"/>
        <w:spacing w:after="0"/>
        <w:tabs>
          <w:tab w:leader="none" w:pos="560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8</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9020"/>
        <w:spacing w:after="0"/>
        <w:rPr>
          <w:sz w:val="20"/>
          <w:szCs w:val="20"/>
          <w:color w:val="auto"/>
        </w:rPr>
      </w:pPr>
      <w:r>
        <w:rPr>
          <w:rFonts w:ascii="Arial" w:cs="Arial" w:eastAsia="Arial" w:hAnsi="Arial"/>
          <w:sz w:val="22"/>
          <w:szCs w:val="22"/>
          <w:b w:val="1"/>
          <w:bCs w:val="1"/>
          <w:color w:val="FFFFFF"/>
        </w:rPr>
        <w:t>Kevin M.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7003415" cy="4329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03415" cy="432943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2011</w:t>
      </w:r>
    </w:p>
    <w:p>
      <w:pPr>
        <w:ind w:left="28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xml:space="preserve">: </w:t>
      </w:r>
      <w:r>
        <w:rPr>
          <w:rFonts w:ascii="Arial" w:cs="Arial" w:eastAsia="Arial" w:hAnsi="Arial"/>
          <w:sz w:val="16"/>
          <w:szCs w:val="16"/>
          <w:color w:val="auto"/>
        </w:rPr>
        <w:t>Audit, Finance, and Nominating and</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Corporate Governance</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R</w:t>
      </w:r>
      <w:r>
        <w:rPr>
          <w:rFonts w:ascii="Arial" w:cs="Arial" w:eastAsia="Arial" w:hAnsi="Arial"/>
          <w:sz w:val="14"/>
          <w:szCs w:val="14"/>
          <w:u w:val="single" w:color="auto"/>
          <w:color w:val="auto"/>
        </w:rPr>
        <w:t>ECENT</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OSITION</w:t>
      </w: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xml:space="preserve">: </w:t>
      </w:r>
      <w:r>
        <w:rPr>
          <w:rFonts w:ascii="Arial" w:cs="Arial" w:eastAsia="Arial" w:hAnsi="Arial"/>
          <w:sz w:val="16"/>
          <w:szCs w:val="16"/>
          <w:color w:val="auto"/>
        </w:rPr>
        <w:t>66</w:t>
      </w: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TATUS</w:t>
      </w:r>
      <w:r>
        <w:rPr>
          <w:rFonts w:ascii="Arial" w:cs="Arial" w:eastAsia="Arial" w:hAnsi="Arial"/>
          <w:sz w:val="18"/>
          <w:szCs w:val="18"/>
          <w:color w:val="auto"/>
        </w:rPr>
        <w:t xml:space="preserve">: </w:t>
      </w:r>
      <w:r>
        <w:rPr>
          <w:rFonts w:ascii="Arial" w:cs="Arial" w:eastAsia="Arial" w:hAnsi="Arial"/>
          <w:sz w:val="16"/>
          <w:szCs w:val="16"/>
          <w:color w:val="auto"/>
        </w:rPr>
        <w:t>I</w:t>
      </w:r>
      <w:r>
        <w:rPr>
          <w:rFonts w:ascii="Arial" w:cs="Arial" w:eastAsia="Arial" w:hAnsi="Arial"/>
          <w:sz w:val="13"/>
          <w:szCs w:val="13"/>
          <w:color w:val="auto"/>
        </w:rPr>
        <w:t>NDEPENDENT</w:t>
      </w:r>
    </w:p>
    <w:p>
      <w:pPr>
        <w:spacing w:after="0" w:line="432" w:lineRule="exact"/>
        <w:rPr>
          <w:sz w:val="20"/>
          <w:szCs w:val="20"/>
          <w:color w:val="auto"/>
        </w:rPr>
      </w:pPr>
    </w:p>
    <w:p>
      <w:pPr>
        <w:sectPr>
          <w:pgSz w:w="11900" w:h="16838" w:orient="portrait"/>
          <w:cols w:equalWidth="0" w:num="2">
            <w:col w:w="5340" w:space="720"/>
            <w:col w:w="5080"/>
          </w:cols>
          <w:pgMar w:left="320" w:top="459" w:right="439" w:bottom="1440" w:gutter="0" w:footer="0" w:header="0"/>
          <w:type w:val="continuous"/>
        </w:sectPr>
      </w:pPr>
    </w:p>
    <w:p>
      <w:pPr>
        <w:ind w:left="420" w:right="60" w:hanging="147"/>
        <w:spacing w:after="0" w:line="251" w:lineRule="auto"/>
        <w:tabs>
          <w:tab w:leader="none" w:pos="405"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Senior Advisor of </w:t>
      </w:r>
      <w:r>
        <w:rPr>
          <w:rFonts w:ascii="Arial" w:cs="Arial" w:eastAsia="Arial" w:hAnsi="Arial"/>
          <w:sz w:val="14"/>
          <w:szCs w:val="14"/>
          <w:i w:val="1"/>
          <w:iCs w:val="1"/>
          <w:color w:val="auto"/>
        </w:rPr>
        <w:t>Scientific Games Corporation</w:t>
      </w:r>
      <w:r>
        <w:rPr>
          <w:rFonts w:ascii="Arial" w:cs="Arial" w:eastAsia="Arial" w:hAnsi="Arial"/>
          <w:sz w:val="14"/>
          <w:szCs w:val="14"/>
          <w:color w:val="auto"/>
        </w:rPr>
        <w:t>, a global leader in the gaming and lottery industries, from June 2018 to September 2018 and Director until October 2018 (previously served as President and Chief Executive Officer from August 2016 to June 2018).</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Leadership, Strategic, Board Governance, Gaming, Finance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r>
        <w:rPr>
          <w:rFonts w:ascii="Arial" w:cs="Arial" w:eastAsia="Arial" w:hAnsi="Arial"/>
          <w:sz w:val="18"/>
          <w:szCs w:val="18"/>
          <w:u w:val="single" w:color="auto"/>
          <w:color w:val="auto"/>
        </w:rPr>
        <w:t>:</w:t>
      </w:r>
    </w:p>
    <w:p>
      <w:pPr>
        <w:spacing w:after="0" w:line="14" w:lineRule="exact"/>
        <w:rPr>
          <w:sz w:val="20"/>
          <w:szCs w:val="20"/>
          <w:color w:val="auto"/>
        </w:rPr>
      </w:pPr>
    </w:p>
    <w:p>
      <w:pPr>
        <w:ind w:left="400" w:hanging="127"/>
        <w:spacing w:after="0"/>
        <w:tabs>
          <w:tab w:leader="none" w:pos="400" w:val="left"/>
        </w:tabs>
        <w:numPr>
          <w:ilvl w:val="0"/>
          <w:numId w:val="53"/>
        </w:numPr>
        <w:rPr>
          <w:rFonts w:ascii="Arial" w:cs="Arial" w:eastAsia="Arial" w:hAnsi="Arial"/>
          <w:sz w:val="14"/>
          <w:szCs w:val="14"/>
          <w:color w:val="auto"/>
        </w:rPr>
      </w:pPr>
      <w:r>
        <w:rPr>
          <w:rFonts w:ascii="Arial" w:cs="Arial" w:eastAsia="Arial" w:hAnsi="Arial"/>
          <w:sz w:val="14"/>
          <w:szCs w:val="14"/>
          <w:i w:val="1"/>
          <w:iCs w:val="1"/>
          <w:color w:val="auto"/>
        </w:rPr>
        <w:t xml:space="preserve">Robert B. Willumstad School of Business, Adelphi University, </w:t>
      </w:r>
      <w:r>
        <w:rPr>
          <w:rFonts w:ascii="Arial" w:cs="Arial" w:eastAsia="Arial" w:hAnsi="Arial"/>
          <w:sz w:val="14"/>
          <w:szCs w:val="14"/>
          <w:color w:val="auto"/>
        </w:rPr>
        <w:t>a New York City metropolitan area business school</w:t>
      </w:r>
    </w:p>
    <w:p>
      <w:pPr>
        <w:spacing w:after="0" w:line="15" w:lineRule="exact"/>
        <w:rPr>
          <w:rFonts w:ascii="Arial" w:cs="Arial" w:eastAsia="Arial" w:hAnsi="Arial"/>
          <w:sz w:val="14"/>
          <w:szCs w:val="14"/>
          <w:color w:val="auto"/>
        </w:rPr>
      </w:pPr>
    </w:p>
    <w:p>
      <w:pPr>
        <w:ind w:left="600" w:hanging="183"/>
        <w:spacing w:after="0"/>
        <w:tabs>
          <w:tab w:leader="none" w:pos="600" w:val="left"/>
        </w:tabs>
        <w:numPr>
          <w:ilvl w:val="1"/>
          <w:numId w:val="53"/>
        </w:numPr>
        <w:rPr>
          <w:rFonts w:ascii="Arial" w:cs="Arial" w:eastAsia="Arial" w:hAnsi="Arial"/>
          <w:sz w:val="14"/>
          <w:szCs w:val="14"/>
          <w:color w:val="003B71"/>
        </w:rPr>
      </w:pPr>
      <w:r>
        <w:rPr>
          <w:rFonts w:ascii="Arial" w:cs="Arial" w:eastAsia="Arial" w:hAnsi="Arial"/>
          <w:sz w:val="14"/>
          <w:szCs w:val="14"/>
          <w:color w:val="auto"/>
        </w:rPr>
        <w:t>John J. Phelan, Jr. Distinguished Visiting Professor of Business (February 2015-June 2016)</w:t>
      </w:r>
    </w:p>
    <w:p>
      <w:pPr>
        <w:spacing w:after="0" w:line="1" w:lineRule="exact"/>
        <w:rPr>
          <w:rFonts w:ascii="Arial" w:cs="Arial" w:eastAsia="Arial" w:hAnsi="Arial"/>
          <w:sz w:val="14"/>
          <w:szCs w:val="14"/>
          <w:color w:val="003B71"/>
        </w:rPr>
      </w:pPr>
    </w:p>
    <w:p>
      <w:pPr>
        <w:ind w:left="600" w:hanging="183"/>
        <w:spacing w:after="0"/>
        <w:tabs>
          <w:tab w:leader="none" w:pos="600" w:val="left"/>
        </w:tabs>
        <w:numPr>
          <w:ilvl w:val="1"/>
          <w:numId w:val="53"/>
        </w:numPr>
        <w:rPr>
          <w:rFonts w:ascii="Arial" w:cs="Arial" w:eastAsia="Arial" w:hAnsi="Arial"/>
          <w:sz w:val="14"/>
          <w:szCs w:val="14"/>
          <w:color w:val="003B71"/>
        </w:rPr>
      </w:pPr>
      <w:r>
        <w:rPr>
          <w:rFonts w:ascii="Arial" w:cs="Arial" w:eastAsia="Arial" w:hAnsi="Arial"/>
          <w:sz w:val="14"/>
          <w:szCs w:val="14"/>
          <w:color w:val="auto"/>
        </w:rPr>
        <w:t>Distinguished Visiting Professor-Accounting, Finance and Economics (2005-2008)</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Strategic, Finance, Accounting</w:t>
      </w:r>
    </w:p>
    <w:p>
      <w:pPr>
        <w:spacing w:after="0" w:line="1" w:lineRule="exact"/>
        <w:rPr>
          <w:sz w:val="20"/>
          <w:szCs w:val="20"/>
          <w:color w:val="auto"/>
        </w:rPr>
      </w:pPr>
    </w:p>
    <w:p>
      <w:pPr>
        <w:ind w:left="400" w:hanging="127"/>
        <w:spacing w:after="0"/>
        <w:tabs>
          <w:tab w:leader="none" w:pos="400" w:val="left"/>
        </w:tabs>
        <w:numPr>
          <w:ilvl w:val="0"/>
          <w:numId w:val="54"/>
        </w:numPr>
        <w:rPr>
          <w:rFonts w:ascii="Arial" w:cs="Arial" w:eastAsia="Arial" w:hAnsi="Arial"/>
          <w:sz w:val="14"/>
          <w:szCs w:val="14"/>
          <w:color w:val="auto"/>
        </w:rPr>
      </w:pPr>
      <w:r>
        <w:rPr>
          <w:rFonts w:ascii="Arial" w:cs="Arial" w:eastAsia="Arial" w:hAnsi="Arial"/>
          <w:sz w:val="14"/>
          <w:szCs w:val="14"/>
          <w:i w:val="1"/>
          <w:iCs w:val="1"/>
          <w:color w:val="auto"/>
        </w:rPr>
        <w:t xml:space="preserve">NCL Corporation, Ltd, </w:t>
      </w:r>
      <w:r>
        <w:rPr>
          <w:rFonts w:ascii="Arial" w:cs="Arial" w:eastAsia="Arial" w:hAnsi="Arial"/>
          <w:sz w:val="14"/>
          <w:szCs w:val="14"/>
          <w:color w:val="auto"/>
        </w:rPr>
        <w:t>a leading global cruise line operator:</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54"/>
        </w:numPr>
        <w:rPr>
          <w:rFonts w:ascii="Arial" w:cs="Arial" w:eastAsia="Arial" w:hAnsi="Arial"/>
          <w:sz w:val="14"/>
          <w:szCs w:val="14"/>
          <w:color w:val="003B71"/>
        </w:rPr>
      </w:pPr>
      <w:r>
        <w:rPr>
          <w:rFonts w:ascii="Arial" w:cs="Arial" w:eastAsia="Arial" w:hAnsi="Arial"/>
          <w:sz w:val="14"/>
          <w:szCs w:val="14"/>
          <w:color w:val="auto"/>
        </w:rPr>
        <w:t>Chief Executive Officer (November 2008-January 2015)</w:t>
      </w:r>
    </w:p>
    <w:p>
      <w:pPr>
        <w:spacing w:after="0" w:line="1" w:lineRule="exact"/>
        <w:rPr>
          <w:rFonts w:ascii="Arial" w:cs="Arial" w:eastAsia="Arial" w:hAnsi="Arial"/>
          <w:sz w:val="14"/>
          <w:szCs w:val="14"/>
          <w:color w:val="003B71"/>
        </w:rPr>
      </w:pPr>
    </w:p>
    <w:p>
      <w:pPr>
        <w:ind w:left="600" w:hanging="183"/>
        <w:spacing w:after="0"/>
        <w:tabs>
          <w:tab w:leader="none" w:pos="600" w:val="left"/>
        </w:tabs>
        <w:numPr>
          <w:ilvl w:val="1"/>
          <w:numId w:val="54"/>
        </w:numPr>
        <w:rPr>
          <w:rFonts w:ascii="Arial" w:cs="Arial" w:eastAsia="Arial" w:hAnsi="Arial"/>
          <w:sz w:val="14"/>
          <w:szCs w:val="14"/>
          <w:color w:val="003B71"/>
        </w:rPr>
      </w:pPr>
      <w:r>
        <w:rPr>
          <w:rFonts w:ascii="Arial" w:cs="Arial" w:eastAsia="Arial" w:hAnsi="Arial"/>
          <w:sz w:val="14"/>
          <w:szCs w:val="14"/>
          <w:color w:val="auto"/>
        </w:rPr>
        <w:t>President (August 2010-January 2015; August 2008-March 2009)</w:t>
      </w:r>
    </w:p>
    <w:p>
      <w:pPr>
        <w:spacing w:after="0" w:line="1" w:lineRule="exact"/>
        <w:rPr>
          <w:rFonts w:ascii="Arial" w:cs="Arial" w:eastAsia="Arial" w:hAnsi="Arial"/>
          <w:sz w:val="14"/>
          <w:szCs w:val="14"/>
          <w:color w:val="003B71"/>
        </w:rPr>
      </w:pPr>
    </w:p>
    <w:p>
      <w:pPr>
        <w:ind w:left="600" w:hanging="183"/>
        <w:spacing w:after="0"/>
        <w:tabs>
          <w:tab w:leader="none" w:pos="600" w:val="left"/>
        </w:tabs>
        <w:numPr>
          <w:ilvl w:val="1"/>
          <w:numId w:val="54"/>
        </w:numPr>
        <w:rPr>
          <w:rFonts w:ascii="Arial" w:cs="Arial" w:eastAsia="Arial" w:hAnsi="Arial"/>
          <w:sz w:val="14"/>
          <w:szCs w:val="14"/>
          <w:color w:val="003B71"/>
        </w:rPr>
      </w:pPr>
      <w:r>
        <w:rPr>
          <w:rFonts w:ascii="Arial" w:cs="Arial" w:eastAsia="Arial" w:hAnsi="Arial"/>
          <w:sz w:val="14"/>
          <w:szCs w:val="14"/>
          <w:color w:val="auto"/>
        </w:rPr>
        <w:t>Chief Financial Officer (2007-2010)</w:t>
      </w:r>
    </w:p>
    <w:p>
      <w:pPr>
        <w:spacing w:after="0" w:line="1"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Leadership, Strategic, Food &amp; Beverage, Hospitality, Finance, Global, Consumer Insights, Marketing</w:t>
      </w:r>
    </w:p>
    <w:p>
      <w:pPr>
        <w:spacing w:after="0" w:line="1" w:lineRule="exact"/>
        <w:rPr>
          <w:sz w:val="20"/>
          <w:szCs w:val="20"/>
          <w:color w:val="auto"/>
        </w:rPr>
      </w:pPr>
    </w:p>
    <w:p>
      <w:pPr>
        <w:ind w:left="420" w:right="7600" w:hanging="147"/>
        <w:spacing w:after="0" w:line="241" w:lineRule="auto"/>
        <w:tabs>
          <w:tab w:leader="none" w:pos="405" w:val="left"/>
        </w:tabs>
        <w:numPr>
          <w:ilvl w:val="0"/>
          <w:numId w:val="55"/>
        </w:numPr>
        <w:rPr>
          <w:rFonts w:ascii="Arial" w:cs="Arial" w:eastAsia="Arial" w:hAnsi="Arial"/>
          <w:sz w:val="14"/>
          <w:szCs w:val="14"/>
          <w:color w:val="auto"/>
        </w:rPr>
      </w:pPr>
      <w:r>
        <w:rPr>
          <w:rFonts w:ascii="Arial" w:cs="Arial" w:eastAsia="Arial" w:hAnsi="Arial"/>
          <w:sz w:val="14"/>
          <w:szCs w:val="14"/>
          <w:i w:val="1"/>
          <w:iCs w:val="1"/>
          <w:color w:val="auto"/>
        </w:rPr>
        <w:t xml:space="preserve">Cerberus Capital Management LP </w:t>
      </w:r>
      <w:r>
        <w:rPr>
          <w:rFonts w:ascii="Arial" w:cs="Arial" w:eastAsia="Arial" w:hAnsi="Arial"/>
          <w:sz w:val="14"/>
          <w:szCs w:val="14"/>
          <w:color w:val="auto"/>
        </w:rPr>
        <w:t>(2006-2007) &amp;</w:t>
      </w:r>
      <w:r>
        <w:rPr>
          <w:rFonts w:ascii="Arial" w:cs="Arial" w:eastAsia="Arial" w:hAnsi="Arial"/>
          <w:sz w:val="14"/>
          <w:szCs w:val="14"/>
          <w:i w:val="1"/>
          <w:iCs w:val="1"/>
          <w:color w:val="auto"/>
        </w:rPr>
        <w:t xml:space="preserve"> Clayton Dubilier &amp; Rice </w:t>
      </w:r>
      <w:r>
        <w:rPr>
          <w:rFonts w:ascii="Arial" w:cs="Arial" w:eastAsia="Arial" w:hAnsi="Arial"/>
          <w:sz w:val="14"/>
          <w:szCs w:val="14"/>
          <w:color w:val="auto"/>
        </w:rPr>
        <w:t>(2005-2006):</w:t>
      </w:r>
    </w:p>
    <w:p>
      <w:pPr>
        <w:ind w:left="420"/>
        <w:spacing w:after="0"/>
        <w:rPr>
          <w:rFonts w:ascii="Arial" w:cs="Arial" w:eastAsia="Arial" w:hAnsi="Arial"/>
          <w:sz w:val="14"/>
          <w:szCs w:val="14"/>
          <w:color w:val="auto"/>
        </w:rPr>
      </w:pPr>
      <w:r>
        <w:rPr>
          <w:rFonts w:ascii="Arial" w:cs="Arial" w:eastAsia="Arial" w:hAnsi="Arial"/>
          <w:sz w:val="14"/>
          <w:szCs w:val="14"/>
          <w:color w:val="003B71"/>
        </w:rPr>
        <w:t xml:space="preserve">•  </w:t>
      </w:r>
      <w:r>
        <w:rPr>
          <w:rFonts w:ascii="Arial" w:cs="Arial" w:eastAsia="Arial" w:hAnsi="Arial"/>
          <w:sz w:val="14"/>
          <w:szCs w:val="14"/>
          <w:color w:val="000000"/>
        </w:rPr>
        <w:t>Consultant</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Finance, Private Equity, Strategic</w:t>
      </w:r>
    </w:p>
    <w:p>
      <w:pPr>
        <w:spacing w:after="0" w:line="1" w:lineRule="exact"/>
        <w:rPr>
          <w:sz w:val="20"/>
          <w:szCs w:val="20"/>
          <w:color w:val="auto"/>
        </w:rPr>
      </w:pPr>
    </w:p>
    <w:p>
      <w:pPr>
        <w:ind w:left="400" w:hanging="127"/>
        <w:spacing w:after="0"/>
        <w:tabs>
          <w:tab w:leader="none" w:pos="40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Cendant Corporation, </w:t>
      </w:r>
      <w:r>
        <w:rPr>
          <w:rFonts w:ascii="Arial" w:cs="Arial" w:eastAsia="Arial" w:hAnsi="Arial"/>
          <w:sz w:val="14"/>
          <w:szCs w:val="14"/>
          <w:color w:val="auto"/>
        </w:rPr>
        <w:t>a global business and consumer services provider:</w:t>
      </w:r>
    </w:p>
    <w:p>
      <w:pPr>
        <w:spacing w:after="0" w:line="1" w:lineRule="exact"/>
        <w:rPr>
          <w:sz w:val="20"/>
          <w:szCs w:val="20"/>
          <w:color w:val="auto"/>
        </w:rPr>
      </w:pPr>
    </w:p>
    <w:p>
      <w:pPr>
        <w:ind w:left="640" w:right="140" w:hanging="223"/>
        <w:spacing w:after="0" w:line="241" w:lineRule="auto"/>
        <w:tabs>
          <w:tab w:leader="none" w:pos="604" w:val="left"/>
        </w:tabs>
        <w:numPr>
          <w:ilvl w:val="0"/>
          <w:numId w:val="57"/>
        </w:numPr>
        <w:rPr>
          <w:rFonts w:ascii="Arial" w:cs="Arial" w:eastAsia="Arial" w:hAnsi="Arial"/>
          <w:sz w:val="14"/>
          <w:szCs w:val="14"/>
          <w:color w:val="003B71"/>
        </w:rPr>
      </w:pPr>
      <w:r>
        <w:rPr>
          <w:rFonts w:ascii="Arial" w:cs="Arial" w:eastAsia="Arial" w:hAnsi="Arial"/>
          <w:sz w:val="14"/>
          <w:szCs w:val="14"/>
          <w:color w:val="auto"/>
        </w:rPr>
        <w:t>Various executive roles, including, Chairman and Chief Executive Officer of the Vehicle Services Division (including global responsibility for Avis Rent A Car, Budget Rent A Car, Budget Truck PHH Fleet Management and Wright Express) (1996-2005)</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Leadership, Strategic, Finance, Global, Consumer Insights, Marketing</w:t>
      </w:r>
    </w:p>
    <w:p>
      <w:pPr>
        <w:sectPr>
          <w:pgSz w:w="11900" w:h="16838" w:orient="portrait"/>
          <w:cols w:equalWidth="0" w:num="1">
            <w:col w:w="11140"/>
          </w:cols>
          <w:pgMar w:left="320" w:top="459" w:right="439" w:bottom="1440" w:gutter="0" w:footer="0" w:header="0"/>
          <w:type w:val="continuous"/>
        </w:sectPr>
      </w:pPr>
    </w:p>
    <w:p>
      <w:pPr>
        <w:spacing w:after="0" w:line="36"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UBLIC</w:t>
      </w:r>
      <w:r>
        <w:rPr>
          <w:rFonts w:ascii="Arial" w:cs="Arial" w:eastAsia="Arial" w:hAnsi="Arial"/>
          <w:sz w:val="18"/>
          <w:szCs w:val="18"/>
          <w:u w:val="single" w:color="auto"/>
          <w:color w:val="auto"/>
        </w:rPr>
        <w:t xml:space="preserve"> C</w:t>
      </w:r>
      <w:r>
        <w:rPr>
          <w:rFonts w:ascii="Arial" w:cs="Arial" w:eastAsia="Arial" w:hAnsi="Arial"/>
          <w:sz w:val="14"/>
          <w:szCs w:val="14"/>
          <w:u w:val="single" w:color="auto"/>
          <w:color w:val="auto"/>
        </w:rPr>
        <w:t>OMPANY</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OARDS</w:t>
      </w:r>
      <w:r>
        <w:rPr>
          <w:rFonts w:ascii="Arial" w:cs="Arial" w:eastAsia="Arial" w:hAnsi="Arial"/>
          <w:sz w:val="18"/>
          <w:szCs w:val="18"/>
          <w:u w:val="single" w:color="auto"/>
          <w:color w:val="auto"/>
        </w:rPr>
        <w:t>:</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Current: Dave &amp; Buster’s Entertainment, Inc.</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Hertz Global Holdings</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Gannett Co., Inc.</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Navistar International Corporation</w:t>
      </w:r>
    </w:p>
    <w:p>
      <w:pPr>
        <w:spacing w:after="0" w:line="55" w:lineRule="exact"/>
        <w:rPr>
          <w:sz w:val="20"/>
          <w:szCs w:val="20"/>
          <w:color w:val="auto"/>
        </w:rPr>
      </w:pPr>
    </w:p>
    <w:p>
      <w:pPr>
        <w:sectPr>
          <w:pgSz w:w="11900" w:h="16838" w:orient="portrait"/>
          <w:cols w:equalWidth="0" w:num="4">
            <w:col w:w="3460" w:space="720"/>
            <w:col w:w="1440" w:space="720"/>
            <w:col w:w="1100" w:space="480"/>
            <w:col w:w="3220"/>
          </w:cols>
          <w:pgMar w:left="320" w:top="459" w:right="439" w:bottom="1440" w:gutter="0" w:footer="0" w:header="0"/>
          <w:type w:val="continuous"/>
        </w:sectPr>
      </w:pPr>
    </w:p>
    <w:p>
      <w:pPr>
        <w:ind w:left="280"/>
        <w:spacing w:after="0"/>
        <w:rPr>
          <w:sz w:val="20"/>
          <w:szCs w:val="20"/>
          <w:color w:val="auto"/>
        </w:rPr>
      </w:pPr>
      <w:r>
        <w:rPr>
          <w:rFonts w:ascii="Arial" w:cs="Arial" w:eastAsia="Arial" w:hAnsi="Arial"/>
          <w:sz w:val="14"/>
          <w:szCs w:val="14"/>
          <w:color w:val="auto"/>
        </w:rPr>
        <w:t>- Past 5 years: Bob Evans Farms, Inc. (2013-2017); Scientific Games Corporation (2016-2018)</w:t>
      </w:r>
    </w:p>
    <w:p>
      <w:pPr>
        <w:sectPr>
          <w:pgSz w:w="11900" w:h="16838" w:orient="portrait"/>
          <w:cols w:equalWidth="0" w:num="1">
            <w:col w:w="11140"/>
          </w:cols>
          <w:pgMar w:left="320" w:top="459" w:right="439" w:bottom="1440" w:gutter="0" w:footer="0" w:header="0"/>
          <w:type w:val="continuous"/>
        </w:sectPr>
      </w:pP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O</w:t>
      </w:r>
      <w:r>
        <w:rPr>
          <w:rFonts w:ascii="Arial" w:cs="Arial" w:eastAsia="Arial" w:hAnsi="Arial"/>
          <w:sz w:val="13"/>
          <w:szCs w:val="13"/>
          <w:u w:val="single" w:color="auto"/>
          <w:color w:val="auto"/>
        </w:rPr>
        <w:t>THER</w:t>
      </w:r>
      <w:r>
        <w:rPr>
          <w:rFonts w:ascii="Arial" w:cs="Arial" w:eastAsia="Arial" w:hAnsi="Arial"/>
          <w:sz w:val="16"/>
          <w:szCs w:val="16"/>
          <w:u w:val="single" w:color="auto"/>
          <w:color w:val="auto"/>
        </w:rPr>
        <w:t xml:space="preserve"> P</w:t>
      </w:r>
      <w:r>
        <w:rPr>
          <w:rFonts w:ascii="Arial" w:cs="Arial" w:eastAsia="Arial" w:hAnsi="Arial"/>
          <w:sz w:val="13"/>
          <w:szCs w:val="13"/>
          <w:u w:val="single" w:color="auto"/>
          <w:color w:val="auto"/>
        </w:rPr>
        <w:t>OSITIONS</w:t>
      </w:r>
      <w:r>
        <w:rPr>
          <w:rFonts w:ascii="Arial" w:cs="Arial" w:eastAsia="Arial" w:hAnsi="Arial"/>
          <w:sz w:val="16"/>
          <w:szCs w:val="16"/>
          <w:u w:val="single" w:color="auto"/>
          <w:color w:val="auto"/>
        </w:rPr>
        <w:t>/M</w:t>
      </w:r>
      <w:r>
        <w:rPr>
          <w:rFonts w:ascii="Arial" w:cs="Arial" w:eastAsia="Arial" w:hAnsi="Arial"/>
          <w:sz w:val="13"/>
          <w:szCs w:val="13"/>
          <w:u w:val="single" w:color="auto"/>
          <w:color w:val="auto"/>
        </w:rPr>
        <w:t>EMBERSHIPS</w:t>
      </w:r>
      <w:r>
        <w:rPr>
          <w:rFonts w:ascii="Arial" w:cs="Arial" w:eastAsia="Arial" w:hAnsi="Arial"/>
          <w:sz w:val="16"/>
          <w:szCs w:val="16"/>
          <w:u w:val="single" w:color="auto"/>
          <w:color w:val="auto"/>
        </w:rPr>
        <w:t>:</w:t>
      </w:r>
    </w:p>
    <w:p>
      <w:pPr>
        <w:spacing w:after="0" w:line="35" w:lineRule="exact"/>
        <w:rPr>
          <w:sz w:val="20"/>
          <w:szCs w:val="20"/>
          <w:color w:val="auto"/>
        </w:rPr>
      </w:pPr>
    </w:p>
    <w:p>
      <w:pPr>
        <w:ind w:left="400" w:hanging="127"/>
        <w:spacing w:after="0"/>
        <w:tabs>
          <w:tab w:leader="none" w:pos="4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Certified Public Accountant</w:t>
      </w:r>
    </w:p>
    <w:p>
      <w:pPr>
        <w:spacing w:after="0" w:line="25" w:lineRule="exact"/>
        <w:rPr>
          <w:rFonts w:ascii="Arial" w:cs="Arial" w:eastAsia="Arial" w:hAnsi="Arial"/>
          <w:sz w:val="14"/>
          <w:szCs w:val="14"/>
          <w:color w:val="auto"/>
        </w:rPr>
      </w:pPr>
    </w:p>
    <w:p>
      <w:pPr>
        <w:ind w:left="280"/>
        <w:spacing w:after="0"/>
        <w:rPr>
          <w:rFonts w:ascii="Arial" w:cs="Arial" w:eastAsia="Arial" w:hAnsi="Arial"/>
          <w:sz w:val="14"/>
          <w:szCs w:val="14"/>
          <w:color w:val="auto"/>
        </w:rPr>
      </w:pPr>
      <w:r>
        <w:rPr>
          <w:rFonts w:ascii="Arial" w:cs="Arial" w:eastAsia="Arial" w:hAnsi="Arial"/>
          <w:sz w:val="16"/>
          <w:szCs w:val="16"/>
          <w:u w:val="single" w:color="auto"/>
          <w:color w:val="auto"/>
        </w:rPr>
        <w:t>E</w:t>
      </w:r>
      <w:r>
        <w:rPr>
          <w:rFonts w:ascii="Arial" w:cs="Arial" w:eastAsia="Arial" w:hAnsi="Arial"/>
          <w:sz w:val="13"/>
          <w:szCs w:val="13"/>
          <w:u w:val="single" w:color="auto"/>
          <w:color w:val="auto"/>
        </w:rPr>
        <w:t>DUCATION</w:t>
      </w:r>
      <w:r>
        <w:rPr>
          <w:rFonts w:ascii="Arial" w:cs="Arial" w:eastAsia="Arial" w:hAnsi="Arial"/>
          <w:sz w:val="16"/>
          <w:szCs w:val="16"/>
          <w:u w:val="single" w:color="auto"/>
          <w:color w:val="auto"/>
        </w:rPr>
        <w:t>:</w:t>
      </w:r>
    </w:p>
    <w:p>
      <w:pPr>
        <w:spacing w:after="0" w:line="75" w:lineRule="exact"/>
        <w:rPr>
          <w:rFonts w:ascii="Arial" w:cs="Arial" w:eastAsia="Arial" w:hAnsi="Arial"/>
          <w:sz w:val="14"/>
          <w:szCs w:val="14"/>
          <w:color w:val="auto"/>
        </w:rPr>
      </w:pPr>
    </w:p>
    <w:p>
      <w:pPr>
        <w:ind w:left="400" w:hanging="127"/>
        <w:spacing w:after="0"/>
        <w:tabs>
          <w:tab w:leader="none" w:pos="4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B.A. Hunter College</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A</w:t>
      </w:r>
      <w:r>
        <w:rPr>
          <w:rFonts w:ascii="Arial" w:cs="Arial" w:eastAsia="Arial" w:hAnsi="Arial"/>
          <w:sz w:val="13"/>
          <w:szCs w:val="13"/>
          <w:u w:val="single" w:color="auto"/>
          <w:color w:val="auto"/>
        </w:rPr>
        <w:t>CCOLADES</w:t>
      </w:r>
      <w:r>
        <w:rPr>
          <w:rFonts w:ascii="Arial" w:cs="Arial" w:eastAsia="Arial" w:hAnsi="Arial"/>
          <w:sz w:val="16"/>
          <w:szCs w:val="16"/>
          <w:u w:val="single" w:color="auto"/>
          <w:color w:val="auto"/>
        </w:rPr>
        <w:t>:</w:t>
      </w:r>
    </w:p>
    <w:p>
      <w:pPr>
        <w:spacing w:after="0" w:line="35" w:lineRule="exact"/>
        <w:rPr>
          <w:sz w:val="20"/>
          <w:szCs w:val="20"/>
          <w:color w:val="auto"/>
        </w:rPr>
      </w:pPr>
    </w:p>
    <w:p>
      <w:pPr>
        <w:ind w:left="400" w:hanging="127"/>
        <w:spacing w:after="0"/>
        <w:tabs>
          <w:tab w:leader="none" w:pos="4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Named “Miami Ultimate CEO” by South Florida Business Journal (2011)</w:t>
      </w:r>
    </w:p>
    <w:p>
      <w:pPr>
        <w:spacing w:after="0" w:line="1" w:lineRule="exact"/>
        <w:rPr>
          <w:rFonts w:ascii="Arial" w:cs="Arial" w:eastAsia="Arial" w:hAnsi="Arial"/>
          <w:sz w:val="14"/>
          <w:szCs w:val="14"/>
          <w:color w:val="auto"/>
        </w:rPr>
      </w:pPr>
    </w:p>
    <w:p>
      <w:pPr>
        <w:ind w:left="400" w:hanging="127"/>
        <w:spacing w:after="0"/>
        <w:tabs>
          <w:tab w:leader="none" w:pos="4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Ernst &amp; Young Entrepreneur of the Year (2014 – Florida Region)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 M.B.A. New York University Graduate School of Business</w:t>
      </w:r>
    </w:p>
    <w:p>
      <w:pPr>
        <w:spacing w:after="0" w:line="767" w:lineRule="exact"/>
        <w:rPr>
          <w:sz w:val="20"/>
          <w:szCs w:val="20"/>
          <w:color w:val="auto"/>
        </w:rPr>
      </w:pPr>
    </w:p>
    <w:p>
      <w:pPr>
        <w:sectPr>
          <w:pgSz w:w="11900" w:h="16838" w:orient="portrait"/>
          <w:cols w:equalWidth="0" w:num="2">
            <w:col w:w="5320" w:space="720"/>
            <w:col w:w="5100"/>
          </w:cols>
          <w:pgMar w:left="320" w:top="459" w:right="439" w:bottom="1440" w:gutter="0" w:footer="0" w:header="0"/>
          <w:type w:val="continuous"/>
        </w:sectPr>
      </w:pPr>
    </w:p>
    <w:p>
      <w:pPr>
        <w:spacing w:after="0" w:line="43" w:lineRule="exact"/>
        <w:rPr>
          <w:sz w:val="20"/>
          <w:szCs w:val="20"/>
          <w:color w:val="auto"/>
        </w:rPr>
      </w:pPr>
    </w:p>
    <w:p>
      <w:pPr>
        <w:ind w:left="120"/>
        <w:spacing w:after="0"/>
        <w:tabs>
          <w:tab w:leader="none" w:pos="560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9</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2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FFFFF"/>
        </w:rPr>
        <w:t>Jennifer Storms</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2016</w:t>
      </w:r>
    </w:p>
    <w:p>
      <w:pPr>
        <w:ind w:left="1420" w:right="380" w:hanging="1149"/>
        <w:spacing w:after="0" w:line="239" w:lineRule="auto"/>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xml:space="preserve">: </w:t>
      </w:r>
      <w:r>
        <w:rPr>
          <w:rFonts w:ascii="Arial" w:cs="Arial" w:eastAsia="Arial" w:hAnsi="Arial"/>
          <w:sz w:val="16"/>
          <w:szCs w:val="16"/>
          <w:color w:val="auto"/>
        </w:rPr>
        <w:t>Compensation, Finance and Nominating and</w:t>
      </w:r>
      <w:r>
        <w:rPr>
          <w:rFonts w:ascii="Arial" w:cs="Arial" w:eastAsia="Arial" w:hAnsi="Arial"/>
          <w:sz w:val="18"/>
          <w:szCs w:val="18"/>
          <w:color w:val="auto"/>
        </w:rPr>
        <w:t xml:space="preserve"> </w:t>
      </w:r>
      <w:r>
        <w:rPr>
          <w:rFonts w:ascii="Arial" w:cs="Arial" w:eastAsia="Arial" w:hAnsi="Arial"/>
          <w:sz w:val="16"/>
          <w:szCs w:val="16"/>
          <w:color w:val="auto"/>
        </w:rPr>
        <w:t>Corporate Governance</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URRENT</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OSITION</w:t>
      </w: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xml:space="preserve">: </w:t>
      </w: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-299085</wp:posOffset>
            </wp:positionV>
            <wp:extent cx="7003415" cy="3488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03415" cy="34886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TATUS</w:t>
      </w:r>
      <w:r>
        <w:rPr>
          <w:rFonts w:ascii="Arial" w:cs="Arial" w:eastAsia="Arial" w:hAnsi="Arial"/>
          <w:sz w:val="18"/>
          <w:szCs w:val="18"/>
          <w:color w:val="auto"/>
        </w:rPr>
        <w:t xml:space="preserve">: </w:t>
      </w:r>
      <w:r>
        <w:rPr>
          <w:rFonts w:ascii="Arial" w:cs="Arial" w:eastAsia="Arial" w:hAnsi="Arial"/>
          <w:sz w:val="16"/>
          <w:szCs w:val="16"/>
          <w:color w:val="auto"/>
        </w:rPr>
        <w:t>I</w:t>
      </w:r>
      <w:r>
        <w:rPr>
          <w:rFonts w:ascii="Arial" w:cs="Arial" w:eastAsia="Arial" w:hAnsi="Arial"/>
          <w:sz w:val="13"/>
          <w:szCs w:val="13"/>
          <w:color w:val="auto"/>
        </w:rPr>
        <w:t>NDEPENDENT</w:t>
      </w:r>
    </w:p>
    <w:p>
      <w:pPr>
        <w:spacing w:after="0" w:line="419" w:lineRule="exact"/>
        <w:rPr>
          <w:sz w:val="20"/>
          <w:szCs w:val="20"/>
          <w:color w:val="auto"/>
        </w:rPr>
      </w:pPr>
    </w:p>
    <w:p>
      <w:pPr>
        <w:sectPr>
          <w:pgSz w:w="11900" w:h="16838" w:orient="portrait"/>
          <w:cols w:equalWidth="0" w:num="2">
            <w:col w:w="4980" w:space="720"/>
            <w:col w:w="5440"/>
          </w:cols>
          <w:pgMar w:left="320" w:top="459" w:right="439" w:bottom="1440" w:gutter="0" w:footer="0" w:header="0"/>
          <w:type w:val="continuous"/>
        </w:sectPr>
      </w:pPr>
    </w:p>
    <w:p>
      <w:pPr>
        <w:ind w:left="420" w:right="600" w:hanging="143"/>
        <w:spacing w:after="0" w:line="241" w:lineRule="auto"/>
        <w:rPr>
          <w:sz w:val="20"/>
          <w:szCs w:val="20"/>
          <w:color w:val="auto"/>
        </w:rPr>
      </w:pPr>
      <w:r>
        <w:rPr>
          <w:rFonts w:ascii="Arial" w:cs="Arial" w:eastAsia="Arial" w:hAnsi="Arial"/>
          <w:sz w:val="14"/>
          <w:szCs w:val="14"/>
          <w:color w:val="auto"/>
        </w:rPr>
        <w:t xml:space="preserve">- Chief Marketing Officer and Executive Vice President, Content Strategy for </w:t>
      </w:r>
      <w:r>
        <w:rPr>
          <w:rFonts w:ascii="Arial" w:cs="Arial" w:eastAsia="Arial" w:hAnsi="Arial"/>
          <w:sz w:val="14"/>
          <w:szCs w:val="14"/>
          <w:i w:val="1"/>
          <w:iCs w:val="1"/>
          <w:color w:val="auto"/>
        </w:rPr>
        <w:t>NBC Sports Group</w:t>
      </w:r>
      <w:r>
        <w:rPr>
          <w:rFonts w:ascii="Arial" w:cs="Arial" w:eastAsia="Arial" w:hAnsi="Arial"/>
          <w:sz w:val="14"/>
          <w:szCs w:val="14"/>
          <w:color w:val="auto"/>
        </w:rPr>
        <w:t xml:space="preserve">, </w:t>
      </w:r>
      <w:r>
        <w:rPr>
          <w:rFonts w:ascii="Arial" w:cs="Arial" w:eastAsia="Arial" w:hAnsi="Arial"/>
          <w:sz w:val="14"/>
          <w:szCs w:val="14"/>
          <w:i w:val="1"/>
          <w:iCs w:val="1"/>
          <w:color w:val="auto"/>
        </w:rPr>
        <w:t>a division of NBCUniversal</w:t>
      </w:r>
      <w:r>
        <w:rPr>
          <w:rFonts w:ascii="Arial" w:cs="Arial" w:eastAsia="Arial" w:hAnsi="Arial"/>
          <w:sz w:val="14"/>
          <w:szCs w:val="14"/>
          <w:color w:val="auto"/>
        </w:rPr>
        <w:t>, a leading global media and entertainment company developing, producing, and marketing of entertainment, news and information, since March 2019 (previously served as Chief Marketing Officer from October 2015-February 2019).</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Leadership, Strategic, Marketing, Consumer Insights, Global</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r>
        <w:rPr>
          <w:rFonts w:ascii="Arial" w:cs="Arial" w:eastAsia="Arial" w:hAnsi="Arial"/>
          <w:sz w:val="18"/>
          <w:szCs w:val="18"/>
          <w:u w:val="single" w:color="auto"/>
          <w:color w:val="auto"/>
        </w:rPr>
        <w:t>:</w:t>
      </w:r>
    </w:p>
    <w:p>
      <w:pPr>
        <w:spacing w:after="0" w:line="95" w:lineRule="exact"/>
        <w:rPr>
          <w:sz w:val="20"/>
          <w:szCs w:val="20"/>
          <w:color w:val="auto"/>
        </w:rPr>
      </w:pPr>
    </w:p>
    <w:p>
      <w:pPr>
        <w:ind w:left="400" w:hanging="127"/>
        <w:spacing w:after="0"/>
        <w:tabs>
          <w:tab w:leader="none" w:pos="400" w:val="left"/>
        </w:tabs>
        <w:numPr>
          <w:ilvl w:val="0"/>
          <w:numId w:val="60"/>
        </w:numPr>
        <w:rPr>
          <w:rFonts w:ascii="Arial" w:cs="Arial" w:eastAsia="Arial" w:hAnsi="Arial"/>
          <w:sz w:val="14"/>
          <w:szCs w:val="14"/>
          <w:color w:val="auto"/>
        </w:rPr>
      </w:pPr>
      <w:r>
        <w:rPr>
          <w:rFonts w:ascii="Arial" w:cs="Arial" w:eastAsia="Arial" w:hAnsi="Arial"/>
          <w:sz w:val="14"/>
          <w:szCs w:val="14"/>
          <w:i w:val="1"/>
          <w:iCs w:val="1"/>
          <w:color w:val="auto"/>
        </w:rPr>
        <w:t>PepsiCo, Inc.</w:t>
      </w:r>
      <w:r>
        <w:rPr>
          <w:rFonts w:ascii="Arial" w:cs="Arial" w:eastAsia="Arial" w:hAnsi="Arial"/>
          <w:sz w:val="14"/>
          <w:szCs w:val="14"/>
          <w:color w:val="auto"/>
        </w:rPr>
        <w:t>:</w:t>
      </w:r>
    </w:p>
    <w:p>
      <w:pPr>
        <w:spacing w:after="0" w:line="15" w:lineRule="exact"/>
        <w:rPr>
          <w:rFonts w:ascii="Arial" w:cs="Arial" w:eastAsia="Arial" w:hAnsi="Arial"/>
          <w:sz w:val="14"/>
          <w:szCs w:val="14"/>
          <w:color w:val="auto"/>
        </w:rPr>
      </w:pPr>
    </w:p>
    <w:p>
      <w:pPr>
        <w:ind w:left="600" w:hanging="183"/>
        <w:spacing w:after="0"/>
        <w:tabs>
          <w:tab w:leader="none" w:pos="600" w:val="left"/>
        </w:tabs>
        <w:numPr>
          <w:ilvl w:val="1"/>
          <w:numId w:val="60"/>
        </w:numPr>
        <w:rPr>
          <w:rFonts w:ascii="Arial" w:cs="Arial" w:eastAsia="Arial" w:hAnsi="Arial"/>
          <w:sz w:val="14"/>
          <w:szCs w:val="14"/>
          <w:color w:val="003B71"/>
        </w:rPr>
      </w:pPr>
      <w:r>
        <w:rPr>
          <w:rFonts w:ascii="Arial" w:cs="Arial" w:eastAsia="Arial" w:hAnsi="Arial"/>
          <w:sz w:val="14"/>
          <w:szCs w:val="14"/>
          <w:color w:val="auto"/>
        </w:rPr>
        <w:t>Senior Vice President of Global Sports Marketing (2011-September 2015)</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Leadership, Strategic, Marketing, Consumer Insights, Global, Food &amp; Beverage</w:t>
      </w:r>
    </w:p>
    <w:p>
      <w:pPr>
        <w:spacing w:after="0" w:line="1" w:lineRule="exact"/>
        <w:rPr>
          <w:sz w:val="20"/>
          <w:szCs w:val="20"/>
          <w:color w:val="auto"/>
        </w:rPr>
      </w:pPr>
    </w:p>
    <w:p>
      <w:pPr>
        <w:ind w:left="400" w:hanging="127"/>
        <w:spacing w:after="0"/>
        <w:tabs>
          <w:tab w:leader="none" w:pos="400"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 xml:space="preserve">The Gatorade Company, Inc. </w:t>
      </w:r>
      <w:r>
        <w:rPr>
          <w:rFonts w:ascii="Arial" w:cs="Arial" w:eastAsia="Arial" w:hAnsi="Arial"/>
          <w:sz w:val="14"/>
          <w:szCs w:val="14"/>
          <w:color w:val="auto"/>
        </w:rPr>
        <w:t>(a subsidiary of PepsiCo, Inc.), a manufacturer of sports-themed beverages and food products:</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61"/>
        </w:numPr>
        <w:rPr>
          <w:rFonts w:ascii="Arial" w:cs="Arial" w:eastAsia="Arial" w:hAnsi="Arial"/>
          <w:sz w:val="14"/>
          <w:szCs w:val="14"/>
          <w:color w:val="003B71"/>
        </w:rPr>
      </w:pPr>
      <w:r>
        <w:rPr>
          <w:rFonts w:ascii="Arial" w:cs="Arial" w:eastAsia="Arial" w:hAnsi="Arial"/>
          <w:sz w:val="14"/>
          <w:szCs w:val="14"/>
          <w:color w:val="auto"/>
        </w:rPr>
        <w:t>Senior Vice President of Sports Marketing (2009-2011)</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Leadership, Strategic, Marketing, Consumer Insights, Food &amp; Beverage</w:t>
      </w:r>
    </w:p>
    <w:p>
      <w:pPr>
        <w:spacing w:after="0" w:line="1" w:lineRule="exact"/>
        <w:rPr>
          <w:sz w:val="20"/>
          <w:szCs w:val="20"/>
          <w:color w:val="auto"/>
        </w:rPr>
      </w:pPr>
    </w:p>
    <w:p>
      <w:pPr>
        <w:ind w:left="400" w:hanging="127"/>
        <w:spacing w:after="0"/>
        <w:tabs>
          <w:tab w:leader="none" w:pos="400" w:val="left"/>
        </w:tabs>
        <w:numPr>
          <w:ilvl w:val="0"/>
          <w:numId w:val="62"/>
        </w:numPr>
        <w:rPr>
          <w:rFonts w:ascii="Arial" w:cs="Arial" w:eastAsia="Arial" w:hAnsi="Arial"/>
          <w:sz w:val="14"/>
          <w:szCs w:val="14"/>
          <w:color w:val="auto"/>
        </w:rPr>
      </w:pPr>
      <w:r>
        <w:rPr>
          <w:rFonts w:ascii="Arial" w:cs="Arial" w:eastAsia="Arial" w:hAnsi="Arial"/>
          <w:sz w:val="14"/>
          <w:szCs w:val="14"/>
          <w:i w:val="1"/>
          <w:iCs w:val="1"/>
          <w:color w:val="auto"/>
        </w:rPr>
        <w:t>Turner Broadcasting System/Turner Sports</w:t>
      </w:r>
      <w:r>
        <w:rPr>
          <w:rFonts w:ascii="Arial" w:cs="Arial" w:eastAsia="Arial" w:hAnsi="Arial"/>
          <w:sz w:val="14"/>
          <w:szCs w:val="14"/>
          <w:color w:val="auto"/>
        </w:rPr>
        <w:t>, a division of the American media conglomerate providing sports programing on television and digital media:</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62"/>
        </w:numPr>
        <w:rPr>
          <w:rFonts w:ascii="Arial" w:cs="Arial" w:eastAsia="Arial" w:hAnsi="Arial"/>
          <w:sz w:val="14"/>
          <w:szCs w:val="14"/>
          <w:color w:val="003B71"/>
        </w:rPr>
      </w:pPr>
      <w:r>
        <w:rPr>
          <w:rFonts w:ascii="Arial" w:cs="Arial" w:eastAsia="Arial" w:hAnsi="Arial"/>
          <w:sz w:val="14"/>
          <w:szCs w:val="14"/>
          <w:color w:val="auto"/>
        </w:rPr>
        <w:t>Multiple marketing and leadership positions, including, Senior Vice President, Sports Programming and Marketing (1995-2009)</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Leadership, Strategic, Marketing, Consumer Insights</w:t>
      </w:r>
    </w:p>
    <w:p>
      <w:pPr>
        <w:spacing w:after="0" w:line="36"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UBLIC</w:t>
      </w:r>
      <w:r>
        <w:rPr>
          <w:rFonts w:ascii="Arial" w:cs="Arial" w:eastAsia="Arial" w:hAnsi="Arial"/>
          <w:sz w:val="18"/>
          <w:szCs w:val="18"/>
          <w:u w:val="single" w:color="auto"/>
          <w:color w:val="auto"/>
        </w:rPr>
        <w:t xml:space="preserve"> C</w:t>
      </w:r>
      <w:r>
        <w:rPr>
          <w:rFonts w:ascii="Arial" w:cs="Arial" w:eastAsia="Arial" w:hAnsi="Arial"/>
          <w:sz w:val="14"/>
          <w:szCs w:val="14"/>
          <w:u w:val="single" w:color="auto"/>
          <w:color w:val="auto"/>
        </w:rPr>
        <w:t>OMPANY</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OARDS</w:t>
      </w:r>
      <w:r>
        <w:rPr>
          <w:rFonts w:ascii="Arial" w:cs="Arial" w:eastAsia="Arial" w:hAnsi="Arial"/>
          <w:sz w:val="18"/>
          <w:szCs w:val="18"/>
          <w:u w:val="single" w:color="auto"/>
          <w:color w:val="auto"/>
        </w:rPr>
        <w:t>:</w:t>
      </w:r>
    </w:p>
    <w:p>
      <w:pPr>
        <w:spacing w:after="0" w:line="1" w:lineRule="exact"/>
        <w:rPr>
          <w:sz w:val="20"/>
          <w:szCs w:val="20"/>
          <w:color w:val="auto"/>
        </w:rPr>
      </w:pPr>
    </w:p>
    <w:p>
      <w:pPr>
        <w:ind w:left="280"/>
        <w:spacing w:after="0"/>
        <w:tabs>
          <w:tab w:leader="none" w:pos="1420" w:val="left"/>
        </w:tabs>
        <w:rPr>
          <w:sz w:val="20"/>
          <w:szCs w:val="20"/>
          <w:color w:val="auto"/>
        </w:rPr>
      </w:pPr>
      <w:r>
        <w:rPr>
          <w:rFonts w:ascii="Arial" w:cs="Arial" w:eastAsia="Arial" w:hAnsi="Arial"/>
          <w:sz w:val="14"/>
          <w:szCs w:val="14"/>
          <w:color w:val="auto"/>
        </w:rPr>
        <w:t>- Current:</w:t>
      </w:r>
      <w:r>
        <w:rPr>
          <w:sz w:val="20"/>
          <w:szCs w:val="20"/>
          <w:color w:val="auto"/>
        </w:rPr>
        <w:tab/>
      </w:r>
      <w:r>
        <w:rPr>
          <w:rFonts w:ascii="Arial" w:cs="Arial" w:eastAsia="Arial" w:hAnsi="Arial"/>
          <w:sz w:val="14"/>
          <w:szCs w:val="14"/>
          <w:color w:val="auto"/>
        </w:rPr>
        <w:t>Dave &amp; Buster’s Entertainment, Inc.</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O</w:t>
      </w:r>
      <w:r>
        <w:rPr>
          <w:rFonts w:ascii="Arial" w:cs="Arial" w:eastAsia="Arial" w:hAnsi="Arial"/>
          <w:sz w:val="13"/>
          <w:szCs w:val="13"/>
          <w:u w:val="single" w:color="auto"/>
          <w:color w:val="auto"/>
        </w:rPr>
        <w:t>THER</w:t>
      </w:r>
      <w:r>
        <w:rPr>
          <w:rFonts w:ascii="Arial" w:cs="Arial" w:eastAsia="Arial" w:hAnsi="Arial"/>
          <w:sz w:val="16"/>
          <w:szCs w:val="16"/>
          <w:u w:val="single" w:color="auto"/>
          <w:color w:val="auto"/>
        </w:rPr>
        <w:t xml:space="preserve"> P</w:t>
      </w:r>
      <w:r>
        <w:rPr>
          <w:rFonts w:ascii="Arial" w:cs="Arial" w:eastAsia="Arial" w:hAnsi="Arial"/>
          <w:sz w:val="13"/>
          <w:szCs w:val="13"/>
          <w:u w:val="single" w:color="auto"/>
          <w:color w:val="auto"/>
        </w:rPr>
        <w:t>OSITIONS</w:t>
      </w:r>
      <w:r>
        <w:rPr>
          <w:rFonts w:ascii="Arial" w:cs="Arial" w:eastAsia="Arial" w:hAnsi="Arial"/>
          <w:sz w:val="16"/>
          <w:szCs w:val="16"/>
          <w:u w:val="single" w:color="auto"/>
          <w:color w:val="auto"/>
        </w:rPr>
        <w:t>/M</w:t>
      </w:r>
      <w:r>
        <w:rPr>
          <w:rFonts w:ascii="Arial" w:cs="Arial" w:eastAsia="Arial" w:hAnsi="Arial"/>
          <w:sz w:val="13"/>
          <w:szCs w:val="13"/>
          <w:u w:val="single" w:color="auto"/>
          <w:color w:val="auto"/>
        </w:rPr>
        <w:t>EMBERSHIPS</w:t>
      </w:r>
      <w:r>
        <w:rPr>
          <w:rFonts w:ascii="Arial" w:cs="Arial" w:eastAsia="Arial" w:hAnsi="Arial"/>
          <w:sz w:val="16"/>
          <w:szCs w:val="16"/>
          <w:u w:val="single" w:color="auto"/>
          <w:color w:val="auto"/>
        </w:rPr>
        <w:t>:</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Member, KPMG Women’s Leadership Summit Advisory Council</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E</w:t>
      </w:r>
      <w:r>
        <w:rPr>
          <w:rFonts w:ascii="Arial" w:cs="Arial" w:eastAsia="Arial" w:hAnsi="Arial"/>
          <w:sz w:val="13"/>
          <w:szCs w:val="13"/>
          <w:u w:val="single" w:color="auto"/>
          <w:color w:val="auto"/>
        </w:rPr>
        <w:t>DUCATION</w:t>
      </w:r>
      <w:r>
        <w:rPr>
          <w:rFonts w:ascii="Arial" w:cs="Arial" w:eastAsia="Arial" w:hAnsi="Arial"/>
          <w:sz w:val="16"/>
          <w:szCs w:val="16"/>
          <w:u w:val="single" w:color="auto"/>
          <w:color w:val="auto"/>
        </w:rPr>
        <w:t>:</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B.A. Northwestern University</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A</w:t>
      </w:r>
      <w:r>
        <w:rPr>
          <w:rFonts w:ascii="Arial" w:cs="Arial" w:eastAsia="Arial" w:hAnsi="Arial"/>
          <w:sz w:val="13"/>
          <w:szCs w:val="13"/>
          <w:u w:val="single" w:color="auto"/>
          <w:color w:val="auto"/>
        </w:rPr>
        <w:t>CCOLADES</w:t>
      </w:r>
      <w:r>
        <w:rPr>
          <w:rFonts w:ascii="Arial" w:cs="Arial" w:eastAsia="Arial" w:hAnsi="Arial"/>
          <w:sz w:val="16"/>
          <w:szCs w:val="16"/>
          <w:u w:val="single" w:color="auto"/>
          <w:color w:val="auto"/>
        </w:rPr>
        <w:t>:</w:t>
      </w:r>
    </w:p>
    <w:p>
      <w:pPr>
        <w:spacing w:after="0" w:line="8" w:lineRule="exact"/>
        <w:rPr>
          <w:sz w:val="20"/>
          <w:szCs w:val="20"/>
          <w:color w:val="auto"/>
        </w:rPr>
      </w:pPr>
    </w:p>
    <w:p>
      <w:pPr>
        <w:ind w:left="400" w:hanging="127"/>
        <w:spacing w:after="0"/>
        <w:tabs>
          <w:tab w:leader="none" w:pos="4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Named Cynopsis Sports Media’s Marketing Executive (2018)</w:t>
      </w:r>
    </w:p>
    <w:p>
      <w:pPr>
        <w:spacing w:after="0" w:line="1" w:lineRule="exact"/>
        <w:rPr>
          <w:rFonts w:ascii="Arial" w:cs="Arial" w:eastAsia="Arial" w:hAnsi="Arial"/>
          <w:sz w:val="14"/>
          <w:szCs w:val="14"/>
          <w:color w:val="auto"/>
        </w:rPr>
      </w:pPr>
    </w:p>
    <w:p>
      <w:pPr>
        <w:ind w:left="400" w:hanging="127"/>
        <w:spacing w:after="0"/>
        <w:tabs>
          <w:tab w:leader="none" w:pos="4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Named to iSportsConnect’s Influential Women in the business of Sport list (2018)</w:t>
      </w:r>
    </w:p>
    <w:p>
      <w:pPr>
        <w:spacing w:after="0" w:line="1" w:lineRule="exact"/>
        <w:rPr>
          <w:rFonts w:ascii="Arial" w:cs="Arial" w:eastAsia="Arial" w:hAnsi="Arial"/>
          <w:sz w:val="14"/>
          <w:szCs w:val="14"/>
          <w:color w:val="auto"/>
        </w:rPr>
      </w:pPr>
    </w:p>
    <w:p>
      <w:pPr>
        <w:ind w:left="400" w:hanging="127"/>
        <w:spacing w:after="0"/>
        <w:tabs>
          <w:tab w:leader="none" w:pos="4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Member, Forty Under 40 Hall of Fame, SportsBusiness Daily/Global/Journal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2095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209550"/>
                    </a:xfrm>
                    <a:prstGeom prst="rect">
                      <a:avLst/>
                    </a:prstGeom>
                    <a:noFill/>
                  </pic:spPr>
                </pic:pic>
              </a:graphicData>
            </a:graphic>
          </wp:anchor>
        </w:drawing>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Board of Directors recommends a vote FOR the election of each of the nominated directors.</w:t>
      </w:r>
    </w:p>
    <w:p>
      <w:pPr>
        <w:spacing w:after="0" w:line="225"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10</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40"/>
          <w:szCs w:val="40"/>
          <w:color w:val="003B71"/>
        </w:rPr>
        <w:t>PROPOSAL NO. 2</w:t>
      </w:r>
    </w:p>
    <w:p>
      <w:pPr>
        <w:jc w:val="center"/>
        <w:ind w:right="-99"/>
        <w:spacing w:after="0"/>
        <w:rPr>
          <w:sz w:val="20"/>
          <w:szCs w:val="20"/>
          <w:color w:val="auto"/>
        </w:rPr>
      </w:pPr>
      <w:r>
        <w:rPr>
          <w:rFonts w:ascii="Arial" w:cs="Arial" w:eastAsia="Arial" w:hAnsi="Arial"/>
          <w:sz w:val="40"/>
          <w:szCs w:val="40"/>
          <w:color w:val="003B71"/>
        </w:rPr>
        <w:t>RATIFICATION OF APPOINTMENT OF INDEPENDENT</w:t>
      </w:r>
    </w:p>
    <w:p>
      <w:pPr>
        <w:jc w:val="center"/>
        <w:ind w:right="-99"/>
        <w:spacing w:after="0"/>
        <w:rPr>
          <w:sz w:val="20"/>
          <w:szCs w:val="20"/>
          <w:color w:val="auto"/>
        </w:rPr>
      </w:pPr>
      <w:r>
        <w:rPr>
          <w:rFonts w:ascii="Arial" w:cs="Arial" w:eastAsia="Arial" w:hAnsi="Arial"/>
          <w:sz w:val="40"/>
          <w:szCs w:val="40"/>
          <w:color w:val="003B71"/>
        </w:rPr>
        <w:t>REGISTERED PUBLIC ACCOUNTING FIRM</w:t>
      </w:r>
    </w:p>
    <w:p>
      <w:pPr>
        <w:spacing w:after="0" w:line="208"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The Audit Committee of the Board of Directors has selected KPMG LLP (“KPMG”) to be the Company’s independent registered public accounting firm for the fiscal year ending January 31, 2021 and recommends that the shareholders vote for ratification for such appointment. KPMG has been engaged as our independent registered public accounting firm since 2010. As a matter of good corporate governance, the Audit Committee has requested the Board of Directors to submit the selection of KPMG as the Company’s independent registered public accounting firm for fiscal 2020 to shareholders for ratification. In the event of a negative vote on such ratification, the Audit Committee will reconsider its selection. We expect representatives of KPMG to be present at the Annual Meeting. They will have the opportunity to make a statement at the Annual Meeting if they desire to do so and will be available to respond to appropriate questions.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Audit and 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following table sets forth the fees (dollars shown are in thousands) for professional audit services and fees for other services provided to the Company by KPMG, for fiscal 2019 which ended on February 2, 2020 and fiscal 2018 which ended on February 3, 2019:</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900" w:type="dxa"/>
            <w:vAlign w:val="bottom"/>
            <w:tcBorders>
              <w:bottom w:val="single" w:sz="8" w:color="003B71"/>
            </w:tcBorders>
          </w:tcPr>
          <w:p>
            <w:pPr>
              <w:spacing w:after="0"/>
              <w:rPr>
                <w:sz w:val="15"/>
                <w:szCs w:val="15"/>
                <w:color w:val="auto"/>
              </w:rPr>
            </w:pPr>
          </w:p>
        </w:tc>
        <w:tc>
          <w:tcPr>
            <w:tcW w:w="4660" w:type="dxa"/>
            <w:vAlign w:val="bottom"/>
            <w:tcBorders>
              <w:bottom w:val="single" w:sz="8" w:color="003B71"/>
            </w:tcBorders>
            <w:gridSpan w:val="2"/>
          </w:tcPr>
          <w:p>
            <w:pPr>
              <w:ind w:left="3420"/>
              <w:spacing w:after="0"/>
              <w:rPr>
                <w:sz w:val="20"/>
                <w:szCs w:val="20"/>
                <w:color w:val="auto"/>
              </w:rPr>
            </w:pPr>
            <w:r>
              <w:rPr>
                <w:rFonts w:ascii="Arial" w:cs="Arial" w:eastAsia="Arial" w:hAnsi="Arial"/>
                <w:sz w:val="14"/>
                <w:szCs w:val="14"/>
                <w:b w:val="1"/>
                <w:bCs w:val="1"/>
                <w:color w:val="003B71"/>
              </w:rPr>
              <w:t>Fiscal 2019</w:t>
            </w:r>
          </w:p>
        </w:tc>
        <w:tc>
          <w:tcPr>
            <w:tcW w:w="1460" w:type="dxa"/>
            <w:vAlign w:val="bottom"/>
            <w:tcBorders>
              <w:bottom w:val="single" w:sz="8" w:color="003B71"/>
            </w:tcBorders>
            <w:gridSpan w:val="2"/>
          </w:tcPr>
          <w:p>
            <w:pPr>
              <w:ind w:left="260"/>
              <w:spacing w:after="0"/>
              <w:rPr>
                <w:sz w:val="20"/>
                <w:szCs w:val="20"/>
                <w:color w:val="auto"/>
              </w:rPr>
            </w:pPr>
            <w:r>
              <w:rPr>
                <w:rFonts w:ascii="Arial" w:cs="Arial" w:eastAsia="Arial" w:hAnsi="Arial"/>
                <w:sz w:val="14"/>
                <w:szCs w:val="14"/>
                <w:b w:val="1"/>
                <w:bCs w:val="1"/>
                <w:color w:val="003B71"/>
              </w:rPr>
              <w:t>Fiscal 2018</w:t>
            </w:r>
          </w:p>
        </w:tc>
      </w:tr>
      <w:tr>
        <w:trPr>
          <w:trHeight w:val="182"/>
        </w:trPr>
        <w:tc>
          <w:tcPr>
            <w:tcW w:w="490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Audit Fee</w:t>
            </w:r>
          </w:p>
        </w:tc>
        <w:tc>
          <w:tcPr>
            <w:tcW w:w="3660" w:type="dxa"/>
            <w:vAlign w:val="bottom"/>
            <w:shd w:val="clear" w:color="auto" w:fill="E5E5E5"/>
          </w:tcPr>
          <w:p>
            <w:pPr>
              <w:ind w:left="342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179"/>
              <w:spacing w:after="0" w:line="183" w:lineRule="exact"/>
              <w:rPr>
                <w:sz w:val="20"/>
                <w:szCs w:val="20"/>
                <w:color w:val="auto"/>
              </w:rPr>
            </w:pPr>
            <w:r>
              <w:rPr>
                <w:rFonts w:ascii="Arial" w:cs="Arial" w:eastAsia="Arial" w:hAnsi="Arial"/>
                <w:sz w:val="16"/>
                <w:szCs w:val="16"/>
                <w:color w:val="auto"/>
              </w:rPr>
              <w:t>1,005(1)</w:t>
            </w:r>
          </w:p>
        </w:tc>
        <w:tc>
          <w:tcPr>
            <w:tcW w:w="500" w:type="dxa"/>
            <w:vAlign w:val="bottom"/>
            <w:shd w:val="clear" w:color="auto" w:fill="E5E5E5"/>
          </w:tcPr>
          <w:p>
            <w:pPr>
              <w:ind w:left="260"/>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139"/>
              <w:spacing w:after="0" w:line="183" w:lineRule="exact"/>
              <w:rPr>
                <w:sz w:val="20"/>
                <w:szCs w:val="20"/>
                <w:color w:val="auto"/>
              </w:rPr>
            </w:pPr>
            <w:r>
              <w:rPr>
                <w:rFonts w:ascii="Arial" w:cs="Arial" w:eastAsia="Arial" w:hAnsi="Arial"/>
                <w:sz w:val="16"/>
                <w:szCs w:val="16"/>
                <w:color w:val="auto"/>
              </w:rPr>
              <w:t>1,030(1)</w:t>
            </w:r>
          </w:p>
        </w:tc>
      </w:tr>
      <w:tr>
        <w:trPr>
          <w:trHeight w:val="189"/>
        </w:trPr>
        <w:tc>
          <w:tcPr>
            <w:tcW w:w="4900" w:type="dxa"/>
            <w:vAlign w:val="bottom"/>
          </w:tcPr>
          <w:p>
            <w:pPr>
              <w:ind w:left="80"/>
              <w:spacing w:after="0"/>
              <w:rPr>
                <w:sz w:val="20"/>
                <w:szCs w:val="20"/>
                <w:color w:val="auto"/>
              </w:rPr>
            </w:pPr>
            <w:r>
              <w:rPr>
                <w:rFonts w:ascii="Arial" w:cs="Arial" w:eastAsia="Arial" w:hAnsi="Arial"/>
                <w:sz w:val="16"/>
                <w:szCs w:val="16"/>
                <w:color w:val="auto"/>
              </w:rPr>
              <w:t>Audit-Related Fees</w:t>
            </w:r>
          </w:p>
        </w:tc>
        <w:tc>
          <w:tcPr>
            <w:tcW w:w="3660" w:type="dxa"/>
            <w:vAlign w:val="bottom"/>
          </w:tcPr>
          <w:p>
            <w:pPr>
              <w:spacing w:after="0"/>
              <w:rPr>
                <w:sz w:val="16"/>
                <w:szCs w:val="16"/>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w:t>
            </w:r>
          </w:p>
        </w:tc>
      </w:tr>
      <w:tr>
        <w:trPr>
          <w:trHeight w:val="189"/>
        </w:trPr>
        <w:tc>
          <w:tcPr>
            <w:tcW w:w="4900" w:type="dxa"/>
            <w:vAlign w:val="bottom"/>
            <w:shd w:val="clear" w:color="auto" w:fill="E5E5E5"/>
          </w:tcPr>
          <w:p>
            <w:pPr>
              <w:ind w:left="80"/>
              <w:spacing w:after="0"/>
              <w:rPr>
                <w:sz w:val="20"/>
                <w:szCs w:val="20"/>
                <w:color w:val="auto"/>
              </w:rPr>
            </w:pPr>
            <w:r>
              <w:rPr>
                <w:rFonts w:ascii="Arial" w:cs="Arial" w:eastAsia="Arial" w:hAnsi="Arial"/>
                <w:sz w:val="16"/>
                <w:szCs w:val="16"/>
                <w:color w:val="auto"/>
              </w:rPr>
              <w:t>Tax Fees</w:t>
            </w:r>
          </w:p>
        </w:tc>
        <w:tc>
          <w:tcPr>
            <w:tcW w:w="3660" w:type="dxa"/>
            <w:vAlign w:val="bottom"/>
            <w:shd w:val="clear" w:color="auto" w:fill="E5E5E5"/>
          </w:tcPr>
          <w:p>
            <w:pPr>
              <w:spacing w:after="0"/>
              <w:rPr>
                <w:sz w:val="16"/>
                <w:szCs w:val="16"/>
                <w:color w:val="auto"/>
              </w:rPr>
            </w:pPr>
          </w:p>
        </w:tc>
        <w:tc>
          <w:tcPr>
            <w:tcW w:w="1000" w:type="dxa"/>
            <w:vAlign w:val="bottom"/>
            <w:shd w:val="clear" w:color="auto" w:fill="E5E5E5"/>
          </w:tcPr>
          <w:p>
            <w:pPr>
              <w:jc w:val="right"/>
              <w:ind w:right="379"/>
              <w:spacing w:after="0"/>
              <w:rPr>
                <w:sz w:val="20"/>
                <w:szCs w:val="20"/>
                <w:color w:val="auto"/>
              </w:rPr>
            </w:pPr>
            <w:r>
              <w:rPr>
                <w:rFonts w:ascii="Arial" w:cs="Arial" w:eastAsia="Arial" w:hAnsi="Arial"/>
                <w:sz w:val="16"/>
                <w:szCs w:val="16"/>
                <w:color w:val="auto"/>
              </w:rPr>
              <w:t>—</w:t>
            </w:r>
          </w:p>
        </w:tc>
        <w:tc>
          <w:tcPr>
            <w:tcW w:w="50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339"/>
              <w:spacing w:after="0"/>
              <w:rPr>
                <w:sz w:val="20"/>
                <w:szCs w:val="20"/>
                <w:color w:val="auto"/>
              </w:rPr>
            </w:pPr>
            <w:r>
              <w:rPr>
                <w:rFonts w:ascii="Arial" w:cs="Arial" w:eastAsia="Arial" w:hAnsi="Arial"/>
                <w:sz w:val="16"/>
                <w:szCs w:val="16"/>
                <w:color w:val="auto"/>
              </w:rPr>
              <w:t>—</w:t>
            </w:r>
          </w:p>
        </w:tc>
      </w:tr>
      <w:tr>
        <w:trPr>
          <w:trHeight w:val="189"/>
        </w:trPr>
        <w:tc>
          <w:tcPr>
            <w:tcW w:w="4900" w:type="dxa"/>
            <w:vAlign w:val="bottom"/>
            <w:tcBorders>
              <w:bottom w:val="single" w:sz="8" w:color="003B71"/>
            </w:tcBorders>
          </w:tcPr>
          <w:p>
            <w:pPr>
              <w:ind w:left="80"/>
              <w:spacing w:after="0"/>
              <w:rPr>
                <w:sz w:val="20"/>
                <w:szCs w:val="20"/>
                <w:color w:val="auto"/>
              </w:rPr>
            </w:pPr>
            <w:r>
              <w:rPr>
                <w:rFonts w:ascii="Arial" w:cs="Arial" w:eastAsia="Arial" w:hAnsi="Arial"/>
                <w:sz w:val="16"/>
                <w:szCs w:val="16"/>
                <w:color w:val="auto"/>
              </w:rPr>
              <w:t>Total</w:t>
            </w:r>
          </w:p>
        </w:tc>
        <w:tc>
          <w:tcPr>
            <w:tcW w:w="3660" w:type="dxa"/>
            <w:vAlign w:val="bottom"/>
            <w:tcBorders>
              <w:bottom w:val="single" w:sz="8" w:color="003B71"/>
            </w:tcBorders>
          </w:tcPr>
          <w:p>
            <w:pPr>
              <w:ind w:left="34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003B71"/>
            </w:tcBorders>
          </w:tcPr>
          <w:p>
            <w:pPr>
              <w:jc w:val="right"/>
              <w:ind w:right="379"/>
              <w:spacing w:after="0"/>
              <w:rPr>
                <w:sz w:val="20"/>
                <w:szCs w:val="20"/>
                <w:color w:val="auto"/>
              </w:rPr>
            </w:pPr>
            <w:r>
              <w:rPr>
                <w:rFonts w:ascii="Arial" w:cs="Arial" w:eastAsia="Arial" w:hAnsi="Arial"/>
                <w:sz w:val="16"/>
                <w:szCs w:val="16"/>
                <w:color w:val="auto"/>
              </w:rPr>
              <w:t>1,005</w:t>
            </w:r>
          </w:p>
        </w:tc>
        <w:tc>
          <w:tcPr>
            <w:tcW w:w="500" w:type="dxa"/>
            <w:vAlign w:val="bottom"/>
            <w:tcBorders>
              <w:bottom w:val="single" w:sz="8" w:color="003B71"/>
            </w:tcBorders>
          </w:tcPr>
          <w:p>
            <w:pPr>
              <w:ind w:left="2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003B71"/>
            </w:tcBorders>
          </w:tcPr>
          <w:p>
            <w:pPr>
              <w:jc w:val="right"/>
              <w:ind w:right="339"/>
              <w:spacing w:after="0"/>
              <w:rPr>
                <w:sz w:val="20"/>
                <w:szCs w:val="20"/>
                <w:color w:val="auto"/>
              </w:rPr>
            </w:pPr>
            <w:r>
              <w:rPr>
                <w:rFonts w:ascii="Arial" w:cs="Arial" w:eastAsia="Arial" w:hAnsi="Arial"/>
                <w:sz w:val="16"/>
                <w:szCs w:val="16"/>
                <w:color w:val="auto"/>
              </w:rPr>
              <w:t>1,030</w:t>
            </w:r>
          </w:p>
        </w:tc>
      </w:tr>
    </w:tbl>
    <w:p>
      <w:pPr>
        <w:spacing w:after="0" w:line="83" w:lineRule="exact"/>
        <w:rPr>
          <w:sz w:val="20"/>
          <w:szCs w:val="20"/>
          <w:color w:val="auto"/>
        </w:rPr>
      </w:pPr>
    </w:p>
    <w:p>
      <w:pPr>
        <w:jc w:val="both"/>
        <w:ind w:left="540" w:hanging="424"/>
        <w:spacing w:after="0" w:line="253" w:lineRule="auto"/>
        <w:tabs>
          <w:tab w:leader="none" w:pos="5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Includes fees for services for the audit of the Company’s annual financial statements, the reviews of the interim financial statements, audit of the Company’s internal control over financial reporting, implementation of accounting pronouncements, assistance with Securities and Exchange Commission filings, and statutory audits of Company subsidiaries.</w:t>
      </w:r>
    </w:p>
    <w:p>
      <w:pPr>
        <w:spacing w:after="0" w:line="19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Audit Committee has established a policy whereby the outside auditors are required to annually provide service-specific fee estimates and seek pre-approval of all audit, audit-related, tax and other services prior to the performance of any such services. Individual engagements anticipated to exceed the pre-approved thresholds must be separately approved by the Audit Committee. For both fiscal 2019 and 2018, the Audit Committee pre-approved 100% of all services provided by KPMG and concluded that the provision of such services by KPMG was compatible with such firm’s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144145</wp:posOffset>
            </wp:positionV>
            <wp:extent cx="6998970" cy="2095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209550"/>
                    </a:xfrm>
                    <a:prstGeom prst="rect">
                      <a:avLst/>
                    </a:prstGeom>
                    <a:noFill/>
                  </pic:spPr>
                </pic:pic>
              </a:graphicData>
            </a:graphic>
          </wp:anchor>
        </w:drawing>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Board of Directors recommends a vote FOR the ratification of the appointment of KPMG LLP.</w:t>
      </w:r>
    </w:p>
    <w:p>
      <w:pPr>
        <w:spacing w:after="0" w:line="225"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11</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40"/>
          <w:szCs w:val="40"/>
          <w:color w:val="003B71"/>
        </w:rPr>
        <w:t>PROPOSAL NO. 3</w:t>
      </w:r>
    </w:p>
    <w:p>
      <w:pPr>
        <w:jc w:val="center"/>
        <w:ind w:right="-119"/>
        <w:spacing w:after="0"/>
        <w:rPr>
          <w:sz w:val="20"/>
          <w:szCs w:val="20"/>
          <w:color w:val="auto"/>
        </w:rPr>
      </w:pPr>
      <w:r>
        <w:rPr>
          <w:rFonts w:ascii="Arial" w:cs="Arial" w:eastAsia="Arial" w:hAnsi="Arial"/>
          <w:sz w:val="40"/>
          <w:szCs w:val="40"/>
          <w:color w:val="003B71"/>
        </w:rPr>
        <w:t>ADVISORY VOTE ON EXECUTIVE COMPENSATION</w:t>
      </w:r>
    </w:p>
    <w:p>
      <w:pPr>
        <w:spacing w:after="0" w:line="208"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As required by Securities and Exchange Commission (“SEC”) rules, we are asking you to provide an advisory, non-binding vote to approve the compensation awarded to our named executive officers, as we have described in the “Executive Compensation” section of this Proxy Statement.</w:t>
      </w:r>
    </w:p>
    <w:p>
      <w:pPr>
        <w:spacing w:after="0" w:line="20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As described in detail in the Compensation Discussion and Analysis section, the Compensation Committee oversees the compensation program and compensation awarded, adopting changes to the program and awarding compensation as appropriate to reflect the Company’s circumstances and to promote the main objectives of the program. These objectives include: to align pay to performance; to provide market-competitive pay; and to create sustained shareholder value.</w:t>
      </w:r>
    </w:p>
    <w:p>
      <w:pPr>
        <w:spacing w:after="0" w:line="20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We are asking you to indicate your support for our named executive officer compensation. We believe that the information we have provided in this Proxy Statement demonstrates that our compensation program is designed appropriately and works to ensure that the interests of our executive officers, including our named executive officers, are aligned with your interest in long-term value creation.</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Accordingly, we ask you to approve the following resolution at the Annual Meeting:</w:t>
      </w:r>
    </w:p>
    <w:p>
      <w:pPr>
        <w:spacing w:after="0" w:line="21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RESOLVED, that the shareholders of Dave &amp; Buster’s Entertainment, Inc. approve the compensation awarded to the Company’s named executive officers, as disclosed in this Proxy Statement pursuant to SEC rules, including the Compensation Discussion and Analysis, compensation tables, and narrative discussion.</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This resolution is non-binding on the Board of Directors. Although non-binding, the Board of Directors and Compensation Committee will review the voting results and consider your concerns in their continued evaluation of the Company’s compensation program. Because this vote is advisory in nature, it will not affect any compensation already paid or awarded to any named executive officer, it will not be binding or overrule any decision by the Board of Directors, and it will not restrict or limit the ability of the shareholders to make proposals for inclusion in proxy materials related to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144145</wp:posOffset>
            </wp:positionV>
            <wp:extent cx="6998970" cy="2095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209550"/>
                    </a:xfrm>
                    <a:prstGeom prst="rect">
                      <a:avLst/>
                    </a:prstGeom>
                    <a:noFill/>
                  </pic:spPr>
                </pic:pic>
              </a:graphicData>
            </a:graphic>
          </wp:anchor>
        </w:drawing>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Board of Directors recommends an advisory vote FOR the approval of our executive compensation.</w:t>
      </w:r>
    </w:p>
    <w:p>
      <w:pPr>
        <w:spacing w:after="0" w:line="225"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12</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40"/>
          <w:szCs w:val="40"/>
          <w:color w:val="003B71"/>
        </w:rPr>
        <w:t>PROPOSAL NO. 4</w:t>
      </w:r>
    </w:p>
    <w:p>
      <w:pPr>
        <w:jc w:val="center"/>
        <w:ind w:right="-99"/>
        <w:spacing w:after="0"/>
        <w:rPr>
          <w:sz w:val="20"/>
          <w:szCs w:val="20"/>
          <w:color w:val="auto"/>
        </w:rPr>
      </w:pPr>
      <w:r>
        <w:rPr>
          <w:rFonts w:ascii="Arial" w:cs="Arial" w:eastAsia="Arial" w:hAnsi="Arial"/>
          <w:sz w:val="40"/>
          <w:szCs w:val="40"/>
          <w:color w:val="003B71"/>
        </w:rPr>
        <w:t>APPROVAL OF COMPANY’S AMENDED AND RESTATED</w:t>
      </w:r>
    </w:p>
    <w:p>
      <w:pPr>
        <w:jc w:val="center"/>
        <w:ind w:right="-99"/>
        <w:spacing w:after="0"/>
        <w:rPr>
          <w:sz w:val="20"/>
          <w:szCs w:val="20"/>
          <w:color w:val="auto"/>
        </w:rPr>
      </w:pPr>
      <w:r>
        <w:rPr>
          <w:rFonts w:ascii="Arial" w:cs="Arial" w:eastAsia="Arial" w:hAnsi="Arial"/>
          <w:sz w:val="40"/>
          <w:szCs w:val="40"/>
          <w:color w:val="003B71"/>
        </w:rPr>
        <w:t>2014 OMNIBUS INCENTIVE PLAN</w:t>
      </w:r>
    </w:p>
    <w:p>
      <w:pPr>
        <w:spacing w:after="0" w:line="20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In September 2014, your Board of Directors adopted the Dave &amp; Buster’s Entertainment, Inc. 2014 Omnibus Incentive Plan (the “Plan”), covering the issuance of up to 3,100,000 shares of Common Stock of the Company. The adoption of the Plan was approved by shareholders in October 2014. The purpose of the Plan is to strengthen our ability to attract, retain and motivate officers, employees, non-employee directors and consultants providing services to the Company and to promote the success of the Company’s business by providing participants with appropriate incentives.</w:t>
      </w:r>
    </w:p>
    <w:p>
      <w:pPr>
        <w:spacing w:after="0" w:line="20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On April 24, 2020, the Board of Directors approved an amendment and restatement of the Plan (the “Amendment”), subject to the ratification by shareholders at the annual meeting, to among other matters, (a) increase the number of shares of Common Stock available for awards under the Plan by an additional 3,000,000 shares, and (b) adopt a limit on the annual awards to individual non-employee directors of $500,000. The complete text of the Plan, as amended and restated, is set forth on Appendix A hereto. We have provided below highlights of this proposal and a summary description of the Plan, but please note the highlights and summary are subject in all respects to the terms of the Plan, as amended and restated.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Highlights of the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7003415" cy="33000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03415" cy="3300095"/>
                    </a:xfrm>
                    <a:prstGeom prst="rect">
                      <a:avLst/>
                    </a:prstGeom>
                    <a:noFill/>
                  </pic:spPr>
                </pic:pic>
              </a:graphicData>
            </a:graphic>
          </wp:anchor>
        </w:drawing>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2740" w:type="dxa"/>
            <w:vAlign w:val="bottom"/>
            <w:tcBorders>
              <w:top w:val="single" w:sz="8" w:color="003B71"/>
            </w:tcBorders>
          </w:tcPr>
          <w:p>
            <w:pPr>
              <w:jc w:val="center"/>
              <w:ind w:left="70"/>
              <w:spacing w:after="0" w:line="193" w:lineRule="exact"/>
              <w:rPr>
                <w:sz w:val="20"/>
                <w:szCs w:val="20"/>
                <w:color w:val="auto"/>
              </w:rPr>
            </w:pPr>
            <w:r>
              <w:rPr>
                <w:rFonts w:ascii="Arial" w:cs="Arial" w:eastAsia="Arial" w:hAnsi="Arial"/>
                <w:sz w:val="18"/>
                <w:szCs w:val="18"/>
                <w:b w:val="1"/>
                <w:bCs w:val="1"/>
                <w:color w:val="FFFFFF"/>
                <w:w w:val="99"/>
              </w:rPr>
              <w:t>1</w:t>
            </w:r>
          </w:p>
        </w:tc>
        <w:tc>
          <w:tcPr>
            <w:tcW w:w="340" w:type="dxa"/>
            <w:vAlign w:val="bottom"/>
            <w:tcBorders>
              <w:top w:val="single" w:sz="8" w:color="003B71"/>
            </w:tcBorders>
          </w:tcPr>
          <w:p>
            <w:pPr>
              <w:ind w:left="200"/>
              <w:spacing w:after="0" w:line="193" w:lineRule="exact"/>
              <w:rPr>
                <w:sz w:val="20"/>
                <w:szCs w:val="20"/>
                <w:color w:val="auto"/>
              </w:rPr>
            </w:pPr>
            <w:r>
              <w:rPr>
                <w:rFonts w:ascii="Arial" w:cs="Arial" w:eastAsia="Arial" w:hAnsi="Arial"/>
                <w:sz w:val="18"/>
                <w:szCs w:val="18"/>
                <w:color w:val="003B71"/>
              </w:rPr>
              <w:t>•</w:t>
            </w:r>
          </w:p>
        </w:tc>
        <w:tc>
          <w:tcPr>
            <w:tcW w:w="7940" w:type="dxa"/>
            <w:vAlign w:val="bottom"/>
            <w:tcBorders>
              <w:top w:val="single" w:sz="8" w:color="003B71"/>
            </w:tcBorders>
          </w:tcPr>
          <w:p>
            <w:pPr>
              <w:ind w:left="80"/>
              <w:spacing w:after="0" w:line="193" w:lineRule="exact"/>
              <w:rPr>
                <w:sz w:val="20"/>
                <w:szCs w:val="20"/>
                <w:color w:val="auto"/>
              </w:rPr>
            </w:pPr>
            <w:r>
              <w:rPr>
                <w:rFonts w:ascii="Arial" w:cs="Arial" w:eastAsia="Arial" w:hAnsi="Arial"/>
                <w:sz w:val="18"/>
                <w:szCs w:val="18"/>
                <w:color w:val="auto"/>
              </w:rPr>
              <w:t>The Plan is the primary vehicle used to promote the three-core values that make up Dave and</w:t>
            </w:r>
          </w:p>
        </w:tc>
        <w:tc>
          <w:tcPr>
            <w:tcW w:w="0" w:type="dxa"/>
            <w:vAlign w:val="bottom"/>
          </w:tcPr>
          <w:p>
            <w:pPr>
              <w:spacing w:after="0"/>
              <w:rPr>
                <w:sz w:val="1"/>
                <w:szCs w:val="1"/>
                <w:color w:val="auto"/>
              </w:rPr>
            </w:pPr>
          </w:p>
        </w:tc>
      </w:tr>
      <w:tr>
        <w:trPr>
          <w:trHeight w:val="203"/>
        </w:trPr>
        <w:tc>
          <w:tcPr>
            <w:tcW w:w="2740" w:type="dxa"/>
            <w:vAlign w:val="bottom"/>
          </w:tcPr>
          <w:p>
            <w:pPr>
              <w:jc w:val="center"/>
              <w:ind w:left="70"/>
              <w:spacing w:after="0" w:line="202" w:lineRule="exact"/>
              <w:rPr>
                <w:sz w:val="20"/>
                <w:szCs w:val="20"/>
                <w:color w:val="auto"/>
              </w:rPr>
            </w:pPr>
            <w:r>
              <w:rPr>
                <w:rFonts w:ascii="Arial" w:cs="Arial" w:eastAsia="Arial" w:hAnsi="Arial"/>
                <w:sz w:val="18"/>
                <w:szCs w:val="18"/>
                <w:b w:val="1"/>
                <w:bCs w:val="1"/>
                <w:color w:val="FFFFFF"/>
                <w:w w:val="99"/>
              </w:rPr>
              <w:t>What is the Omnibus</w:t>
            </w:r>
          </w:p>
        </w:tc>
        <w:tc>
          <w:tcPr>
            <w:tcW w:w="340" w:type="dxa"/>
            <w:vAlign w:val="bottom"/>
          </w:tcPr>
          <w:p>
            <w:pPr>
              <w:spacing w:after="0"/>
              <w:rPr>
                <w:sz w:val="17"/>
                <w:szCs w:val="17"/>
                <w:color w:val="auto"/>
              </w:rPr>
            </w:pPr>
          </w:p>
        </w:tc>
        <w:tc>
          <w:tcPr>
            <w:tcW w:w="7940" w:type="dxa"/>
            <w:vAlign w:val="bottom"/>
          </w:tcPr>
          <w:p>
            <w:pPr>
              <w:ind w:left="120"/>
              <w:spacing w:after="0" w:line="202" w:lineRule="exact"/>
              <w:rPr>
                <w:sz w:val="20"/>
                <w:szCs w:val="20"/>
                <w:color w:val="auto"/>
              </w:rPr>
            </w:pPr>
            <w:r>
              <w:rPr>
                <w:rFonts w:ascii="Arial" w:cs="Arial" w:eastAsia="Arial" w:hAnsi="Arial"/>
                <w:sz w:val="18"/>
                <w:szCs w:val="18"/>
                <w:color w:val="auto"/>
              </w:rPr>
              <w:t>Buster’s executive compensation philosophy: pay for performance, market competitive pay, and</w:t>
            </w:r>
          </w:p>
        </w:tc>
        <w:tc>
          <w:tcPr>
            <w:tcW w:w="0" w:type="dxa"/>
            <w:vAlign w:val="bottom"/>
          </w:tcPr>
          <w:p>
            <w:pPr>
              <w:spacing w:after="0"/>
              <w:rPr>
                <w:sz w:val="1"/>
                <w:szCs w:val="1"/>
                <w:color w:val="auto"/>
              </w:rPr>
            </w:pPr>
          </w:p>
        </w:tc>
      </w:tr>
      <w:tr>
        <w:trPr>
          <w:trHeight w:val="239"/>
        </w:trPr>
        <w:tc>
          <w:tcPr>
            <w:tcW w:w="2740" w:type="dxa"/>
            <w:vAlign w:val="bottom"/>
          </w:tcPr>
          <w:p>
            <w:pPr>
              <w:jc w:val="center"/>
              <w:ind w:left="50"/>
              <w:spacing w:after="0"/>
              <w:rPr>
                <w:sz w:val="20"/>
                <w:szCs w:val="20"/>
                <w:color w:val="auto"/>
              </w:rPr>
            </w:pPr>
            <w:r>
              <w:rPr>
                <w:rFonts w:ascii="Arial" w:cs="Arial" w:eastAsia="Arial" w:hAnsi="Arial"/>
                <w:sz w:val="18"/>
                <w:szCs w:val="18"/>
                <w:b w:val="1"/>
                <w:bCs w:val="1"/>
                <w:color w:val="FFFFFF"/>
                <w:w w:val="99"/>
              </w:rPr>
              <w:t>Incentive Plan?</w:t>
            </w:r>
          </w:p>
        </w:tc>
        <w:tc>
          <w:tcPr>
            <w:tcW w:w="340" w:type="dxa"/>
            <w:vAlign w:val="bottom"/>
          </w:tcPr>
          <w:p>
            <w:pPr>
              <w:spacing w:after="0"/>
              <w:rPr>
                <w:sz w:val="20"/>
                <w:szCs w:val="20"/>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rPr>
              <w:t>sustained shareholder value creation.</w:t>
            </w:r>
          </w:p>
        </w:tc>
        <w:tc>
          <w:tcPr>
            <w:tcW w:w="0" w:type="dxa"/>
            <w:vAlign w:val="bottom"/>
          </w:tcPr>
          <w:p>
            <w:pPr>
              <w:spacing w:after="0"/>
              <w:rPr>
                <w:sz w:val="1"/>
                <w:szCs w:val="1"/>
                <w:color w:val="auto"/>
              </w:rPr>
            </w:pPr>
          </w:p>
        </w:tc>
      </w:tr>
      <w:tr>
        <w:trPr>
          <w:trHeight w:val="269"/>
        </w:trPr>
        <w:tc>
          <w:tcPr>
            <w:tcW w:w="2740" w:type="dxa"/>
            <w:vAlign w:val="bottom"/>
          </w:tcPr>
          <w:p>
            <w:pPr>
              <w:spacing w:after="0"/>
              <w:rPr>
                <w:sz w:val="23"/>
                <w:szCs w:val="23"/>
                <w:color w:val="auto"/>
              </w:rPr>
            </w:pPr>
          </w:p>
        </w:tc>
        <w:tc>
          <w:tcPr>
            <w:tcW w:w="8280" w:type="dxa"/>
            <w:vAlign w:val="bottom"/>
            <w:gridSpan w:val="2"/>
          </w:tcPr>
          <w:p>
            <w:pPr>
              <w:ind w:left="200"/>
              <w:spacing w:after="0"/>
              <w:rPr>
                <w:sz w:val="20"/>
                <w:szCs w:val="20"/>
                <w:color w:val="auto"/>
              </w:rPr>
            </w:pPr>
            <w:r>
              <w:rPr>
                <w:rFonts w:ascii="Arial" w:cs="Arial" w:eastAsia="Arial" w:hAnsi="Arial"/>
                <w:sz w:val="18"/>
                <w:szCs w:val="18"/>
                <w:color w:val="003B71"/>
              </w:rPr>
              <w:t xml:space="preserve">•  </w:t>
            </w:r>
            <w:r>
              <w:rPr>
                <w:rFonts w:ascii="Arial" w:cs="Arial" w:eastAsia="Arial" w:hAnsi="Arial"/>
                <w:sz w:val="18"/>
                <w:szCs w:val="18"/>
                <w:color w:val="000000"/>
              </w:rPr>
              <w:t>Annual and long-term incentive compensation plans, including the Executive Incentive Plan, are</w:t>
            </w: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rPr>
              <w:t>created and administered under the Plan.</w:t>
            </w:r>
          </w:p>
        </w:tc>
        <w:tc>
          <w:tcPr>
            <w:tcW w:w="0" w:type="dxa"/>
            <w:vAlign w:val="bottom"/>
          </w:tcPr>
          <w:p>
            <w:pPr>
              <w:spacing w:after="0"/>
              <w:rPr>
                <w:sz w:val="1"/>
                <w:szCs w:val="1"/>
                <w:color w:val="auto"/>
              </w:rPr>
            </w:pPr>
          </w:p>
        </w:tc>
      </w:tr>
      <w:tr>
        <w:trPr>
          <w:trHeight w:val="121"/>
        </w:trPr>
        <w:tc>
          <w:tcPr>
            <w:tcW w:w="274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FFFFFF"/>
                <w:w w:val="99"/>
              </w:rPr>
              <w:t>2</w:t>
            </w:r>
          </w:p>
        </w:tc>
        <w:tc>
          <w:tcPr>
            <w:tcW w:w="340" w:type="dxa"/>
            <w:vAlign w:val="bottom"/>
            <w:tcBorders>
              <w:bottom w:val="single" w:sz="8" w:color="003B71"/>
            </w:tcBorders>
          </w:tcPr>
          <w:p>
            <w:pPr>
              <w:spacing w:after="0"/>
              <w:rPr>
                <w:sz w:val="10"/>
                <w:szCs w:val="10"/>
                <w:color w:val="auto"/>
              </w:rPr>
            </w:pPr>
          </w:p>
        </w:tc>
        <w:tc>
          <w:tcPr>
            <w:tcW w:w="7940" w:type="dxa"/>
            <w:vAlign w:val="bottom"/>
            <w:tcBorders>
              <w:bottom w:val="single" w:sz="8" w:color="003B71"/>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40" w:type="dxa"/>
            <w:vAlign w:val="bottom"/>
            <w:vMerge w:val="continue"/>
          </w:tcPr>
          <w:p>
            <w:pPr>
              <w:spacing w:after="0"/>
              <w:rPr>
                <w:sz w:val="15"/>
                <w:szCs w:val="15"/>
                <w:color w:val="auto"/>
              </w:rPr>
            </w:pPr>
          </w:p>
        </w:tc>
        <w:tc>
          <w:tcPr>
            <w:tcW w:w="340" w:type="dxa"/>
            <w:vAlign w:val="bottom"/>
          </w:tcPr>
          <w:p>
            <w:pPr>
              <w:ind w:left="200"/>
              <w:spacing w:after="0" w:line="173" w:lineRule="exact"/>
              <w:rPr>
                <w:sz w:val="20"/>
                <w:szCs w:val="20"/>
                <w:color w:val="auto"/>
              </w:rPr>
            </w:pPr>
            <w:r>
              <w:rPr>
                <w:rFonts w:ascii="Arial" w:cs="Arial" w:eastAsia="Arial" w:hAnsi="Arial"/>
                <w:sz w:val="18"/>
                <w:szCs w:val="18"/>
                <w:color w:val="003B71"/>
              </w:rPr>
              <w:t>•</w:t>
            </w:r>
          </w:p>
        </w:tc>
        <w:tc>
          <w:tcPr>
            <w:tcW w:w="7940" w:type="dxa"/>
            <w:vAlign w:val="bottom"/>
          </w:tcPr>
          <w:p>
            <w:pPr>
              <w:ind w:left="80"/>
              <w:spacing w:after="0" w:line="173" w:lineRule="exact"/>
              <w:rPr>
                <w:sz w:val="20"/>
                <w:szCs w:val="20"/>
                <w:color w:val="auto"/>
              </w:rPr>
            </w:pPr>
            <w:r>
              <w:rPr>
                <w:rFonts w:ascii="Arial" w:cs="Arial" w:eastAsia="Arial" w:hAnsi="Arial"/>
                <w:sz w:val="18"/>
                <w:szCs w:val="18"/>
                <w:color w:val="auto"/>
              </w:rPr>
              <w:t>The Plan is not limited to executives. It is a broad-based plan with over 15,908 team members</w:t>
            </w:r>
          </w:p>
        </w:tc>
        <w:tc>
          <w:tcPr>
            <w:tcW w:w="0" w:type="dxa"/>
            <w:vAlign w:val="bottom"/>
          </w:tcPr>
          <w:p>
            <w:pPr>
              <w:spacing w:after="0"/>
              <w:rPr>
                <w:sz w:val="1"/>
                <w:szCs w:val="1"/>
                <w:color w:val="auto"/>
              </w:rPr>
            </w:pPr>
          </w:p>
        </w:tc>
      </w:tr>
      <w:tr>
        <w:trPr>
          <w:trHeight w:val="203"/>
        </w:trPr>
        <w:tc>
          <w:tcPr>
            <w:tcW w:w="2740" w:type="dxa"/>
            <w:vAlign w:val="bottom"/>
          </w:tcPr>
          <w:p>
            <w:pPr>
              <w:jc w:val="center"/>
              <w:ind w:left="50"/>
              <w:spacing w:after="0" w:line="202" w:lineRule="exact"/>
              <w:rPr>
                <w:sz w:val="20"/>
                <w:szCs w:val="20"/>
                <w:color w:val="auto"/>
              </w:rPr>
            </w:pPr>
            <w:r>
              <w:rPr>
                <w:rFonts w:ascii="Arial" w:cs="Arial" w:eastAsia="Arial" w:hAnsi="Arial"/>
                <w:sz w:val="18"/>
                <w:szCs w:val="18"/>
                <w:b w:val="1"/>
                <w:bCs w:val="1"/>
                <w:color w:val="FFFFFF"/>
                <w:w w:val="99"/>
              </w:rPr>
              <w:t>Who participates</w:t>
            </w:r>
          </w:p>
        </w:tc>
        <w:tc>
          <w:tcPr>
            <w:tcW w:w="340" w:type="dxa"/>
            <w:vAlign w:val="bottom"/>
          </w:tcPr>
          <w:p>
            <w:pPr>
              <w:spacing w:after="0"/>
              <w:rPr>
                <w:sz w:val="17"/>
                <w:szCs w:val="17"/>
                <w:color w:val="auto"/>
              </w:rPr>
            </w:pPr>
          </w:p>
        </w:tc>
        <w:tc>
          <w:tcPr>
            <w:tcW w:w="7940" w:type="dxa"/>
            <w:vAlign w:val="bottom"/>
          </w:tcPr>
          <w:p>
            <w:pPr>
              <w:ind w:left="120"/>
              <w:spacing w:after="0" w:line="202" w:lineRule="exact"/>
              <w:rPr>
                <w:sz w:val="20"/>
                <w:szCs w:val="20"/>
                <w:color w:val="auto"/>
              </w:rPr>
            </w:pPr>
            <w:r>
              <w:rPr>
                <w:rFonts w:ascii="Arial" w:cs="Arial" w:eastAsia="Arial" w:hAnsi="Arial"/>
                <w:sz w:val="18"/>
                <w:szCs w:val="18"/>
                <w:color w:val="auto"/>
              </w:rPr>
              <w:t>as of February 2, 2020, including our executive officers, eligible for cash and/or equity-based</w:t>
            </w:r>
          </w:p>
        </w:tc>
        <w:tc>
          <w:tcPr>
            <w:tcW w:w="0" w:type="dxa"/>
            <w:vAlign w:val="bottom"/>
          </w:tcPr>
          <w:p>
            <w:pPr>
              <w:spacing w:after="0"/>
              <w:rPr>
                <w:sz w:val="1"/>
                <w:szCs w:val="1"/>
                <w:color w:val="auto"/>
              </w:rPr>
            </w:pPr>
          </w:p>
        </w:tc>
      </w:tr>
      <w:tr>
        <w:trPr>
          <w:trHeight w:val="239"/>
        </w:trPr>
        <w:tc>
          <w:tcPr>
            <w:tcW w:w="2740" w:type="dxa"/>
            <w:vAlign w:val="bottom"/>
          </w:tcPr>
          <w:p>
            <w:pPr>
              <w:jc w:val="center"/>
              <w:ind w:left="70"/>
              <w:spacing w:after="0"/>
              <w:rPr>
                <w:sz w:val="20"/>
                <w:szCs w:val="20"/>
                <w:color w:val="auto"/>
              </w:rPr>
            </w:pPr>
            <w:r>
              <w:rPr>
                <w:rFonts w:ascii="Arial" w:cs="Arial" w:eastAsia="Arial" w:hAnsi="Arial"/>
                <w:sz w:val="18"/>
                <w:szCs w:val="18"/>
                <w:b w:val="1"/>
                <w:bCs w:val="1"/>
                <w:color w:val="FFFFFF"/>
                <w:w w:val="99"/>
              </w:rPr>
              <w:t>in the Plan?</w:t>
            </w:r>
          </w:p>
        </w:tc>
        <w:tc>
          <w:tcPr>
            <w:tcW w:w="340" w:type="dxa"/>
            <w:vAlign w:val="bottom"/>
          </w:tcPr>
          <w:p>
            <w:pPr>
              <w:spacing w:after="0"/>
              <w:rPr>
                <w:sz w:val="20"/>
                <w:szCs w:val="20"/>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rPr>
              <w:t>incentives.</w:t>
            </w:r>
          </w:p>
        </w:tc>
        <w:tc>
          <w:tcPr>
            <w:tcW w:w="0" w:type="dxa"/>
            <w:vAlign w:val="bottom"/>
          </w:tcPr>
          <w:p>
            <w:pPr>
              <w:spacing w:after="0"/>
              <w:rPr>
                <w:sz w:val="1"/>
                <w:szCs w:val="1"/>
                <w:color w:val="auto"/>
              </w:rPr>
            </w:pPr>
          </w:p>
        </w:tc>
      </w:tr>
      <w:tr>
        <w:trPr>
          <w:trHeight w:val="269"/>
        </w:trPr>
        <w:tc>
          <w:tcPr>
            <w:tcW w:w="2740" w:type="dxa"/>
            <w:vAlign w:val="bottom"/>
          </w:tcPr>
          <w:p>
            <w:pPr>
              <w:spacing w:after="0"/>
              <w:rPr>
                <w:sz w:val="23"/>
                <w:szCs w:val="23"/>
                <w:color w:val="auto"/>
              </w:rPr>
            </w:pPr>
          </w:p>
        </w:tc>
        <w:tc>
          <w:tcPr>
            <w:tcW w:w="340" w:type="dxa"/>
            <w:vAlign w:val="bottom"/>
          </w:tcPr>
          <w:p>
            <w:pPr>
              <w:ind w:left="200"/>
              <w:spacing w:after="0"/>
              <w:rPr>
                <w:sz w:val="20"/>
                <w:szCs w:val="20"/>
                <w:color w:val="auto"/>
              </w:rPr>
            </w:pPr>
            <w:r>
              <w:rPr>
                <w:rFonts w:ascii="Arial" w:cs="Arial" w:eastAsia="Arial" w:hAnsi="Arial"/>
                <w:sz w:val="18"/>
                <w:szCs w:val="18"/>
                <w:color w:val="003B71"/>
              </w:rPr>
              <w:t>•</w:t>
            </w:r>
          </w:p>
        </w:tc>
        <w:tc>
          <w:tcPr>
            <w:tcW w:w="7940" w:type="dxa"/>
            <w:vAlign w:val="bottom"/>
          </w:tcPr>
          <w:p>
            <w:pPr>
              <w:ind w:left="80"/>
              <w:spacing w:after="0"/>
              <w:rPr>
                <w:sz w:val="20"/>
                <w:szCs w:val="20"/>
                <w:color w:val="auto"/>
              </w:rPr>
            </w:pPr>
            <w:r>
              <w:rPr>
                <w:rFonts w:ascii="Arial" w:cs="Arial" w:eastAsia="Arial" w:hAnsi="Arial"/>
                <w:sz w:val="18"/>
                <w:szCs w:val="18"/>
                <w:color w:val="auto"/>
              </w:rPr>
              <w:t>These incentives are critical to how we attract, reward, and motivate the critical talent, at all</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940" w:type="dxa"/>
            <w:vAlign w:val="bottom"/>
          </w:tcPr>
          <w:p>
            <w:pPr>
              <w:ind w:left="120"/>
              <w:spacing w:after="0" w:line="202" w:lineRule="exact"/>
              <w:rPr>
                <w:sz w:val="20"/>
                <w:szCs w:val="20"/>
                <w:color w:val="auto"/>
              </w:rPr>
            </w:pPr>
            <w:r>
              <w:rPr>
                <w:rFonts w:ascii="Arial" w:cs="Arial" w:eastAsia="Arial" w:hAnsi="Arial"/>
                <w:sz w:val="18"/>
                <w:szCs w:val="18"/>
                <w:color w:val="auto"/>
              </w:rPr>
              <w:t>levels of the organization, needed to achieve and exceed the Company’s key strategic</w:t>
            </w: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rPr>
              <w:t>objectives.</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280" w:right="180" w:hanging="269"/>
        <w:spacing w:after="0" w:line="246" w:lineRule="auto"/>
        <w:tabs>
          <w:tab w:leader="none" w:pos="3260" w:val="left"/>
        </w:tabs>
        <w:rPr>
          <w:sz w:val="20"/>
          <w:szCs w:val="20"/>
          <w:color w:val="auto"/>
        </w:rPr>
      </w:pPr>
      <w:r>
        <w:rPr>
          <w:rFonts w:ascii="Arial" w:cs="Arial" w:eastAsia="Arial" w:hAnsi="Arial"/>
          <w:sz w:val="18"/>
          <w:szCs w:val="18"/>
          <w:color w:val="003B71"/>
        </w:rPr>
        <w:t>•</w:t>
      </w:r>
      <w:r>
        <w:rPr>
          <w:rFonts w:ascii="Arial" w:cs="Arial" w:eastAsia="Arial" w:hAnsi="Arial"/>
          <w:sz w:val="18"/>
          <w:szCs w:val="18"/>
          <w:color w:val="auto"/>
        </w:rPr>
        <w:tab/>
        <w:t>The equity-based incentives made under this plan align our employees’ interests with those of our shareholders and fosters an employee ownership culture.</w:t>
      </w:r>
    </w:p>
    <w:p>
      <w:pPr>
        <w:spacing w:after="0" w:line="62" w:lineRule="exact"/>
        <w:rPr>
          <w:sz w:val="20"/>
          <w:szCs w:val="20"/>
          <w:color w:val="auto"/>
        </w:rPr>
      </w:pPr>
    </w:p>
    <w:p>
      <w:pPr>
        <w:jc w:val="both"/>
        <w:ind w:left="3280" w:right="180" w:hanging="269"/>
        <w:spacing w:after="0"/>
        <w:tabs>
          <w:tab w:leader="none" w:pos="3260" w:val="left"/>
        </w:tabs>
        <w:rPr>
          <w:sz w:val="20"/>
          <w:szCs w:val="20"/>
          <w:color w:val="auto"/>
        </w:rPr>
      </w:pPr>
      <w:r>
        <w:rPr>
          <w:rFonts w:ascii="Arial" w:cs="Arial" w:eastAsia="Arial" w:hAnsi="Arial"/>
          <w:sz w:val="18"/>
          <w:szCs w:val="18"/>
          <w:color w:val="003B71"/>
        </w:rPr>
        <w:t>•</w:t>
      </w:r>
      <w:r>
        <w:rPr>
          <w:rFonts w:ascii="Arial" w:cs="Arial" w:eastAsia="Arial" w:hAnsi="Arial"/>
          <w:sz w:val="18"/>
          <w:szCs w:val="18"/>
          <w:color w:val="auto"/>
        </w:rPr>
        <w:tab/>
        <w:t>The plan also promotes retention of key talent as most of the long-term incentives are subject to multi-year vesting and/or performance-conditions, which is particularly important in a period of business transformation and macroeconomic instability.</w:t>
      </w:r>
    </w:p>
    <w:p>
      <w:pPr>
        <w:spacing w:after="0" w:line="68" w:lineRule="exact"/>
        <w:rPr>
          <w:sz w:val="20"/>
          <w:szCs w:val="20"/>
          <w:color w:val="auto"/>
        </w:rPr>
      </w:pPr>
    </w:p>
    <w:p>
      <w:pPr>
        <w:jc w:val="center"/>
        <w:ind w:right="-279"/>
        <w:spacing w:after="0"/>
        <w:tabs>
          <w:tab w:leader="none" w:pos="120" w:val="left"/>
        </w:tabs>
        <w:rPr>
          <w:sz w:val="20"/>
          <w:szCs w:val="20"/>
          <w:color w:val="auto"/>
        </w:rPr>
      </w:pPr>
      <w:r>
        <w:rPr>
          <w:rFonts w:ascii="Arial" w:cs="Arial" w:eastAsia="Arial" w:hAnsi="Arial"/>
          <w:sz w:val="18"/>
          <w:szCs w:val="18"/>
          <w:color w:val="003B71"/>
        </w:rPr>
        <w:t>•</w:t>
      </w:r>
      <w:r>
        <w:rPr>
          <w:sz w:val="20"/>
          <w:szCs w:val="20"/>
          <w:color w:val="auto"/>
        </w:rPr>
        <w:tab/>
      </w:r>
      <w:r>
        <w:rPr>
          <w:rFonts w:ascii="Arial" w:cs="Arial" w:eastAsia="Arial" w:hAnsi="Arial"/>
          <w:sz w:val="17"/>
          <w:szCs w:val="17"/>
          <w:color w:val="auto"/>
        </w:rPr>
        <w:t>Awards are also made to non-employee directors from this plan.</w:t>
      </w:r>
    </w:p>
    <w:p>
      <w:pPr>
        <w:sectPr>
          <w:pgSz w:w="11900" w:h="16838" w:orient="portrait"/>
          <w:cols w:equalWidth="0" w:num="1">
            <w:col w:w="11140"/>
          </w:cols>
          <w:pgMar w:left="320" w:top="459" w:right="439" w:bottom="1440" w:gutter="0" w:footer="0" w:header="0"/>
        </w:sectPr>
      </w:pPr>
    </w:p>
    <w:p>
      <w:pPr>
        <w:spacing w:after="0" w:line="122"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FFFFFF"/>
        </w:rPr>
        <w:t>3</w:t>
      </w:r>
    </w:p>
    <w:p>
      <w:pPr>
        <w:spacing w:after="0" w:line="18"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FFFFFF"/>
        </w:rPr>
        <w:t>How many shares remain</w:t>
      </w:r>
    </w:p>
    <w:p>
      <w:pPr>
        <w:spacing w:after="0" w:line="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FFFFFF"/>
        </w:rPr>
        <w:t>in the reserve?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266" w:right="180" w:hanging="266"/>
        <w:spacing w:after="0" w:line="246" w:lineRule="auto"/>
        <w:tabs>
          <w:tab w:leader="none" w:pos="210" w:val="left"/>
        </w:tabs>
        <w:numPr>
          <w:ilvl w:val="0"/>
          <w:numId w:val="65"/>
        </w:numPr>
        <w:rPr>
          <w:rFonts w:ascii="Arial" w:cs="Arial" w:eastAsia="Arial" w:hAnsi="Arial"/>
          <w:sz w:val="18"/>
          <w:szCs w:val="18"/>
          <w:color w:val="003B71"/>
        </w:rPr>
      </w:pPr>
      <w:r>
        <w:rPr>
          <w:rFonts w:ascii="Arial" w:cs="Arial" w:eastAsia="Arial" w:hAnsi="Arial"/>
          <w:sz w:val="18"/>
          <w:szCs w:val="18"/>
          <w:color w:val="auto"/>
        </w:rPr>
        <w:t>At the time of initial issuance, 3,100,000 shares were approved by shareholders in October 2014.</w:t>
      </w:r>
    </w:p>
    <w:p>
      <w:pPr>
        <w:spacing w:after="0" w:line="61" w:lineRule="exact"/>
        <w:rPr>
          <w:rFonts w:ascii="Arial" w:cs="Arial" w:eastAsia="Arial" w:hAnsi="Arial"/>
          <w:sz w:val="18"/>
          <w:szCs w:val="18"/>
          <w:color w:val="003B71"/>
        </w:rPr>
      </w:pPr>
    </w:p>
    <w:p>
      <w:pPr>
        <w:ind w:left="266" w:right="180" w:hanging="266"/>
        <w:spacing w:after="0" w:line="246" w:lineRule="auto"/>
        <w:tabs>
          <w:tab w:leader="none" w:pos="210" w:val="left"/>
        </w:tabs>
        <w:numPr>
          <w:ilvl w:val="0"/>
          <w:numId w:val="65"/>
        </w:numPr>
        <w:rPr>
          <w:rFonts w:ascii="Arial" w:cs="Arial" w:eastAsia="Arial" w:hAnsi="Arial"/>
          <w:sz w:val="18"/>
          <w:szCs w:val="18"/>
          <w:color w:val="003B71"/>
        </w:rPr>
      </w:pPr>
      <w:r>
        <w:rPr>
          <w:rFonts w:ascii="Arial" w:cs="Arial" w:eastAsia="Arial" w:hAnsi="Arial"/>
          <w:sz w:val="18"/>
          <w:szCs w:val="18"/>
          <w:color w:val="auto"/>
        </w:rPr>
        <w:t>As of February 2, 2020, there are 1,319,813 shares that remain available for future grant in the plan.</w:t>
      </w:r>
    </w:p>
    <w:p>
      <w:pPr>
        <w:spacing w:after="0" w:line="200" w:lineRule="exact"/>
        <w:rPr>
          <w:sz w:val="20"/>
          <w:szCs w:val="20"/>
          <w:color w:val="auto"/>
        </w:rPr>
      </w:pPr>
    </w:p>
    <w:p>
      <w:pPr>
        <w:sectPr>
          <w:pgSz w:w="11900" w:h="16838" w:orient="portrait"/>
          <w:cols w:equalWidth="0" w:num="2">
            <w:col w:w="2660" w:space="394"/>
            <w:col w:w="8086"/>
          </w:cols>
          <w:pgMar w:left="320" w:top="459" w:right="439" w:bottom="1440" w:gutter="0" w:footer="0" w:header="0"/>
          <w:type w:val="continuous"/>
        </w:sectPr>
      </w:pPr>
    </w:p>
    <w:p>
      <w:pPr>
        <w:spacing w:after="0" w:line="69"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13</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37"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FFFFFF"/>
        </w:rPr>
        <w:t>4</w:t>
      </w:r>
    </w:p>
    <w:p>
      <w:pPr>
        <w:spacing w:after="0" w:line="18" w:lineRule="exact"/>
        <w:rPr>
          <w:sz w:val="20"/>
          <w:szCs w:val="20"/>
          <w:color w:val="auto"/>
        </w:rPr>
      </w:pPr>
    </w:p>
    <w:p>
      <w:pPr>
        <w:jc w:val="both"/>
        <w:ind w:left="540" w:right="280" w:firstLine="30"/>
        <w:spacing w:after="0" w:line="246" w:lineRule="auto"/>
        <w:rPr>
          <w:sz w:val="20"/>
          <w:szCs w:val="20"/>
          <w:color w:val="auto"/>
        </w:rPr>
      </w:pPr>
      <w:r>
        <w:rPr>
          <w:rFonts w:ascii="Arial" w:cs="Arial" w:eastAsia="Arial" w:hAnsi="Arial"/>
          <w:sz w:val="18"/>
          <w:szCs w:val="18"/>
          <w:b w:val="1"/>
          <w:bCs w:val="1"/>
          <w:color w:val="FFFFFF"/>
        </w:rPr>
        <w:t>How many shares are being requested now?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FFFFFF"/>
        </w:rPr>
        <w:t>5</w:t>
      </w:r>
    </w:p>
    <w:p>
      <w:pPr>
        <w:spacing w:after="0" w:line="18"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FFFFFF"/>
        </w:rPr>
        <w:t>How does the historical share usage compare to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FFFFFF"/>
        </w:rPr>
        <w:t>6</w:t>
      </w:r>
    </w:p>
    <w:p>
      <w:pPr>
        <w:spacing w:after="0" w:line="18" w:lineRule="exact"/>
        <w:rPr>
          <w:sz w:val="20"/>
          <w:szCs w:val="20"/>
          <w:color w:val="auto"/>
        </w:rPr>
      </w:pPr>
    </w:p>
    <w:p>
      <w:pPr>
        <w:jc w:val="center"/>
        <w:ind w:left="280"/>
        <w:spacing w:after="0"/>
        <w:rPr>
          <w:sz w:val="20"/>
          <w:szCs w:val="20"/>
          <w:color w:val="auto"/>
        </w:rPr>
      </w:pPr>
      <w:r>
        <w:rPr>
          <w:rFonts w:ascii="Arial" w:cs="Arial" w:eastAsia="Arial" w:hAnsi="Arial"/>
          <w:sz w:val="17"/>
          <w:szCs w:val="17"/>
          <w:b w:val="1"/>
          <w:bCs w:val="1"/>
          <w:color w:val="FFFFFF"/>
        </w:rPr>
        <w:t>What other material changes</w:t>
      </w:r>
    </w:p>
    <w:p>
      <w:pPr>
        <w:spacing w:after="0" w:line="7"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FFFFFF"/>
        </w:rPr>
        <w:t>are being proposed?</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227" w:hanging="227"/>
        <w:spacing w:after="0"/>
        <w:tabs>
          <w:tab w:leader="none" w:pos="227" w:val="left"/>
        </w:tabs>
        <w:numPr>
          <w:ilvl w:val="0"/>
          <w:numId w:val="66"/>
        </w:numPr>
        <w:rPr>
          <w:rFonts w:ascii="Arial" w:cs="Arial" w:eastAsia="Arial" w:hAnsi="Arial"/>
          <w:sz w:val="18"/>
          <w:szCs w:val="18"/>
          <w:color w:val="003B71"/>
        </w:rPr>
      </w:pPr>
      <w:r>
        <w:rPr>
          <w:rFonts w:ascii="Arial" w:cs="Arial" w:eastAsia="Arial" w:hAnsi="Arial"/>
          <w:sz w:val="18"/>
          <w:szCs w:val="18"/>
          <w:color w:val="auto"/>
        </w:rPr>
        <w:t>We are seeking shareholder approval for an additional 3.0 million shares.</w:t>
      </w:r>
    </w:p>
    <w:p>
      <w:pPr>
        <w:spacing w:after="0" w:line="76" w:lineRule="exact"/>
        <w:rPr>
          <w:rFonts w:ascii="Arial" w:cs="Arial" w:eastAsia="Arial" w:hAnsi="Arial"/>
          <w:sz w:val="18"/>
          <w:szCs w:val="18"/>
          <w:color w:val="003B71"/>
        </w:rPr>
      </w:pPr>
    </w:p>
    <w:p>
      <w:pPr>
        <w:jc w:val="both"/>
        <w:ind w:left="267" w:right="480" w:hanging="267"/>
        <w:spacing w:after="0"/>
        <w:tabs>
          <w:tab w:leader="none" w:pos="222" w:val="left"/>
        </w:tabs>
        <w:numPr>
          <w:ilvl w:val="0"/>
          <w:numId w:val="66"/>
        </w:numPr>
        <w:rPr>
          <w:rFonts w:ascii="Arial" w:cs="Arial" w:eastAsia="Arial" w:hAnsi="Arial"/>
          <w:sz w:val="18"/>
          <w:szCs w:val="18"/>
          <w:color w:val="003B71"/>
        </w:rPr>
      </w:pPr>
      <w:r>
        <w:rPr>
          <w:rFonts w:ascii="Arial" w:cs="Arial" w:eastAsia="Arial" w:hAnsi="Arial"/>
          <w:sz w:val="18"/>
          <w:szCs w:val="18"/>
          <w:color w:val="auto"/>
        </w:rPr>
        <w:t>We estimate this will allow us to continue to make responsible and market competitive equity-based awards over the next two years and assumes the achievement of maximum financial and market performance under Dave and Buster’s long-term performance-based incentives.</w:t>
      </w:r>
    </w:p>
    <w:p>
      <w:pPr>
        <w:spacing w:after="0" w:line="67" w:lineRule="exact"/>
        <w:rPr>
          <w:rFonts w:ascii="Arial" w:cs="Arial" w:eastAsia="Arial" w:hAnsi="Arial"/>
          <w:sz w:val="18"/>
          <w:szCs w:val="18"/>
          <w:color w:val="003B71"/>
        </w:rPr>
      </w:pPr>
    </w:p>
    <w:p>
      <w:pPr>
        <w:ind w:left="267" w:right="480" w:hanging="267"/>
        <w:spacing w:after="0" w:line="246" w:lineRule="auto"/>
        <w:tabs>
          <w:tab w:leader="none" w:pos="219" w:val="left"/>
        </w:tabs>
        <w:numPr>
          <w:ilvl w:val="0"/>
          <w:numId w:val="66"/>
        </w:numPr>
        <w:rPr>
          <w:rFonts w:ascii="Arial" w:cs="Arial" w:eastAsia="Arial" w:hAnsi="Arial"/>
          <w:sz w:val="18"/>
          <w:szCs w:val="18"/>
          <w:color w:val="003B71"/>
        </w:rPr>
      </w:pPr>
      <w:r>
        <w:rPr>
          <w:rFonts w:ascii="Arial" w:cs="Arial" w:eastAsia="Arial" w:hAnsi="Arial"/>
          <w:sz w:val="18"/>
          <w:szCs w:val="18"/>
          <w:color w:val="auto"/>
        </w:rPr>
        <w:t>The estimated reserve life of two years is materially lower than the three to five-year reserve commonly requested by other publicly traded companies.</w:t>
      </w:r>
    </w:p>
    <w:p>
      <w:pPr>
        <w:spacing w:after="0" w:line="129" w:lineRule="exact"/>
        <w:rPr>
          <w:rFonts w:ascii="Arial" w:cs="Arial" w:eastAsia="Arial" w:hAnsi="Arial"/>
          <w:sz w:val="18"/>
          <w:szCs w:val="18"/>
          <w:color w:val="003B71"/>
        </w:rPr>
      </w:pPr>
    </w:p>
    <w:p>
      <w:pPr>
        <w:jc w:val="both"/>
        <w:ind w:left="267" w:right="480" w:hanging="267"/>
        <w:spacing w:after="0" w:line="238" w:lineRule="auto"/>
        <w:tabs>
          <w:tab w:leader="none" w:pos="222" w:val="left"/>
        </w:tabs>
        <w:numPr>
          <w:ilvl w:val="0"/>
          <w:numId w:val="66"/>
        </w:numPr>
        <w:rPr>
          <w:rFonts w:ascii="Arial" w:cs="Arial" w:eastAsia="Arial" w:hAnsi="Arial"/>
          <w:sz w:val="18"/>
          <w:szCs w:val="18"/>
          <w:color w:val="003B71"/>
        </w:rPr>
      </w:pPr>
      <w:r>
        <w:rPr>
          <w:rFonts w:ascii="Arial" w:cs="Arial" w:eastAsia="Arial" w:hAnsi="Arial"/>
          <w:sz w:val="18"/>
          <w:szCs w:val="18"/>
          <w:color w:val="auto"/>
        </w:rPr>
        <w:t>Dave and Buster’s has a history of responsible share usage. We thoughtfully manage share dilution and closely monitor our annual run rate and overhang to ensure we only grant an appropriate number of equity-based incentives we believe are necessary to attract, reward, motivate and retain employees, officers, and non-employee directors.</w:t>
      </w:r>
    </w:p>
    <w:p>
      <w:pPr>
        <w:spacing w:after="0" w:line="69" w:lineRule="exact"/>
        <w:rPr>
          <w:rFonts w:ascii="Arial" w:cs="Arial" w:eastAsia="Arial" w:hAnsi="Arial"/>
          <w:sz w:val="18"/>
          <w:szCs w:val="18"/>
          <w:color w:val="003B71"/>
        </w:rPr>
      </w:pPr>
    </w:p>
    <w:p>
      <w:pPr>
        <w:jc w:val="both"/>
        <w:ind w:left="267" w:right="480" w:hanging="267"/>
        <w:spacing w:after="0" w:line="237" w:lineRule="auto"/>
        <w:tabs>
          <w:tab w:leader="none" w:pos="222" w:val="left"/>
        </w:tabs>
        <w:numPr>
          <w:ilvl w:val="0"/>
          <w:numId w:val="66"/>
        </w:numPr>
        <w:rPr>
          <w:rFonts w:ascii="Arial" w:cs="Arial" w:eastAsia="Arial" w:hAnsi="Arial"/>
          <w:sz w:val="18"/>
          <w:szCs w:val="18"/>
          <w:color w:val="003B71"/>
        </w:rPr>
      </w:pPr>
      <w:r>
        <w:rPr>
          <w:rFonts w:ascii="Arial" w:cs="Arial" w:eastAsia="Arial" w:hAnsi="Arial"/>
          <w:sz w:val="18"/>
          <w:szCs w:val="18"/>
          <w:color w:val="auto"/>
        </w:rPr>
        <w:t>Run Rate. Our emphasis on responsible share usage is evidenced by our historical run rate, which has been conservative relative to our peer group. Our three-year average is approximately half of the peer group median. Run rate is defined as the total number of shares granted expressed as a percent of the weighted average common shares outstanding for each fiscal year. Peer group data based on available public SEC filings as of March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-2320925</wp:posOffset>
            </wp:positionV>
            <wp:extent cx="7003415" cy="55549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03415" cy="5554980"/>
                    </a:xfrm>
                    <a:prstGeom prst="rect">
                      <a:avLst/>
                    </a:prstGeom>
                    <a:noFill/>
                  </pic:spPr>
                </pic:pic>
              </a:graphicData>
            </a:graphic>
          </wp:anchor>
        </w:drawing>
      </w:r>
    </w:p>
    <w:p>
      <w:pPr>
        <w:spacing w:after="0" w:line="91" w:lineRule="exact"/>
        <w:rPr>
          <w:sz w:val="20"/>
          <w:szCs w:val="20"/>
          <w:color w:val="auto"/>
        </w:rPr>
      </w:pPr>
    </w:p>
    <w:tbl>
      <w:tblPr>
        <w:tblLayout w:type="fixed"/>
        <w:tblInd w:w="387"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ind w:right="144"/>
              <w:spacing w:after="0"/>
              <w:rPr>
                <w:sz w:val="20"/>
                <w:szCs w:val="20"/>
                <w:color w:val="auto"/>
              </w:rPr>
            </w:pPr>
            <w:r>
              <w:rPr>
                <w:rFonts w:ascii="Arial" w:cs="Arial" w:eastAsia="Arial" w:hAnsi="Arial"/>
                <w:sz w:val="14"/>
                <w:szCs w:val="14"/>
                <w:b w:val="1"/>
                <w:bCs w:val="1"/>
                <w:color w:val="003B71"/>
              </w:rPr>
              <w:t>3-Year</w:t>
            </w:r>
          </w:p>
        </w:tc>
      </w:tr>
      <w:tr>
        <w:trPr>
          <w:trHeight w:val="175"/>
        </w:trPr>
        <w:tc>
          <w:tcPr>
            <w:tcW w:w="3280" w:type="dxa"/>
            <w:vAlign w:val="bottom"/>
            <w:tcBorders>
              <w:bottom w:val="single" w:sz="8" w:color="003B71"/>
            </w:tcBorders>
          </w:tcPr>
          <w:p>
            <w:pPr>
              <w:ind w:left="100"/>
              <w:spacing w:after="0"/>
              <w:rPr>
                <w:sz w:val="20"/>
                <w:szCs w:val="20"/>
                <w:color w:val="auto"/>
              </w:rPr>
            </w:pPr>
            <w:r>
              <w:rPr>
                <w:rFonts w:ascii="Arial" w:cs="Arial" w:eastAsia="Arial" w:hAnsi="Arial"/>
                <w:sz w:val="14"/>
                <w:szCs w:val="14"/>
                <w:b w:val="1"/>
                <w:bCs w:val="1"/>
                <w:color w:val="003B71"/>
              </w:rPr>
              <w:t>Run Rate</w:t>
            </w:r>
          </w:p>
        </w:tc>
        <w:tc>
          <w:tcPr>
            <w:tcW w:w="2260" w:type="dxa"/>
            <w:vAlign w:val="bottom"/>
            <w:tcBorders>
              <w:bottom w:val="single" w:sz="8" w:color="003B71"/>
            </w:tcBorders>
          </w:tcPr>
          <w:p>
            <w:pPr>
              <w:ind w:left="1780"/>
              <w:spacing w:after="0"/>
              <w:rPr>
                <w:sz w:val="20"/>
                <w:szCs w:val="20"/>
                <w:color w:val="auto"/>
              </w:rPr>
            </w:pPr>
            <w:r>
              <w:rPr>
                <w:rFonts w:ascii="Arial" w:cs="Arial" w:eastAsia="Arial" w:hAnsi="Arial"/>
                <w:sz w:val="14"/>
                <w:szCs w:val="14"/>
                <w:b w:val="1"/>
                <w:bCs w:val="1"/>
                <w:color w:val="003B71"/>
              </w:rPr>
              <w:t>2017</w:t>
            </w:r>
          </w:p>
        </w:tc>
        <w:tc>
          <w:tcPr>
            <w:tcW w:w="600" w:type="dxa"/>
            <w:vAlign w:val="bottom"/>
            <w:tcBorders>
              <w:bottom w:val="single" w:sz="8" w:color="003B71"/>
            </w:tcBorders>
          </w:tcPr>
          <w:p>
            <w:pPr>
              <w:ind w:left="120"/>
              <w:spacing w:after="0"/>
              <w:rPr>
                <w:sz w:val="20"/>
                <w:szCs w:val="20"/>
                <w:color w:val="auto"/>
              </w:rPr>
            </w:pPr>
            <w:r>
              <w:rPr>
                <w:rFonts w:ascii="Arial" w:cs="Arial" w:eastAsia="Arial" w:hAnsi="Arial"/>
                <w:sz w:val="14"/>
                <w:szCs w:val="14"/>
                <w:b w:val="1"/>
                <w:bCs w:val="1"/>
                <w:color w:val="003B71"/>
              </w:rPr>
              <w:t>2018</w:t>
            </w:r>
          </w:p>
        </w:tc>
        <w:tc>
          <w:tcPr>
            <w:tcW w:w="560" w:type="dxa"/>
            <w:vAlign w:val="bottom"/>
            <w:tcBorders>
              <w:bottom w:val="single" w:sz="8" w:color="003B71"/>
            </w:tcBorders>
          </w:tcPr>
          <w:p>
            <w:pPr>
              <w:ind w:left="100"/>
              <w:spacing w:after="0"/>
              <w:rPr>
                <w:sz w:val="20"/>
                <w:szCs w:val="20"/>
                <w:color w:val="auto"/>
              </w:rPr>
            </w:pPr>
            <w:r>
              <w:rPr>
                <w:rFonts w:ascii="Arial" w:cs="Arial" w:eastAsia="Arial" w:hAnsi="Arial"/>
                <w:sz w:val="14"/>
                <w:szCs w:val="14"/>
                <w:b w:val="1"/>
                <w:bCs w:val="1"/>
                <w:color w:val="003B71"/>
              </w:rPr>
              <w:t>2019</w:t>
            </w:r>
          </w:p>
        </w:tc>
        <w:tc>
          <w:tcPr>
            <w:tcW w:w="800" w:type="dxa"/>
            <w:vAlign w:val="bottom"/>
            <w:tcBorders>
              <w:bottom w:val="single" w:sz="8" w:color="003B71"/>
            </w:tcBorders>
          </w:tcPr>
          <w:p>
            <w:pPr>
              <w:jc w:val="right"/>
              <w:ind w:right="84"/>
              <w:spacing w:after="0"/>
              <w:rPr>
                <w:sz w:val="20"/>
                <w:szCs w:val="20"/>
                <w:color w:val="auto"/>
              </w:rPr>
            </w:pPr>
            <w:r>
              <w:rPr>
                <w:rFonts w:ascii="Arial" w:cs="Arial" w:eastAsia="Arial" w:hAnsi="Arial"/>
                <w:sz w:val="14"/>
                <w:szCs w:val="14"/>
                <w:b w:val="1"/>
                <w:bCs w:val="1"/>
                <w:color w:val="003B71"/>
              </w:rPr>
              <w:t>Average</w:t>
            </w:r>
          </w:p>
        </w:tc>
      </w:tr>
      <w:tr>
        <w:trPr>
          <w:trHeight w:val="183"/>
        </w:trPr>
        <w:tc>
          <w:tcPr>
            <w:tcW w:w="3280" w:type="dxa"/>
            <w:vAlign w:val="bottom"/>
            <w:shd w:val="clear" w:color="auto" w:fill="E5E5E5"/>
          </w:tcPr>
          <w:p>
            <w:pPr>
              <w:ind w:left="100"/>
              <w:spacing w:after="0" w:line="183" w:lineRule="exact"/>
              <w:rPr>
                <w:sz w:val="20"/>
                <w:szCs w:val="20"/>
                <w:color w:val="auto"/>
              </w:rPr>
            </w:pPr>
            <w:r>
              <w:rPr>
                <w:rFonts w:ascii="Arial" w:cs="Arial" w:eastAsia="Arial" w:hAnsi="Arial"/>
                <w:sz w:val="16"/>
                <w:szCs w:val="16"/>
                <w:color w:val="auto"/>
              </w:rPr>
              <w:t>Dave and Busters</w:t>
            </w:r>
          </w:p>
        </w:tc>
        <w:tc>
          <w:tcPr>
            <w:tcW w:w="2260" w:type="dxa"/>
            <w:vAlign w:val="bottom"/>
            <w:shd w:val="clear" w:color="auto" w:fill="E5E5E5"/>
          </w:tcPr>
          <w:p>
            <w:pPr>
              <w:ind w:left="1780"/>
              <w:spacing w:after="0" w:line="183" w:lineRule="exact"/>
              <w:rPr>
                <w:sz w:val="20"/>
                <w:szCs w:val="20"/>
                <w:color w:val="auto"/>
              </w:rPr>
            </w:pPr>
            <w:r>
              <w:rPr>
                <w:rFonts w:ascii="Arial" w:cs="Arial" w:eastAsia="Arial" w:hAnsi="Arial"/>
                <w:sz w:val="16"/>
                <w:szCs w:val="16"/>
                <w:color w:val="auto"/>
              </w:rPr>
              <w:t>0.6%</w:t>
            </w:r>
          </w:p>
        </w:tc>
        <w:tc>
          <w:tcPr>
            <w:tcW w:w="600" w:type="dxa"/>
            <w:vAlign w:val="bottom"/>
            <w:shd w:val="clear" w:color="auto" w:fill="E5E5E5"/>
          </w:tcPr>
          <w:p>
            <w:pPr>
              <w:ind w:left="120"/>
              <w:spacing w:after="0" w:line="183" w:lineRule="exact"/>
              <w:rPr>
                <w:sz w:val="20"/>
                <w:szCs w:val="20"/>
                <w:color w:val="auto"/>
              </w:rPr>
            </w:pPr>
            <w:r>
              <w:rPr>
                <w:rFonts w:ascii="Arial" w:cs="Arial" w:eastAsia="Arial" w:hAnsi="Arial"/>
                <w:sz w:val="16"/>
                <w:szCs w:val="16"/>
                <w:color w:val="auto"/>
              </w:rPr>
              <w:t>0.8%</w:t>
            </w:r>
          </w:p>
        </w:tc>
        <w:tc>
          <w:tcPr>
            <w:tcW w:w="560" w:type="dxa"/>
            <w:vAlign w:val="bottom"/>
            <w:shd w:val="clear" w:color="auto" w:fill="E5E5E5"/>
          </w:tcPr>
          <w:p>
            <w:pPr>
              <w:ind w:left="120"/>
              <w:spacing w:after="0" w:line="183" w:lineRule="exact"/>
              <w:rPr>
                <w:sz w:val="20"/>
                <w:szCs w:val="20"/>
                <w:color w:val="auto"/>
              </w:rPr>
            </w:pPr>
            <w:r>
              <w:rPr>
                <w:rFonts w:ascii="Arial" w:cs="Arial" w:eastAsia="Arial" w:hAnsi="Arial"/>
                <w:sz w:val="16"/>
                <w:szCs w:val="16"/>
                <w:color w:val="auto"/>
              </w:rPr>
              <w:t>0.9%</w:t>
            </w:r>
          </w:p>
        </w:tc>
        <w:tc>
          <w:tcPr>
            <w:tcW w:w="800" w:type="dxa"/>
            <w:vAlign w:val="bottom"/>
            <w:shd w:val="clear" w:color="auto" w:fill="E5E5E5"/>
          </w:tcPr>
          <w:p>
            <w:pPr>
              <w:jc w:val="right"/>
              <w:ind w:right="84"/>
              <w:spacing w:after="0" w:line="183" w:lineRule="exact"/>
              <w:rPr>
                <w:sz w:val="20"/>
                <w:szCs w:val="20"/>
                <w:color w:val="auto"/>
              </w:rPr>
            </w:pPr>
            <w:r>
              <w:rPr>
                <w:rFonts w:ascii="Arial" w:cs="Arial" w:eastAsia="Arial" w:hAnsi="Arial"/>
                <w:sz w:val="16"/>
                <w:szCs w:val="16"/>
                <w:color w:val="auto"/>
              </w:rPr>
              <w:t>0.8%</w:t>
            </w:r>
          </w:p>
        </w:tc>
      </w:tr>
      <w:tr>
        <w:trPr>
          <w:trHeight w:val="189"/>
        </w:trPr>
        <w:tc>
          <w:tcPr>
            <w:tcW w:w="3280" w:type="dxa"/>
            <w:vAlign w:val="bottom"/>
            <w:tcBorders>
              <w:bottom w:val="single" w:sz="8" w:color="003B71"/>
            </w:tcBorders>
          </w:tcPr>
          <w:p>
            <w:pPr>
              <w:ind w:left="100"/>
              <w:spacing w:after="0"/>
              <w:rPr>
                <w:sz w:val="20"/>
                <w:szCs w:val="20"/>
                <w:color w:val="auto"/>
              </w:rPr>
            </w:pPr>
            <w:r>
              <w:rPr>
                <w:rFonts w:ascii="Arial" w:cs="Arial" w:eastAsia="Arial" w:hAnsi="Arial"/>
                <w:sz w:val="16"/>
                <w:szCs w:val="16"/>
                <w:color w:val="auto"/>
              </w:rPr>
              <w:t>Peer Group Median</w:t>
            </w:r>
          </w:p>
        </w:tc>
        <w:tc>
          <w:tcPr>
            <w:tcW w:w="2260" w:type="dxa"/>
            <w:vAlign w:val="bottom"/>
            <w:tcBorders>
              <w:bottom w:val="single" w:sz="8" w:color="003B71"/>
            </w:tcBorders>
          </w:tcPr>
          <w:p>
            <w:pPr>
              <w:ind w:left="1780"/>
              <w:spacing w:after="0"/>
              <w:rPr>
                <w:sz w:val="20"/>
                <w:szCs w:val="20"/>
                <w:color w:val="auto"/>
              </w:rPr>
            </w:pPr>
            <w:r>
              <w:rPr>
                <w:rFonts w:ascii="Arial" w:cs="Arial" w:eastAsia="Arial" w:hAnsi="Arial"/>
                <w:sz w:val="16"/>
                <w:szCs w:val="16"/>
                <w:color w:val="auto"/>
              </w:rPr>
              <w:t>1.4%</w:t>
            </w:r>
          </w:p>
        </w:tc>
        <w:tc>
          <w:tcPr>
            <w:tcW w:w="600" w:type="dxa"/>
            <w:vAlign w:val="bottom"/>
            <w:tcBorders>
              <w:bottom w:val="single" w:sz="8" w:color="003B71"/>
            </w:tcBorders>
          </w:tcPr>
          <w:p>
            <w:pPr>
              <w:ind w:left="120"/>
              <w:spacing w:after="0"/>
              <w:rPr>
                <w:sz w:val="20"/>
                <w:szCs w:val="20"/>
                <w:color w:val="auto"/>
              </w:rPr>
            </w:pPr>
            <w:r>
              <w:rPr>
                <w:rFonts w:ascii="Arial" w:cs="Arial" w:eastAsia="Arial" w:hAnsi="Arial"/>
                <w:sz w:val="16"/>
                <w:szCs w:val="16"/>
                <w:color w:val="auto"/>
              </w:rPr>
              <w:t>1.9%</w:t>
            </w:r>
          </w:p>
        </w:tc>
        <w:tc>
          <w:tcPr>
            <w:tcW w:w="560" w:type="dxa"/>
            <w:vAlign w:val="bottom"/>
            <w:tcBorders>
              <w:bottom w:val="single" w:sz="8" w:color="003B71"/>
            </w:tcBorders>
          </w:tcPr>
          <w:p>
            <w:pPr>
              <w:ind w:left="120"/>
              <w:spacing w:after="0"/>
              <w:rPr>
                <w:sz w:val="20"/>
                <w:szCs w:val="20"/>
                <w:color w:val="auto"/>
              </w:rPr>
            </w:pPr>
            <w:r>
              <w:rPr>
                <w:rFonts w:ascii="Arial" w:cs="Arial" w:eastAsia="Arial" w:hAnsi="Arial"/>
                <w:sz w:val="16"/>
                <w:szCs w:val="16"/>
                <w:color w:val="auto"/>
              </w:rPr>
              <w:t>1.4%</w:t>
            </w:r>
          </w:p>
        </w:tc>
        <w:tc>
          <w:tcPr>
            <w:tcW w:w="800" w:type="dxa"/>
            <w:vAlign w:val="bottom"/>
            <w:tcBorders>
              <w:bottom w:val="single" w:sz="8" w:color="003B71"/>
            </w:tcBorders>
          </w:tcPr>
          <w:p>
            <w:pPr>
              <w:jc w:val="right"/>
              <w:ind w:right="84"/>
              <w:spacing w:after="0"/>
              <w:rPr>
                <w:sz w:val="20"/>
                <w:szCs w:val="20"/>
                <w:color w:val="auto"/>
              </w:rPr>
            </w:pPr>
            <w:r>
              <w:rPr>
                <w:rFonts w:ascii="Arial" w:cs="Arial" w:eastAsia="Arial" w:hAnsi="Arial"/>
                <w:sz w:val="16"/>
                <w:szCs w:val="16"/>
                <w:color w:val="auto"/>
              </w:rPr>
              <w:t>1.6%</w:t>
            </w:r>
          </w:p>
        </w:tc>
      </w:tr>
    </w:tbl>
    <w:p>
      <w:pPr>
        <w:spacing w:after="0" w:line="94" w:lineRule="exact"/>
        <w:rPr>
          <w:sz w:val="20"/>
          <w:szCs w:val="20"/>
          <w:color w:val="auto"/>
        </w:rPr>
      </w:pPr>
    </w:p>
    <w:p>
      <w:pPr>
        <w:jc w:val="both"/>
        <w:ind w:left="267" w:right="480" w:hanging="267"/>
        <w:spacing w:after="0" w:line="237" w:lineRule="auto"/>
        <w:tabs>
          <w:tab w:leader="none" w:pos="222" w:val="left"/>
        </w:tabs>
        <w:numPr>
          <w:ilvl w:val="0"/>
          <w:numId w:val="67"/>
        </w:numPr>
        <w:rPr>
          <w:rFonts w:ascii="Arial" w:cs="Arial" w:eastAsia="Arial" w:hAnsi="Arial"/>
          <w:sz w:val="18"/>
          <w:szCs w:val="18"/>
          <w:color w:val="003B71"/>
        </w:rPr>
      </w:pPr>
      <w:r>
        <w:rPr>
          <w:rFonts w:ascii="Arial" w:cs="Arial" w:eastAsia="Arial" w:hAnsi="Arial"/>
          <w:sz w:val="18"/>
          <w:szCs w:val="18"/>
          <w:color w:val="auto"/>
        </w:rPr>
        <w:t>Overhang. Overhang is a common measure of equity dilution. We define overhang as the sum of the number of outstanding shares and the number of shares available for future grant divided by the sum of the number of outstanding shares, the number of shares available for future grant, and the number of common shares outstanding. Dave and Buster’s overhang at the end of fiscal 2019 (9.3%) was more than one full percentage point below the peer group median.</w:t>
      </w:r>
    </w:p>
    <w:p>
      <w:pPr>
        <w:spacing w:after="0" w:line="98" w:lineRule="exact"/>
        <w:rPr>
          <w:sz w:val="20"/>
          <w:szCs w:val="20"/>
          <w:color w:val="auto"/>
        </w:rPr>
      </w:pPr>
    </w:p>
    <w:tbl>
      <w:tblPr>
        <w:tblLayout w:type="fixed"/>
        <w:tblInd w:w="387" w:type="dxa"/>
        <w:tblCellMar>
          <w:top w:w="0" w:type="dxa"/>
          <w:left w:w="0" w:type="dxa"/>
          <w:bottom w:w="0" w:type="dxa"/>
          <w:right w:w="0" w:type="dxa"/>
        </w:tblCellMar>
      </w:tblPr>
      <w:tr>
        <w:trPr>
          <w:trHeight w:val="175"/>
        </w:trPr>
        <w:tc>
          <w:tcPr>
            <w:tcW w:w="4240" w:type="dxa"/>
            <w:vAlign w:val="bottom"/>
            <w:tcBorders>
              <w:bottom w:val="single" w:sz="8" w:color="003B71"/>
            </w:tcBorders>
          </w:tcPr>
          <w:p>
            <w:pPr>
              <w:ind w:left="180"/>
              <w:spacing w:after="0"/>
              <w:rPr>
                <w:sz w:val="20"/>
                <w:szCs w:val="20"/>
                <w:color w:val="auto"/>
              </w:rPr>
            </w:pPr>
            <w:r>
              <w:rPr>
                <w:rFonts w:ascii="Arial" w:cs="Arial" w:eastAsia="Arial" w:hAnsi="Arial"/>
                <w:sz w:val="14"/>
                <w:szCs w:val="14"/>
                <w:b w:val="1"/>
                <w:bCs w:val="1"/>
                <w:color w:val="003B71"/>
              </w:rPr>
              <w:t>Overhang</w:t>
            </w:r>
          </w:p>
        </w:tc>
        <w:tc>
          <w:tcPr>
            <w:tcW w:w="3260" w:type="dxa"/>
            <w:vAlign w:val="bottom"/>
            <w:tcBorders>
              <w:bottom w:val="single" w:sz="8" w:color="003B71"/>
            </w:tcBorders>
          </w:tcPr>
          <w:p>
            <w:pPr>
              <w:jc w:val="right"/>
              <w:ind w:right="202"/>
              <w:spacing w:after="0"/>
              <w:rPr>
                <w:sz w:val="20"/>
                <w:szCs w:val="20"/>
                <w:color w:val="auto"/>
              </w:rPr>
            </w:pPr>
            <w:r>
              <w:rPr>
                <w:rFonts w:ascii="Arial" w:cs="Arial" w:eastAsia="Arial" w:hAnsi="Arial"/>
                <w:sz w:val="14"/>
                <w:szCs w:val="14"/>
                <w:b w:val="1"/>
                <w:bCs w:val="1"/>
                <w:color w:val="003B71"/>
              </w:rPr>
              <w:t>2019</w:t>
            </w:r>
          </w:p>
        </w:tc>
      </w:tr>
      <w:tr>
        <w:trPr>
          <w:trHeight w:val="183"/>
        </w:trPr>
        <w:tc>
          <w:tcPr>
            <w:tcW w:w="4240" w:type="dxa"/>
            <w:vAlign w:val="bottom"/>
            <w:shd w:val="clear" w:color="auto" w:fill="E5E5E5"/>
          </w:tcPr>
          <w:p>
            <w:pPr>
              <w:ind w:left="180"/>
              <w:spacing w:after="0" w:line="183" w:lineRule="exact"/>
              <w:rPr>
                <w:sz w:val="20"/>
                <w:szCs w:val="20"/>
                <w:color w:val="auto"/>
              </w:rPr>
            </w:pPr>
            <w:r>
              <w:rPr>
                <w:rFonts w:ascii="Arial" w:cs="Arial" w:eastAsia="Arial" w:hAnsi="Arial"/>
                <w:sz w:val="16"/>
                <w:szCs w:val="16"/>
                <w:color w:val="auto"/>
              </w:rPr>
              <w:t>Dave and Busters</w:t>
            </w:r>
          </w:p>
        </w:tc>
        <w:tc>
          <w:tcPr>
            <w:tcW w:w="3260" w:type="dxa"/>
            <w:vAlign w:val="bottom"/>
            <w:shd w:val="clear" w:color="auto" w:fill="E5E5E5"/>
          </w:tcPr>
          <w:p>
            <w:pPr>
              <w:jc w:val="right"/>
              <w:ind w:right="82"/>
              <w:spacing w:after="0" w:line="183" w:lineRule="exact"/>
              <w:rPr>
                <w:sz w:val="20"/>
                <w:szCs w:val="20"/>
                <w:color w:val="auto"/>
              </w:rPr>
            </w:pPr>
            <w:r>
              <w:rPr>
                <w:rFonts w:ascii="Arial" w:cs="Arial" w:eastAsia="Arial" w:hAnsi="Arial"/>
                <w:sz w:val="16"/>
                <w:szCs w:val="16"/>
                <w:color w:val="auto"/>
              </w:rPr>
              <w:t>9.3%</w:t>
            </w:r>
          </w:p>
        </w:tc>
      </w:tr>
      <w:tr>
        <w:trPr>
          <w:trHeight w:val="196"/>
        </w:trPr>
        <w:tc>
          <w:tcPr>
            <w:tcW w:w="4240" w:type="dxa"/>
            <w:vAlign w:val="bottom"/>
          </w:tcPr>
          <w:p>
            <w:pPr>
              <w:ind w:left="180"/>
              <w:spacing w:after="0"/>
              <w:rPr>
                <w:sz w:val="20"/>
                <w:szCs w:val="20"/>
                <w:color w:val="auto"/>
              </w:rPr>
            </w:pPr>
            <w:r>
              <w:rPr>
                <w:rFonts w:ascii="Arial" w:cs="Arial" w:eastAsia="Arial" w:hAnsi="Arial"/>
                <w:sz w:val="16"/>
                <w:szCs w:val="16"/>
                <w:color w:val="auto"/>
              </w:rPr>
              <w:t>Peer Group Median</w:t>
            </w:r>
          </w:p>
        </w:tc>
        <w:tc>
          <w:tcPr>
            <w:tcW w:w="3260" w:type="dxa"/>
            <w:vAlign w:val="bottom"/>
          </w:tcPr>
          <w:p>
            <w:pPr>
              <w:jc w:val="right"/>
              <w:ind w:right="82"/>
              <w:spacing w:after="0"/>
              <w:rPr>
                <w:sz w:val="20"/>
                <w:szCs w:val="20"/>
                <w:color w:val="auto"/>
              </w:rPr>
            </w:pPr>
            <w:r>
              <w:rPr>
                <w:rFonts w:ascii="Arial" w:cs="Arial" w:eastAsia="Arial" w:hAnsi="Arial"/>
                <w:sz w:val="16"/>
                <w:szCs w:val="16"/>
                <w:color w:val="auto"/>
              </w:rPr>
              <w:t>10.7%</w:t>
            </w:r>
          </w:p>
        </w:tc>
      </w:tr>
    </w:tbl>
    <w:p>
      <w:pPr>
        <w:spacing w:after="0" w:line="32" w:lineRule="exact"/>
        <w:rPr>
          <w:sz w:val="20"/>
          <w:szCs w:val="20"/>
          <w:color w:val="auto"/>
        </w:rPr>
      </w:pPr>
    </w:p>
    <w:p>
      <w:pPr>
        <w:ind w:left="267" w:right="480" w:hanging="267"/>
        <w:spacing w:after="0" w:line="246" w:lineRule="auto"/>
        <w:tabs>
          <w:tab w:leader="none" w:pos="212" w:val="left"/>
        </w:tabs>
        <w:numPr>
          <w:ilvl w:val="0"/>
          <w:numId w:val="68"/>
        </w:numPr>
        <w:rPr>
          <w:rFonts w:ascii="Arial" w:cs="Arial" w:eastAsia="Arial" w:hAnsi="Arial"/>
          <w:sz w:val="18"/>
          <w:szCs w:val="18"/>
          <w:color w:val="003B71"/>
        </w:rPr>
      </w:pPr>
      <w:r>
        <w:rPr>
          <w:rFonts w:ascii="Arial" w:cs="Arial" w:eastAsia="Arial" w:hAnsi="Arial"/>
          <w:sz w:val="18"/>
          <w:szCs w:val="18"/>
          <w:color w:val="auto"/>
        </w:rPr>
        <w:t>Aside from the authorization of an additional 3.0 million shares, there are few material changes being proposed to the plan. Of note:</w:t>
      </w:r>
    </w:p>
    <w:p>
      <w:pPr>
        <w:spacing w:after="0" w:line="61" w:lineRule="exact"/>
        <w:rPr>
          <w:rFonts w:ascii="Arial" w:cs="Arial" w:eastAsia="Arial" w:hAnsi="Arial"/>
          <w:sz w:val="18"/>
          <w:szCs w:val="18"/>
          <w:color w:val="003B71"/>
        </w:rPr>
      </w:pPr>
    </w:p>
    <w:p>
      <w:pPr>
        <w:jc w:val="both"/>
        <w:ind w:left="547" w:right="480" w:hanging="277"/>
        <w:spacing w:after="0"/>
        <w:tabs>
          <w:tab w:leader="none" w:pos="555" w:val="left"/>
        </w:tabs>
        <w:numPr>
          <w:ilvl w:val="1"/>
          <w:numId w:val="68"/>
        </w:numPr>
        <w:rPr>
          <w:rFonts w:ascii="Arial" w:cs="Arial" w:eastAsia="Arial" w:hAnsi="Arial"/>
          <w:sz w:val="15"/>
          <w:szCs w:val="15"/>
          <w:color w:val="auto"/>
        </w:rPr>
      </w:pPr>
      <w:r>
        <w:rPr>
          <w:rFonts w:ascii="Arial" w:cs="Arial" w:eastAsia="Arial" w:hAnsi="Arial"/>
          <w:sz w:val="18"/>
          <w:szCs w:val="18"/>
          <w:color w:val="auto"/>
        </w:rPr>
        <w:t>increase the annual limit of the total number of shares of restricted stock that may be granted to an individual up to two times with respect to awards granted to a participant in their first year of employment with the Company</w:t>
      </w:r>
    </w:p>
    <w:p>
      <w:pPr>
        <w:spacing w:after="0" w:line="67" w:lineRule="exact"/>
        <w:rPr>
          <w:rFonts w:ascii="Arial" w:cs="Arial" w:eastAsia="Arial" w:hAnsi="Arial"/>
          <w:sz w:val="15"/>
          <w:szCs w:val="15"/>
          <w:color w:val="auto"/>
        </w:rPr>
      </w:pPr>
    </w:p>
    <w:p>
      <w:pPr>
        <w:ind w:left="527" w:hanging="257"/>
        <w:spacing w:after="0"/>
        <w:tabs>
          <w:tab w:leader="none" w:pos="527" w:val="left"/>
        </w:tabs>
        <w:numPr>
          <w:ilvl w:val="1"/>
          <w:numId w:val="68"/>
        </w:numPr>
        <w:rPr>
          <w:rFonts w:ascii="Arial" w:cs="Arial" w:eastAsia="Arial" w:hAnsi="Arial"/>
          <w:sz w:val="15"/>
          <w:szCs w:val="15"/>
          <w:color w:val="auto"/>
        </w:rPr>
      </w:pPr>
      <w:r>
        <w:rPr>
          <w:rFonts w:ascii="Arial" w:cs="Arial" w:eastAsia="Arial" w:hAnsi="Arial"/>
          <w:sz w:val="18"/>
          <w:szCs w:val="18"/>
          <w:color w:val="auto"/>
        </w:rPr>
        <w:t>adopt a per person limit on the annual awards to non-employee directors of $500,000</w:t>
      </w:r>
    </w:p>
    <w:p>
      <w:pPr>
        <w:spacing w:after="0" w:line="76" w:lineRule="exact"/>
        <w:rPr>
          <w:rFonts w:ascii="Arial" w:cs="Arial" w:eastAsia="Arial" w:hAnsi="Arial"/>
          <w:sz w:val="15"/>
          <w:szCs w:val="15"/>
          <w:color w:val="auto"/>
        </w:rPr>
      </w:pPr>
    </w:p>
    <w:p>
      <w:pPr>
        <w:jc w:val="both"/>
        <w:ind w:left="267" w:right="480" w:hanging="267"/>
        <w:spacing w:after="0"/>
        <w:tabs>
          <w:tab w:leader="none" w:pos="219" w:val="left"/>
        </w:tabs>
        <w:numPr>
          <w:ilvl w:val="0"/>
          <w:numId w:val="68"/>
        </w:numPr>
        <w:rPr>
          <w:rFonts w:ascii="Arial" w:cs="Arial" w:eastAsia="Arial" w:hAnsi="Arial"/>
          <w:sz w:val="18"/>
          <w:szCs w:val="18"/>
          <w:color w:val="003B71"/>
        </w:rPr>
      </w:pPr>
      <w:r>
        <w:rPr>
          <w:rFonts w:ascii="Arial" w:cs="Arial" w:eastAsia="Arial" w:hAnsi="Arial"/>
          <w:sz w:val="18"/>
          <w:szCs w:val="18"/>
          <w:color w:val="auto"/>
        </w:rPr>
        <w:t>The material terms and certain additional features are summarized are more detail in the section below entitled “Summary of Plan” and the summary is qualified in its entirety by reference to the full text of the amended plan set forth in Appendix A beginning on page A-1.</w:t>
      </w:r>
    </w:p>
    <w:p>
      <w:pPr>
        <w:spacing w:after="0" w:line="200" w:lineRule="exact"/>
        <w:rPr>
          <w:sz w:val="20"/>
          <w:szCs w:val="20"/>
          <w:color w:val="auto"/>
        </w:rPr>
      </w:pPr>
    </w:p>
    <w:p>
      <w:pPr>
        <w:sectPr>
          <w:pgSz w:w="11900" w:h="16838" w:orient="portrait"/>
          <w:cols w:equalWidth="0" w:num="2">
            <w:col w:w="2740" w:space="193"/>
            <w:col w:w="8207"/>
          </w:cols>
          <w:pgMar w:left="320" w:top="459" w:right="439" w:bottom="1440" w:gutter="0" w:footer="0" w:header="0"/>
          <w:type w:val="continuous"/>
        </w:sectPr>
      </w:pPr>
    </w:p>
    <w:p>
      <w:pPr>
        <w:spacing w:after="0" w:line="75"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14</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21" w:name="page22"/>
    <w:bookmarkEnd w:id="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37"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FFFFFF"/>
        </w:rPr>
        <w:t>7</w:t>
      </w:r>
    </w:p>
    <w:p>
      <w:pPr>
        <w:spacing w:after="0" w:line="18" w:lineRule="exact"/>
        <w:rPr>
          <w:sz w:val="20"/>
          <w:szCs w:val="20"/>
          <w:color w:val="auto"/>
        </w:rPr>
      </w:pPr>
    </w:p>
    <w:p>
      <w:pPr>
        <w:jc w:val="center"/>
        <w:ind w:left="720" w:right="80"/>
        <w:spacing w:after="0" w:line="261" w:lineRule="auto"/>
        <w:rPr>
          <w:sz w:val="20"/>
          <w:szCs w:val="20"/>
          <w:color w:val="auto"/>
        </w:rPr>
      </w:pPr>
      <w:r>
        <w:rPr>
          <w:rFonts w:ascii="Arial" w:cs="Arial" w:eastAsia="Arial" w:hAnsi="Arial"/>
          <w:sz w:val="17"/>
          <w:szCs w:val="17"/>
          <w:b w:val="1"/>
          <w:bCs w:val="1"/>
          <w:color w:val="FFFFFF"/>
        </w:rPr>
        <w:t>What key features are being retained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FFFFFF"/>
        </w:rPr>
        <w:t>8</w:t>
      </w:r>
    </w:p>
    <w:p>
      <w:pPr>
        <w:spacing w:after="0" w:line="13"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FFFFFF"/>
        </w:rPr>
        <w:t>What happens if</w:t>
      </w:r>
    </w:p>
    <w:p>
      <w:pPr>
        <w:jc w:val="center"/>
        <w:ind w:left="700"/>
        <w:spacing w:after="0"/>
        <w:rPr>
          <w:sz w:val="20"/>
          <w:szCs w:val="20"/>
          <w:color w:val="auto"/>
        </w:rPr>
      </w:pPr>
      <w:r>
        <w:rPr>
          <w:rFonts w:ascii="Arial" w:cs="Arial" w:eastAsia="Arial" w:hAnsi="Arial"/>
          <w:sz w:val="17"/>
          <w:szCs w:val="17"/>
          <w:b w:val="1"/>
          <w:bCs w:val="1"/>
          <w:color w:val="FFFFFF"/>
        </w:rPr>
        <w:t>shareholders do not</w:t>
      </w:r>
    </w:p>
    <w:p>
      <w:pPr>
        <w:spacing w:after="0" w:line="7"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FFFFFF"/>
        </w:rPr>
        <w:t>approve the plan?</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266" w:right="180" w:hanging="266"/>
        <w:spacing w:after="0" w:line="246" w:lineRule="auto"/>
        <w:tabs>
          <w:tab w:leader="none" w:pos="217" w:val="left"/>
        </w:tabs>
        <w:numPr>
          <w:ilvl w:val="0"/>
          <w:numId w:val="69"/>
        </w:numPr>
        <w:rPr>
          <w:rFonts w:ascii="Arial" w:cs="Arial" w:eastAsia="Arial" w:hAnsi="Arial"/>
          <w:sz w:val="18"/>
          <w:szCs w:val="18"/>
          <w:color w:val="003B71"/>
        </w:rPr>
      </w:pPr>
      <w:r>
        <w:rPr>
          <w:rFonts w:ascii="Arial" w:cs="Arial" w:eastAsia="Arial" w:hAnsi="Arial"/>
          <w:sz w:val="18"/>
          <w:szCs w:val="18"/>
          <w:color w:val="auto"/>
        </w:rPr>
        <w:t>The plan will continue to retain key governance features and market best practices that serve to protect shareholder interests, such as:</w:t>
      </w:r>
    </w:p>
    <w:p>
      <w:pPr>
        <w:spacing w:after="0" w:line="61" w:lineRule="exact"/>
        <w:rPr>
          <w:rFonts w:ascii="Arial" w:cs="Arial" w:eastAsia="Arial" w:hAnsi="Arial"/>
          <w:sz w:val="18"/>
          <w:szCs w:val="18"/>
          <w:color w:val="003B71"/>
        </w:rPr>
      </w:pPr>
    </w:p>
    <w:p>
      <w:pPr>
        <w:ind w:left="546" w:right="180" w:hanging="276"/>
        <w:spacing w:after="0" w:line="246" w:lineRule="auto"/>
        <w:tabs>
          <w:tab w:leader="none" w:pos="527" w:val="left"/>
        </w:tabs>
        <w:numPr>
          <w:ilvl w:val="1"/>
          <w:numId w:val="69"/>
        </w:numPr>
        <w:rPr>
          <w:rFonts w:ascii="Arial" w:cs="Arial" w:eastAsia="Arial" w:hAnsi="Arial"/>
          <w:sz w:val="15"/>
          <w:szCs w:val="15"/>
          <w:color w:val="auto"/>
        </w:rPr>
      </w:pPr>
      <w:r>
        <w:rPr>
          <w:rFonts w:ascii="Arial" w:cs="Arial" w:eastAsia="Arial" w:hAnsi="Arial"/>
          <w:sz w:val="18"/>
          <w:szCs w:val="18"/>
          <w:color w:val="auto"/>
        </w:rPr>
        <w:t>No Stock Option Repricing. The plan prohibits stock option repricing, and the cash buyout of underwater stock options, in the absence of shareholder approval.</w:t>
      </w:r>
    </w:p>
    <w:p>
      <w:pPr>
        <w:spacing w:after="0" w:line="61" w:lineRule="exact"/>
        <w:rPr>
          <w:rFonts w:ascii="Arial" w:cs="Arial" w:eastAsia="Arial" w:hAnsi="Arial"/>
          <w:sz w:val="15"/>
          <w:szCs w:val="15"/>
          <w:color w:val="auto"/>
        </w:rPr>
      </w:pPr>
    </w:p>
    <w:p>
      <w:pPr>
        <w:ind w:left="526" w:hanging="256"/>
        <w:spacing w:after="0"/>
        <w:tabs>
          <w:tab w:leader="none" w:pos="526" w:val="left"/>
        </w:tabs>
        <w:numPr>
          <w:ilvl w:val="1"/>
          <w:numId w:val="69"/>
        </w:numPr>
        <w:rPr>
          <w:rFonts w:ascii="Arial" w:cs="Arial" w:eastAsia="Arial" w:hAnsi="Arial"/>
          <w:sz w:val="15"/>
          <w:szCs w:val="15"/>
          <w:color w:val="auto"/>
        </w:rPr>
      </w:pPr>
      <w:r>
        <w:rPr>
          <w:rFonts w:ascii="Arial" w:cs="Arial" w:eastAsia="Arial" w:hAnsi="Arial"/>
          <w:sz w:val="18"/>
          <w:szCs w:val="18"/>
          <w:color w:val="auto"/>
        </w:rPr>
        <w:t>No Excise Tax Gross-Up. The plan does not provide for any tax gross-ups.</w:t>
      </w:r>
    </w:p>
    <w:p>
      <w:pPr>
        <w:spacing w:after="0" w:line="76" w:lineRule="exact"/>
        <w:rPr>
          <w:rFonts w:ascii="Arial" w:cs="Arial" w:eastAsia="Arial" w:hAnsi="Arial"/>
          <w:sz w:val="15"/>
          <w:szCs w:val="15"/>
          <w:color w:val="auto"/>
        </w:rPr>
      </w:pPr>
    </w:p>
    <w:p>
      <w:pPr>
        <w:ind w:left="546" w:right="180" w:hanging="276"/>
        <w:spacing w:after="0" w:line="246" w:lineRule="auto"/>
        <w:tabs>
          <w:tab w:leader="none" w:pos="554" w:val="left"/>
        </w:tabs>
        <w:numPr>
          <w:ilvl w:val="1"/>
          <w:numId w:val="69"/>
        </w:numPr>
        <w:rPr>
          <w:rFonts w:ascii="Arial" w:cs="Arial" w:eastAsia="Arial" w:hAnsi="Arial"/>
          <w:sz w:val="15"/>
          <w:szCs w:val="15"/>
          <w:color w:val="auto"/>
        </w:rPr>
      </w:pPr>
      <w:r>
        <w:rPr>
          <w:rFonts w:ascii="Arial" w:cs="Arial" w:eastAsia="Arial" w:hAnsi="Arial"/>
          <w:sz w:val="18"/>
          <w:szCs w:val="18"/>
          <w:color w:val="auto"/>
        </w:rPr>
        <w:t>No Single-Trigger Equity Vesting. The plan does not provide for an automatic vesting of equity awards upon a change in control.</w:t>
      </w:r>
    </w:p>
    <w:p>
      <w:pPr>
        <w:spacing w:after="0" w:line="61" w:lineRule="exact"/>
        <w:rPr>
          <w:rFonts w:ascii="Arial" w:cs="Arial" w:eastAsia="Arial" w:hAnsi="Arial"/>
          <w:sz w:val="15"/>
          <w:szCs w:val="15"/>
          <w:color w:val="auto"/>
        </w:rPr>
      </w:pPr>
    </w:p>
    <w:p>
      <w:pPr>
        <w:ind w:left="546" w:right="180" w:hanging="276"/>
        <w:spacing w:after="0" w:line="246" w:lineRule="auto"/>
        <w:tabs>
          <w:tab w:leader="none" w:pos="527" w:val="left"/>
        </w:tabs>
        <w:numPr>
          <w:ilvl w:val="1"/>
          <w:numId w:val="69"/>
        </w:numPr>
        <w:rPr>
          <w:rFonts w:ascii="Arial" w:cs="Arial" w:eastAsia="Arial" w:hAnsi="Arial"/>
          <w:sz w:val="15"/>
          <w:szCs w:val="15"/>
          <w:color w:val="auto"/>
        </w:rPr>
      </w:pPr>
      <w:r>
        <w:rPr>
          <w:rFonts w:ascii="Arial" w:cs="Arial" w:eastAsia="Arial" w:hAnsi="Arial"/>
          <w:sz w:val="18"/>
          <w:szCs w:val="18"/>
          <w:color w:val="auto"/>
        </w:rPr>
        <w:t>No Evergreen Provision. There is no automatic increase in the shares available for grant in this plan.</w:t>
      </w:r>
    </w:p>
    <w:p>
      <w:pPr>
        <w:spacing w:after="0" w:line="61" w:lineRule="exact"/>
        <w:rPr>
          <w:rFonts w:ascii="Arial" w:cs="Arial" w:eastAsia="Arial" w:hAnsi="Arial"/>
          <w:sz w:val="15"/>
          <w:szCs w:val="15"/>
          <w:color w:val="auto"/>
        </w:rPr>
      </w:pPr>
    </w:p>
    <w:p>
      <w:pPr>
        <w:ind w:left="546" w:right="180" w:hanging="276"/>
        <w:spacing w:after="0" w:line="246" w:lineRule="auto"/>
        <w:tabs>
          <w:tab w:leader="none" w:pos="581" w:val="left"/>
        </w:tabs>
        <w:numPr>
          <w:ilvl w:val="1"/>
          <w:numId w:val="69"/>
        </w:numPr>
        <w:rPr>
          <w:rFonts w:ascii="Arial" w:cs="Arial" w:eastAsia="Arial" w:hAnsi="Arial"/>
          <w:sz w:val="15"/>
          <w:szCs w:val="15"/>
          <w:color w:val="auto"/>
        </w:rPr>
      </w:pPr>
      <w:r>
        <w:rPr>
          <w:rFonts w:ascii="Arial" w:cs="Arial" w:eastAsia="Arial" w:hAnsi="Arial"/>
          <w:sz w:val="18"/>
          <w:szCs w:val="18"/>
          <w:color w:val="auto"/>
        </w:rPr>
        <w:t>Clawback. Cash and equity-based awards made under this plan are subject to the Company’s clawback policy.</w:t>
      </w:r>
    </w:p>
    <w:p>
      <w:pPr>
        <w:spacing w:after="0" w:line="61" w:lineRule="exact"/>
        <w:rPr>
          <w:rFonts w:ascii="Arial" w:cs="Arial" w:eastAsia="Arial" w:hAnsi="Arial"/>
          <w:sz w:val="15"/>
          <w:szCs w:val="15"/>
          <w:color w:val="auto"/>
        </w:rPr>
      </w:pPr>
    </w:p>
    <w:p>
      <w:pPr>
        <w:ind w:left="546" w:right="180" w:hanging="276"/>
        <w:spacing w:after="0" w:line="246" w:lineRule="auto"/>
        <w:tabs>
          <w:tab w:leader="none" w:pos="527" w:val="left"/>
        </w:tabs>
        <w:numPr>
          <w:ilvl w:val="1"/>
          <w:numId w:val="69"/>
        </w:numPr>
        <w:rPr>
          <w:rFonts w:ascii="Arial" w:cs="Arial" w:eastAsia="Arial" w:hAnsi="Arial"/>
          <w:sz w:val="15"/>
          <w:szCs w:val="15"/>
          <w:color w:val="auto"/>
        </w:rPr>
      </w:pPr>
      <w:r>
        <w:rPr>
          <w:rFonts w:ascii="Arial" w:cs="Arial" w:eastAsia="Arial" w:hAnsi="Arial"/>
          <w:sz w:val="18"/>
          <w:szCs w:val="18"/>
          <w:color w:val="auto"/>
        </w:rPr>
        <w:t>Individual Award Limits. The plan contains certain provisions establishing award maximums as described in this proposal.</w:t>
      </w:r>
    </w:p>
    <w:p>
      <w:pPr>
        <w:spacing w:after="0" w:line="61" w:lineRule="exact"/>
        <w:rPr>
          <w:rFonts w:ascii="Arial" w:cs="Arial" w:eastAsia="Arial" w:hAnsi="Arial"/>
          <w:sz w:val="15"/>
          <w:szCs w:val="15"/>
          <w:color w:val="auto"/>
        </w:rPr>
      </w:pPr>
    </w:p>
    <w:p>
      <w:pPr>
        <w:ind w:left="266" w:right="180" w:hanging="266"/>
        <w:spacing w:after="0" w:line="246" w:lineRule="auto"/>
        <w:tabs>
          <w:tab w:leader="none" w:pos="220" w:val="left"/>
        </w:tabs>
        <w:numPr>
          <w:ilvl w:val="0"/>
          <w:numId w:val="69"/>
        </w:numPr>
        <w:rPr>
          <w:rFonts w:ascii="Arial" w:cs="Arial" w:eastAsia="Arial" w:hAnsi="Arial"/>
          <w:sz w:val="18"/>
          <w:szCs w:val="18"/>
          <w:color w:val="003B71"/>
        </w:rPr>
      </w:pPr>
      <w:r>
        <w:rPr>
          <w:rFonts w:ascii="Arial" w:cs="Arial" w:eastAsia="Arial" w:hAnsi="Arial"/>
          <w:sz w:val="18"/>
          <w:szCs w:val="18"/>
          <w:color w:val="auto"/>
        </w:rPr>
        <w:t>Dividend Treatment. The plan prohibits payment of any dividends or dividend equivalents before the underlying awards vest.</w:t>
      </w:r>
    </w:p>
    <w:p>
      <w:pPr>
        <w:spacing w:after="0" w:line="129" w:lineRule="exact"/>
        <w:rPr>
          <w:rFonts w:ascii="Arial" w:cs="Arial" w:eastAsia="Arial" w:hAnsi="Arial"/>
          <w:sz w:val="18"/>
          <w:szCs w:val="18"/>
          <w:color w:val="003B71"/>
        </w:rPr>
      </w:pPr>
    </w:p>
    <w:p>
      <w:pPr>
        <w:jc w:val="both"/>
        <w:ind w:left="266" w:right="180" w:hanging="266"/>
        <w:spacing w:after="0"/>
        <w:tabs>
          <w:tab w:leader="none" w:pos="220" w:val="left"/>
        </w:tabs>
        <w:numPr>
          <w:ilvl w:val="0"/>
          <w:numId w:val="69"/>
        </w:numPr>
        <w:rPr>
          <w:rFonts w:ascii="Arial" w:cs="Arial" w:eastAsia="Arial" w:hAnsi="Arial"/>
          <w:sz w:val="18"/>
          <w:szCs w:val="18"/>
          <w:color w:val="003B71"/>
        </w:rPr>
      </w:pPr>
      <w:r>
        <w:rPr>
          <w:rFonts w:ascii="Arial" w:cs="Arial" w:eastAsia="Arial" w:hAnsi="Arial"/>
          <w:sz w:val="18"/>
          <w:szCs w:val="18"/>
          <w:color w:val="auto"/>
        </w:rPr>
        <w:t>If shareholders do not approve this proposal, we will continue to make cash and equity-based incentive awards from this plan as it is critical to our compensation philosophy and to support in the achievement of our strategic business objectives.</w:t>
      </w:r>
    </w:p>
    <w:p>
      <w:pPr>
        <w:spacing w:after="0" w:line="67" w:lineRule="exact"/>
        <w:rPr>
          <w:rFonts w:ascii="Arial" w:cs="Arial" w:eastAsia="Arial" w:hAnsi="Arial"/>
          <w:sz w:val="18"/>
          <w:szCs w:val="18"/>
          <w:color w:val="003B71"/>
        </w:rPr>
      </w:pPr>
    </w:p>
    <w:p>
      <w:pPr>
        <w:jc w:val="both"/>
        <w:ind w:left="266" w:right="160" w:hanging="266"/>
        <w:spacing w:after="0" w:line="238" w:lineRule="auto"/>
        <w:tabs>
          <w:tab w:leader="none" w:pos="220" w:val="left"/>
        </w:tabs>
        <w:numPr>
          <w:ilvl w:val="0"/>
          <w:numId w:val="69"/>
        </w:numPr>
        <w:rPr>
          <w:rFonts w:ascii="Arial" w:cs="Arial" w:eastAsia="Arial" w:hAnsi="Arial"/>
          <w:sz w:val="18"/>
          <w:szCs w:val="18"/>
          <w:color w:val="003B71"/>
        </w:rPr>
      </w:pPr>
      <w:r>
        <w:rPr>
          <w:rFonts w:ascii="Arial" w:cs="Arial" w:eastAsia="Arial" w:hAnsi="Arial"/>
          <w:sz w:val="18"/>
          <w:szCs w:val="18"/>
          <w:color w:val="auto"/>
        </w:rPr>
        <w:t>In the event there are insufficient shares available to be issued under the plan to settle awards granted thereunder, we will be required to grant some awards, or portions thereof, to be settled in cash. This could have an adverse impact on the Company’s cash flow from operations, financial position and results of operations.</w:t>
      </w:r>
    </w:p>
    <w:p>
      <w:pPr>
        <w:spacing w:after="0" w:line="69" w:lineRule="exact"/>
        <w:rPr>
          <w:rFonts w:ascii="Arial" w:cs="Arial" w:eastAsia="Arial" w:hAnsi="Arial"/>
          <w:sz w:val="18"/>
          <w:szCs w:val="18"/>
          <w:color w:val="003B71"/>
        </w:rPr>
      </w:pPr>
    </w:p>
    <w:p>
      <w:pPr>
        <w:jc w:val="both"/>
        <w:ind w:left="266" w:right="180" w:hanging="266"/>
        <w:spacing w:after="0" w:line="237" w:lineRule="auto"/>
        <w:tabs>
          <w:tab w:leader="none" w:pos="220" w:val="left"/>
        </w:tabs>
        <w:numPr>
          <w:ilvl w:val="0"/>
          <w:numId w:val="69"/>
        </w:numPr>
        <w:rPr>
          <w:rFonts w:ascii="Arial" w:cs="Arial" w:eastAsia="Arial" w:hAnsi="Arial"/>
          <w:sz w:val="18"/>
          <w:szCs w:val="18"/>
          <w:color w:val="003B71"/>
        </w:rPr>
      </w:pPr>
      <w:r>
        <w:rPr>
          <w:rFonts w:ascii="Arial" w:cs="Arial" w:eastAsia="Arial" w:hAnsi="Arial"/>
          <w:sz w:val="18"/>
          <w:szCs w:val="18"/>
          <w:color w:val="auto"/>
        </w:rPr>
        <w:t>In addition, under applicable accounting rules, if the Company determines at any time that there would be insufficient shares remaining under the plan to settle one or more awards granted thereunder with the issuance of shares, we will be required to classify and account for the equity-based awards, or portions thereof, to be settled in cash under one or both such plans as liabilities. This “liability accounting” could adversely impact the Company’s financial position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-4172585</wp:posOffset>
            </wp:positionV>
            <wp:extent cx="7003415" cy="42602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03415" cy="42602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634"/>
            <w:col w:w="8086"/>
          </w:cols>
          <w:pgMar w:left="320" w:top="459" w:right="439" w:bottom="1440" w:gutter="0" w:footer="0" w:header="0"/>
          <w:type w:val="continuous"/>
        </w:sectPr>
      </w:pP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Summary of the Plan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Options</w:t>
      </w:r>
    </w:p>
    <w:p>
      <w:pPr>
        <w:spacing w:after="0" w:line="122"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Plan is designed to permit the granting of options to all of our team members (of which there were approximately 15,908 team members as of February 2, 2020, 269 of whom served our corporate headquarters, 1,255 of who served as management personnel and the remainder of whom were hourly personnel), although we have historically granted options only to certain of our salaried team members. The administration of the Plan is provided by the Compensation Committee of the Board of Directors which has the authority to determine the terms on which options are granted under the Plan. The Compensation Committee determines the number of options to be granted to eligible participants, determines the exercise price, vesting period, and option period at the time the option is granted, and administers and interprets the Plan. The Plan provides that no option and no SAR (hereinafter defined) shall be granted with a time period for exercise greater than 10 years from the date of grant. Our recent option grants have been for time periods equal to 10 years.</w:t>
      </w:r>
    </w:p>
    <w:p>
      <w:pPr>
        <w:spacing w:after="0" w:line="208"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exercise price of options is payable in cash or the holder of an option may request approval from the Compensation Committee to exercise an option or a portion thereof by tendering shares of Common Stock at the fair market value per share on the date of exercise in lieu of cash payment of the exercise price.</w:t>
      </w:r>
    </w:p>
    <w:p>
      <w:pPr>
        <w:spacing w:after="0" w:line="12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15</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Both incentive stock options (“ISOs”) and non-qualified stock options may be granted under the Plan. The Plan requires that the exercise price of an option will not be less than 100% of the fair market value of the Common Stock on the date of the grant of the option, unless it is granted to a party with ownership possessing more than 10% of total combined voting power of the Common Stock of the Company. No ISO may be granted under the Plan to anyone who is not an employee of the Company or a “parent corporation” or a “subsidiary corporation” of the Company (as defined in Section 424 of the Internal Revenue Code). There is no limit on the fair market value of ISOs that may be granted to a team member in any calendar year, but no team member may be granted ISOs that first become exercisable during a calendar year for the purchase of stock with an aggregate fair market value (determined as of the date of grant of each option) in excess of $100,000 and no team member may be granted more than 500,000 options and SARs in a fiscal year. An option (or an installment thereof) counts against the annual limitation only in the year it first becomes exercisable.</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 Status of Stock Options</w:t>
      </w:r>
    </w:p>
    <w:p>
      <w:pPr>
        <w:spacing w:after="0" w:line="12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Pursuant to the Plan, the Compensation Committee determines whether an option will be either an “ISO” or a “non-qualified option.” In general, no taxable income will be recognized by the optionee, and no deduction will be allowed to us, upon the grant of an option.</w:t>
      </w:r>
    </w:p>
    <w:p>
      <w:pPr>
        <w:spacing w:after="0" w:line="179"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All stock options that qualify under the rules of Section 422 of the Internal Revenue Code will be entitled to ISO</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To receive ISO treatment, an optionee is not permitted to dispose of the acquired stock (i) within two years after the option is granted, or (ii) within one year after exercise. In addition, the individual must have been a team member of the Company for the entire time from the date of granting of the option until three months (one year if the team member is disabled) before the date of the exercise. The requirement that the individual be a team member and the two-year and one-year holding periods are waived in the case of death of the team member. If all such requirements are met, no tax will be imposed upon exercise of the option, and any gain upon sale of the stock will be entitled to capital gain treatment. The team member’s gain on exercise (the excess of fair market value at the time of exercise over the exercise price) of an ISO is a tax preference item and, accordingly, is included in the computation of alternative minimum taxable income.</w:t>
      </w:r>
    </w:p>
    <w:p>
      <w:pPr>
        <w:spacing w:after="0" w:line="209"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If a team member does not meet the two-year and one-year holding requirements, but does meet all other requirements, tax will be imposed at the time of sale of the stock, but the team member’s gain on exercise will be treated as ordinary income rather than a capital gain and we will receive a corresponding deduction at the time of sale. Any remaining gain on sale will be short-term or a long-term capital gain, depending on the holding period of the stock.</w:t>
      </w:r>
    </w:p>
    <w:p>
      <w:pPr>
        <w:spacing w:after="0" w:line="20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An optionee’s stock option agreement may permit payment for stock upon the exercise of an ISO to be made with other shares of Common Stock. In such a case, in general, if a team member uses stock acquired pursuant to the exercise of an ISO to acquire other stock in connection with the exercise of an ISO, it may result in ordinary income if the stock so used has not met the minimum statutory holding period necessary for favorable tax treatment as an ISO.</w:t>
      </w:r>
    </w:p>
    <w:p>
      <w:pPr>
        <w:spacing w:after="0" w:line="187" w:lineRule="exact"/>
        <w:rPr>
          <w:sz w:val="20"/>
          <w:szCs w:val="20"/>
          <w:color w:val="auto"/>
        </w:rPr>
      </w:pPr>
    </w:p>
    <w:p>
      <w:pPr>
        <w:jc w:val="both"/>
        <w:ind w:left="120" w:right="20"/>
        <w:spacing w:after="0" w:line="245" w:lineRule="auto"/>
        <w:rPr>
          <w:sz w:val="20"/>
          <w:szCs w:val="20"/>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Upon exercise of a non-qualified option, an optionee will recognize ordinary income (and we will be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to a corresponding tax deduction if applicable withholding requirements are satisfied) in an amount equal to the amount by which the fair market value of the shares on the exercise date exceeds the exercise price. Any additional gain or loss after exercise realized by an optionee on subsequent disposition of such shares generally is a capital gain or loss and does not result in a tax deduction to us.</w:t>
      </w:r>
    </w:p>
    <w:p>
      <w:pPr>
        <w:spacing w:after="0" w:line="18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i w:val="1"/>
          <w:iCs w:val="1"/>
          <w:color w:val="auto"/>
        </w:rPr>
        <w:t xml:space="preserve">Internal Revenue Code Section 162(m). </w:t>
      </w:r>
      <w:r>
        <w:rPr>
          <w:rFonts w:ascii="Arial" w:cs="Arial" w:eastAsia="Arial" w:hAnsi="Arial"/>
          <w:sz w:val="18"/>
          <w:szCs w:val="18"/>
          <w:color w:val="auto"/>
        </w:rPr>
        <w:t>Certain Awards previously made to executive officers under the Plan were and are intended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fully deductible under the “performance-based” compensation exception previously provided by Section 162(m) of the Code. As a result of the Tax Cuts and Jobs Act of 2017, for tax years beginning after December 31, 2017, Section 162(m) of the Code limits to $1 million the federal income tax deduction the Company can receive for annual individual compensation paid to certain current and former executive officers, subject to a transition rule for written binding contracts in effect on November 2, 2017, and not materially modified after that date. Prior to such statute, Section 162(m)’s deduction limit included an exception for “performance-based” compensation that permitted qualifying compensation to be deductible even if it exceeded the $1 million limit. At the original approval of the Plan, the shareholders approved limitations and provisions required to be included under Section 162(m). Now that the performance-based compensation exception is no longer available, the Company is no</w:t>
      </w:r>
    </w:p>
    <w:p>
      <w:pPr>
        <w:spacing w:after="0" w:line="133"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16</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longer required to make specific Section 162(m)-related limitations or provisions in Awards or to request shareholder approval for this purpose, as there is no tax benefit from doing so.</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Appreciation Rights and Stock Awards</w:t>
      </w:r>
    </w:p>
    <w:p>
      <w:pPr>
        <w:spacing w:after="0" w:line="122"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Plan also permits, among other things, (i) the issuance of stock appreciation rights (“SARs”) and (ii) restricted stock, restricted stock units and other stock-based awards (collectively, “Stock Awards”) (SARs and Stock Awards are collectively referred to as “Awards”). All of our employees, directors and independent consultants are eligible to receive Awards under the Plan, although it is anticipated that only certain salaried team members will receive Awards. When an Award is made, the Compensation Committee will determine all of the terms and conditions applicable to the Award as it deems appropriate.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 Status of SARs and Stock Awards</w:t>
      </w:r>
    </w:p>
    <w:p>
      <w:pPr>
        <w:spacing w:after="0" w:line="122"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Under the Internal Revenue Code, except as described below, if Awards are made in the form of restricted stock, restricted stock units, or performance shares, no income will be realized by the team member upon such award unless the award fully vests upon the date of award or the award is restricted stock with no risk of substantial forfeiture. When restricted stock, restricted stock units or performance shares vest, the team member will recognize ordinary compensation income equal to the then fair market value of the shares or units. With regard to Awards of restricted stock, a team member may elect to make a “Section 83(b) election” under the Internal Revenue Code, in which case the team member will recognize income on the fair market value of the restricted stock at the time the shares are granted. A Section 83(b) election must be made within 30 days after the restricted stock is granted. We generally will be entitled to a federal income tax deduction at the time the team member recognizes income on the restricted stock, restricted stock units or performance shares.</w:t>
      </w:r>
    </w:p>
    <w:p>
      <w:pPr>
        <w:spacing w:after="0" w:line="208"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If Awards are made in the form of SARs, no income will be realized by the team member upon the award of SARs. When the SARs vest, the team member will recognize ordinary compensation income equal to the cash value of the SARs. We generally will be entitled to a federal income tax deduction at the time the team member recognizes income on the SARs.</w:t>
      </w:r>
    </w:p>
    <w:p>
      <w:pPr>
        <w:spacing w:after="0" w:line="20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Plan and any Awards granted under it are intended to be exempt from the requirements of Section 409(A) of the Internal Revenue Code or will be structured to not cause a team member to be subject to taxes and interest under Section 409(A).</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Acceleration of Exercisability and Vesting</w:t>
      </w:r>
    </w:p>
    <w:p>
      <w:pPr>
        <w:spacing w:after="0" w:line="122"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Subject to the terms of any individual grant agreement, all options and Awards under the Plan will become immediately exercisable and vested in full if there is a sale or other transfer of all or substantially all of the assets of the Company on a consolidated basis, the acquisition of beneficial ownership by a party, directly or indirectly, of the securities representing 50% or more of the voting rights for directors of the Company, and during any three year period following a “solicitation in opposition,” there is a failure of a majority of persons nominated by management over said three year period to win election to seats on the Board of Directors (based upon the number of seats available at the beginning of such three year period). Full or partial acceleration of vesting will occur in the event of death, disability or involuntary termination. The Compensation Committee may accelerate vesting, in whole or in part, under such circumstances as the Compensation Committee deems appropriate, but subject to the requirements of Section 162(m) of the Internal Revenue Code.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Cessation of Employment</w:t>
      </w:r>
    </w:p>
    <w:p>
      <w:pPr>
        <w:spacing w:after="0" w:line="122"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Pursuant to grants previously made under the Plan, all stock options will terminate on the day on which the executive officer is no longer employed by us due to the termination of such employment for cause. Due to a termination of employment caused by reason of death or disability of the executive officer, any unvested portion of stock options shall immediately become vested and all vested options shall remain exercisable until the earlier of (a) one year following the date of death or disability and (b) the expiration of the option term. Upon the termination of employment by reason of retirement (defined as termination of employment other than for cause, after obtaining (i) age 60 and completing ten years of continued service with the Company or (ii) age 65), the unvested portion of the stock option shall continue to vest on each remaining vesting date and the vested portion of the stock option shall</w:t>
      </w:r>
    </w:p>
    <w:p>
      <w:pPr>
        <w:spacing w:after="0" w:line="12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17</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remain exercisable until the expiration of the option term. Upon the termination of employment for any reason other than those described above, any unvested portion of the option shall immediately terminate and be forfeited without consideration and the vested stock options shall remain exercisable until the earlier of (x) 90 days following such termination of employment and (y) the expiration of the option term. Future award agreements will specify the effect of a holder’s termination of employment, including the extent to which equity grants will be forfeited and the extent to which awards requiring exercise will remain exercisable. Such provisions will be determined in the sole discretion of the Compensation Committee.</w:t>
      </w:r>
    </w:p>
    <w:p>
      <w:pPr>
        <w:spacing w:after="0" w:line="20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If there is a change of control of the Company, then, unless prohibited by law, the Compensation Committee is authorized (but not obligated) to make adjustments to the terms and conditions of outstanding awards, including, without limitation, continuation or assumption of outstanding awards; substitution of new awards with substantially the same terms as outstanding awards; accelerated exercisability, vesting and/or lapse of restrictions for outstanding awards immediately prior to the occurrence of such event; upon written notice, provision that any outstanding awards must be exercised, to the extent then exercisable, during a specified period determined by the Compensation Committee (contingent upon the consummation of the change of control), following which unexercised awards shall terminate; and cancellation of all or any portion of outstanding awards for fair market value (which may be the intrinsic value of an option or SAR and may be zero); and cancellation of all or any portion of outstanding awards for fair value (as determined in the sole discretion of the Compensation Committee and which may be zero).</w:t>
      </w:r>
    </w:p>
    <w:p>
      <w:pPr>
        <w:spacing w:after="0" w:line="207"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Under the Plan, a change of control generally is triggered by the occurrence of any of the following: (i) an acquisition of 30% or more of the outstanding shares or the voting power of the outstanding securities generally entitled to vote in the election of directors; (ii) with certain exceptions, individuals on the Board of Directors on the date of effectiveness of the plan cease to constitute a majority of the Board of Directors; (iii) consummation of a reorganization, merger, amalgamation, statutory share exchange, consolidation or like event to which the Company is a party or a sale or disposition of all or substantially all of the Company’s assets, unless the Company’s stockholders continue to own more than 50% of the outstanding voting securities, no person beneficially owns 30% or more of the outstanding securities of the Company and at least a majority of the members of the Board of Directors after such event were members of the Board of Directors prior to the event; or (iv) a complete liquidation or dissolution of the Company.</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Amendments</w:t>
      </w:r>
    </w:p>
    <w:p>
      <w:pPr>
        <w:spacing w:after="0" w:line="122"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Compensation Committee may amend, alter, suspend, discontinue, or terminate (an “Action”) the Plan or any portion thereof or any Award (or award agreement) thereunder at any time; provided, that no such Action shall be made without shareholder approval (i) if such approval is necessary to comply with any tax or regulatory requirement applicable to the Plan, (ii) if such Action increases the number of shares available under the Plan, (iii) if such Action results in a material increase in benefits permitted under the Plan (but excluding increases that are immaterial or that are minor and to benefit the administration of the Plan, to take account of any changes in applicable law, or to obtain or maintain favorable tax, exchange, or regulatory treatment for the Company) or a change in eligibility requirements under the Plan, or (iv) for any Action that results in a reduction of the exercise price or grant price of an Award in exchange for cash, or for other Awards, with a lower exercise price or grant price. Further, the written consent of the affected participant is required if such Action would materially diminish the rights of the participant under a previously granted award. However, the Compensation Committee may amend the Plan, any Award or any award agreement without consent in such manner as it deems necessary to comply with applicable laws, including without limitation, the Dodd-Frank Wall Street Reform and Consumer Protection Act.</w:t>
      </w:r>
    </w:p>
    <w:p>
      <w:pPr>
        <w:spacing w:after="0" w:line="129"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18</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Current Information Regarding Plan</w:t>
      </w: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003B71"/>
        </w:rPr>
        <w:t>Current Plan Information as of February 2, 2020(1)</w:t>
      </w: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1320" w:type="dxa"/>
            <w:vAlign w:val="bottom"/>
            <w:tcBorders>
              <w:top w:val="single" w:sz="8" w:color="003B71"/>
            </w:tcBorders>
          </w:tcPr>
          <w:p>
            <w:pPr>
              <w:spacing w:after="0"/>
              <w:rPr>
                <w:sz w:val="12"/>
                <w:szCs w:val="12"/>
                <w:color w:val="auto"/>
              </w:rPr>
            </w:pPr>
          </w:p>
        </w:tc>
        <w:tc>
          <w:tcPr>
            <w:tcW w:w="600" w:type="dxa"/>
            <w:vAlign w:val="bottom"/>
            <w:tcBorders>
              <w:top w:val="single" w:sz="8" w:color="003B71"/>
            </w:tcBorders>
          </w:tcPr>
          <w:p>
            <w:pPr>
              <w:spacing w:after="0"/>
              <w:rPr>
                <w:sz w:val="12"/>
                <w:szCs w:val="12"/>
                <w:color w:val="auto"/>
              </w:rPr>
            </w:pPr>
          </w:p>
        </w:tc>
        <w:tc>
          <w:tcPr>
            <w:tcW w:w="540" w:type="dxa"/>
            <w:vAlign w:val="bottom"/>
            <w:tcBorders>
              <w:top w:val="single" w:sz="8" w:color="003B71"/>
            </w:tcBorders>
          </w:tcPr>
          <w:p>
            <w:pPr>
              <w:spacing w:after="0"/>
              <w:rPr>
                <w:sz w:val="12"/>
                <w:szCs w:val="12"/>
                <w:color w:val="auto"/>
              </w:rPr>
            </w:pPr>
          </w:p>
        </w:tc>
        <w:tc>
          <w:tcPr>
            <w:tcW w:w="3320" w:type="dxa"/>
            <w:vAlign w:val="bottom"/>
            <w:tcBorders>
              <w:top w:val="single" w:sz="8" w:color="003B71"/>
            </w:tcBorders>
            <w:gridSpan w:val="8"/>
          </w:tcPr>
          <w:p>
            <w:pPr>
              <w:ind w:left="80"/>
              <w:spacing w:after="0" w:line="142" w:lineRule="exact"/>
              <w:rPr>
                <w:sz w:val="20"/>
                <w:szCs w:val="20"/>
                <w:color w:val="auto"/>
              </w:rPr>
            </w:pPr>
            <w:r>
              <w:rPr>
                <w:rFonts w:ascii="Arial" w:cs="Arial" w:eastAsia="Arial" w:hAnsi="Arial"/>
                <w:sz w:val="13"/>
                <w:szCs w:val="13"/>
                <w:b w:val="1"/>
                <w:bCs w:val="1"/>
                <w:color w:val="003B71"/>
              </w:rPr>
              <w:t>Stock Option and Employee Incentive Plan</w:t>
            </w:r>
          </w:p>
        </w:tc>
        <w:tc>
          <w:tcPr>
            <w:tcW w:w="780" w:type="dxa"/>
            <w:vAlign w:val="bottom"/>
            <w:tcBorders>
              <w:top w:val="single" w:sz="8" w:color="003B71"/>
            </w:tcBorders>
          </w:tcPr>
          <w:p>
            <w:pPr>
              <w:spacing w:after="0"/>
              <w:rPr>
                <w:sz w:val="12"/>
                <w:szCs w:val="12"/>
                <w:color w:val="auto"/>
              </w:rPr>
            </w:pPr>
          </w:p>
        </w:tc>
        <w:tc>
          <w:tcPr>
            <w:tcW w:w="640" w:type="dxa"/>
            <w:vAlign w:val="bottom"/>
            <w:tcBorders>
              <w:top w:val="single" w:sz="8" w:color="003B71"/>
            </w:tcBorders>
          </w:tcPr>
          <w:p>
            <w:pPr>
              <w:spacing w:after="0"/>
              <w:rPr>
                <w:sz w:val="12"/>
                <w:szCs w:val="12"/>
                <w:color w:val="auto"/>
              </w:rPr>
            </w:pPr>
          </w:p>
        </w:tc>
        <w:tc>
          <w:tcPr>
            <w:tcW w:w="360" w:type="dxa"/>
            <w:vAlign w:val="bottom"/>
            <w:tcBorders>
              <w:top w:val="single" w:sz="8" w:color="003B71"/>
            </w:tcBorders>
          </w:tcPr>
          <w:p>
            <w:pPr>
              <w:spacing w:after="0"/>
              <w:rPr>
                <w:sz w:val="12"/>
                <w:szCs w:val="12"/>
                <w:color w:val="auto"/>
              </w:rPr>
            </w:pPr>
          </w:p>
        </w:tc>
        <w:tc>
          <w:tcPr>
            <w:tcW w:w="180" w:type="dxa"/>
            <w:vAlign w:val="bottom"/>
            <w:tcBorders>
              <w:top w:val="single" w:sz="8" w:color="003B71"/>
            </w:tcBorders>
          </w:tcPr>
          <w:p>
            <w:pPr>
              <w:spacing w:after="0"/>
              <w:rPr>
                <w:sz w:val="12"/>
                <w:szCs w:val="12"/>
                <w:color w:val="auto"/>
              </w:rPr>
            </w:pPr>
          </w:p>
        </w:tc>
        <w:tc>
          <w:tcPr>
            <w:tcW w:w="3280" w:type="dxa"/>
            <w:vAlign w:val="bottom"/>
            <w:tcBorders>
              <w:top w:val="single" w:sz="8" w:color="003B71"/>
            </w:tcBorders>
            <w:gridSpan w:val="5"/>
          </w:tcPr>
          <w:p>
            <w:pPr>
              <w:jc w:val="center"/>
              <w:ind w:right="40"/>
              <w:spacing w:after="0" w:line="142" w:lineRule="exact"/>
              <w:rPr>
                <w:sz w:val="20"/>
                <w:szCs w:val="20"/>
                <w:color w:val="auto"/>
              </w:rPr>
            </w:pPr>
            <w:r>
              <w:rPr>
                <w:rFonts w:ascii="Arial" w:cs="Arial" w:eastAsia="Arial" w:hAnsi="Arial"/>
                <w:sz w:val="13"/>
                <w:szCs w:val="13"/>
                <w:b w:val="1"/>
                <w:bCs w:val="1"/>
                <w:color w:val="003B71"/>
                <w:w w:val="96"/>
              </w:rPr>
              <w:t>The Plan and All Previous Plans</w:t>
            </w:r>
          </w:p>
        </w:tc>
        <w:tc>
          <w:tcPr>
            <w:tcW w:w="0" w:type="dxa"/>
            <w:vAlign w:val="bottom"/>
          </w:tcPr>
          <w:p>
            <w:pPr>
              <w:spacing w:after="0"/>
              <w:rPr>
                <w:sz w:val="1"/>
                <w:szCs w:val="1"/>
                <w:color w:val="auto"/>
              </w:rPr>
            </w:pPr>
          </w:p>
        </w:tc>
      </w:tr>
      <w:tr>
        <w:trPr>
          <w:trHeight w:val="107"/>
        </w:trPr>
        <w:tc>
          <w:tcPr>
            <w:tcW w:w="1320" w:type="dxa"/>
            <w:vAlign w:val="bottom"/>
            <w:tcBorders>
              <w:top w:val="single" w:sz="8" w:color="003B71"/>
            </w:tcBorders>
          </w:tcPr>
          <w:p>
            <w:pPr>
              <w:spacing w:after="0"/>
              <w:rPr>
                <w:sz w:val="9"/>
                <w:szCs w:val="9"/>
                <w:color w:val="auto"/>
              </w:rPr>
            </w:pPr>
          </w:p>
        </w:tc>
        <w:tc>
          <w:tcPr>
            <w:tcW w:w="600" w:type="dxa"/>
            <w:vAlign w:val="bottom"/>
            <w:tcBorders>
              <w:top w:val="single" w:sz="8" w:color="003B71"/>
            </w:tcBorders>
          </w:tcPr>
          <w:p>
            <w:pPr>
              <w:spacing w:after="0"/>
              <w:rPr>
                <w:sz w:val="9"/>
                <w:szCs w:val="9"/>
                <w:color w:val="auto"/>
              </w:rPr>
            </w:pPr>
          </w:p>
        </w:tc>
        <w:tc>
          <w:tcPr>
            <w:tcW w:w="2000" w:type="dxa"/>
            <w:vAlign w:val="bottom"/>
            <w:tcBorders>
              <w:top w:val="single" w:sz="8" w:color="003B71"/>
            </w:tcBorders>
            <w:gridSpan w:val="4"/>
            <w:vMerge w:val="restart"/>
          </w:tcPr>
          <w:p>
            <w:pPr>
              <w:ind w:left="100"/>
              <w:spacing w:after="0"/>
              <w:rPr>
                <w:sz w:val="20"/>
                <w:szCs w:val="20"/>
                <w:color w:val="auto"/>
              </w:rPr>
            </w:pPr>
            <w:r>
              <w:rPr>
                <w:rFonts w:ascii="Arial" w:cs="Arial" w:eastAsia="Arial" w:hAnsi="Arial"/>
                <w:sz w:val="13"/>
                <w:szCs w:val="13"/>
                <w:b w:val="1"/>
                <w:bCs w:val="1"/>
                <w:color w:val="003B71"/>
              </w:rPr>
              <w:t>Outstanding Stock Options</w:t>
            </w:r>
          </w:p>
        </w:tc>
        <w:tc>
          <w:tcPr>
            <w:tcW w:w="520" w:type="dxa"/>
            <w:vAlign w:val="bottom"/>
            <w:tcBorders>
              <w:top w:val="single" w:sz="8" w:color="003B71"/>
            </w:tcBorders>
          </w:tcPr>
          <w:p>
            <w:pPr>
              <w:spacing w:after="0"/>
              <w:rPr>
                <w:sz w:val="9"/>
                <w:szCs w:val="9"/>
                <w:color w:val="auto"/>
              </w:rPr>
            </w:pPr>
          </w:p>
        </w:tc>
        <w:tc>
          <w:tcPr>
            <w:tcW w:w="300" w:type="dxa"/>
            <w:vAlign w:val="bottom"/>
            <w:tcBorders>
              <w:top w:val="single" w:sz="8" w:color="003B71"/>
            </w:tcBorders>
          </w:tcPr>
          <w:p>
            <w:pPr>
              <w:spacing w:after="0"/>
              <w:rPr>
                <w:sz w:val="9"/>
                <w:szCs w:val="9"/>
                <w:color w:val="auto"/>
              </w:rPr>
            </w:pPr>
          </w:p>
        </w:tc>
        <w:tc>
          <w:tcPr>
            <w:tcW w:w="80" w:type="dxa"/>
            <w:vAlign w:val="bottom"/>
            <w:tcBorders>
              <w:top w:val="single" w:sz="8" w:color="003B71"/>
            </w:tcBorders>
          </w:tcPr>
          <w:p>
            <w:pPr>
              <w:spacing w:after="0"/>
              <w:rPr>
                <w:sz w:val="9"/>
                <w:szCs w:val="9"/>
                <w:color w:val="auto"/>
              </w:rPr>
            </w:pPr>
          </w:p>
        </w:tc>
        <w:tc>
          <w:tcPr>
            <w:tcW w:w="800" w:type="dxa"/>
            <w:vAlign w:val="bottom"/>
            <w:tcBorders>
              <w:top w:val="single" w:sz="8" w:color="003B71"/>
            </w:tcBorders>
          </w:tcPr>
          <w:p>
            <w:pPr>
              <w:spacing w:after="0"/>
              <w:rPr>
                <w:sz w:val="9"/>
                <w:szCs w:val="9"/>
                <w:color w:val="auto"/>
              </w:rPr>
            </w:pPr>
          </w:p>
        </w:tc>
        <w:tc>
          <w:tcPr>
            <w:tcW w:w="160" w:type="dxa"/>
            <w:vAlign w:val="bottom"/>
            <w:tcBorders>
              <w:top w:val="single" w:sz="8" w:color="003B71"/>
            </w:tcBorders>
          </w:tcPr>
          <w:p>
            <w:pPr>
              <w:spacing w:after="0"/>
              <w:rPr>
                <w:sz w:val="9"/>
                <w:szCs w:val="9"/>
                <w:color w:val="auto"/>
              </w:rPr>
            </w:pPr>
          </w:p>
        </w:tc>
        <w:tc>
          <w:tcPr>
            <w:tcW w:w="780" w:type="dxa"/>
            <w:vAlign w:val="bottom"/>
            <w:tcBorders>
              <w:top w:val="single" w:sz="8" w:color="003B71"/>
            </w:tcBorders>
          </w:tcPr>
          <w:p>
            <w:pPr>
              <w:spacing w:after="0"/>
              <w:rPr>
                <w:sz w:val="9"/>
                <w:szCs w:val="9"/>
                <w:color w:val="auto"/>
              </w:rPr>
            </w:pPr>
          </w:p>
        </w:tc>
        <w:tc>
          <w:tcPr>
            <w:tcW w:w="640" w:type="dxa"/>
            <w:vAlign w:val="bottom"/>
            <w:tcBorders>
              <w:top w:val="single" w:sz="8" w:color="003B71"/>
            </w:tcBorders>
          </w:tcPr>
          <w:p>
            <w:pPr>
              <w:spacing w:after="0"/>
              <w:rPr>
                <w:sz w:val="9"/>
                <w:szCs w:val="9"/>
                <w:color w:val="auto"/>
              </w:rPr>
            </w:pPr>
          </w:p>
        </w:tc>
        <w:tc>
          <w:tcPr>
            <w:tcW w:w="360" w:type="dxa"/>
            <w:vAlign w:val="bottom"/>
            <w:tcBorders>
              <w:top w:val="single" w:sz="8" w:color="003B71"/>
            </w:tcBorders>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top w:val="single" w:sz="8" w:color="003B71"/>
            </w:tcBorders>
          </w:tcPr>
          <w:p>
            <w:pPr>
              <w:spacing w:after="0"/>
              <w:rPr>
                <w:sz w:val="9"/>
                <w:szCs w:val="9"/>
                <w:color w:val="auto"/>
              </w:rPr>
            </w:pPr>
          </w:p>
        </w:tc>
        <w:tc>
          <w:tcPr>
            <w:tcW w:w="1620" w:type="dxa"/>
            <w:vAlign w:val="bottom"/>
            <w:tcBorders>
              <w:top w:val="single" w:sz="8" w:color="003B71"/>
            </w:tcBorders>
            <w:gridSpan w:val="2"/>
          </w:tcPr>
          <w:p>
            <w:pPr>
              <w:jc w:val="center"/>
              <w:spacing w:after="0" w:line="107" w:lineRule="exact"/>
              <w:rPr>
                <w:sz w:val="20"/>
                <w:szCs w:val="20"/>
                <w:color w:val="auto"/>
              </w:rPr>
            </w:pPr>
            <w:r>
              <w:rPr>
                <w:rFonts w:ascii="Arial" w:cs="Arial" w:eastAsia="Arial" w:hAnsi="Arial"/>
                <w:sz w:val="12"/>
                <w:szCs w:val="12"/>
                <w:b w:val="1"/>
                <w:bCs w:val="1"/>
                <w:color w:val="003B71"/>
              </w:rPr>
              <w:t>Combined Outstanding</w:t>
            </w:r>
          </w:p>
        </w:tc>
        <w:tc>
          <w:tcPr>
            <w:tcW w:w="840" w:type="dxa"/>
            <w:vAlign w:val="bottom"/>
            <w:tcBorders>
              <w:top w:val="single" w:sz="8" w:color="003B71"/>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0" w:type="dxa"/>
            <w:vAlign w:val="bottom"/>
            <w:gridSpan w:val="4"/>
            <w:vMerge w:val="continue"/>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4"/>
          </w:tcPr>
          <w:p>
            <w:pPr>
              <w:ind w:left="100"/>
              <w:spacing w:after="0"/>
              <w:rPr>
                <w:sz w:val="20"/>
                <w:szCs w:val="20"/>
                <w:color w:val="auto"/>
              </w:rPr>
            </w:pPr>
            <w:r>
              <w:rPr>
                <w:rFonts w:ascii="Arial" w:cs="Arial" w:eastAsia="Arial" w:hAnsi="Arial"/>
                <w:sz w:val="13"/>
                <w:szCs w:val="13"/>
                <w:b w:val="1"/>
                <w:bCs w:val="1"/>
                <w:color w:val="003B71"/>
              </w:rPr>
              <w:t>Outstanding Stock Awards</w:t>
            </w:r>
          </w:p>
        </w:tc>
        <w:tc>
          <w:tcPr>
            <w:tcW w:w="780" w:type="dxa"/>
            <w:vAlign w:val="bottom"/>
          </w:tcPr>
          <w:p>
            <w:pPr>
              <w:spacing w:after="0"/>
              <w:rPr>
                <w:sz w:val="13"/>
                <w:szCs w:val="13"/>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003B71"/>
                <w:w w:val="95"/>
              </w:rPr>
              <w:t>Stock Options</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320" w:type="dxa"/>
            <w:vAlign w:val="bottom"/>
            <w:tcBorders>
              <w:top w:val="single" w:sz="8" w:color="003B71"/>
            </w:tcBorders>
          </w:tcPr>
          <w:p>
            <w:pPr>
              <w:spacing w:after="0"/>
              <w:rPr>
                <w:sz w:val="9"/>
                <w:szCs w:val="9"/>
                <w:color w:val="auto"/>
              </w:rPr>
            </w:pPr>
          </w:p>
        </w:tc>
        <w:tc>
          <w:tcPr>
            <w:tcW w:w="600" w:type="dxa"/>
            <w:vAlign w:val="bottom"/>
            <w:tcBorders>
              <w:top w:val="single" w:sz="8" w:color="003B71"/>
            </w:tcBorders>
          </w:tcPr>
          <w:p>
            <w:pPr>
              <w:spacing w:after="0"/>
              <w:rPr>
                <w:sz w:val="9"/>
                <w:szCs w:val="9"/>
                <w:color w:val="auto"/>
              </w:rPr>
            </w:pPr>
          </w:p>
        </w:tc>
        <w:tc>
          <w:tcPr>
            <w:tcW w:w="540" w:type="dxa"/>
            <w:vAlign w:val="bottom"/>
            <w:tcBorders>
              <w:top w:val="single" w:sz="8" w:color="003B71"/>
            </w:tcBorders>
          </w:tcPr>
          <w:p>
            <w:pPr>
              <w:spacing w:after="0"/>
              <w:rPr>
                <w:sz w:val="9"/>
                <w:szCs w:val="9"/>
                <w:color w:val="auto"/>
              </w:rPr>
            </w:pPr>
          </w:p>
        </w:tc>
        <w:tc>
          <w:tcPr>
            <w:tcW w:w="540" w:type="dxa"/>
            <w:vAlign w:val="bottom"/>
            <w:tcBorders>
              <w:top w:val="single" w:sz="8" w:color="003B71"/>
            </w:tcBorders>
          </w:tcPr>
          <w:p>
            <w:pPr>
              <w:spacing w:after="0"/>
              <w:rPr>
                <w:sz w:val="9"/>
                <w:szCs w:val="9"/>
                <w:color w:val="auto"/>
              </w:rPr>
            </w:pPr>
          </w:p>
        </w:tc>
        <w:tc>
          <w:tcPr>
            <w:tcW w:w="80" w:type="dxa"/>
            <w:vAlign w:val="bottom"/>
            <w:tcBorders>
              <w:top w:val="single" w:sz="8" w:color="003B71"/>
            </w:tcBorders>
          </w:tcPr>
          <w:p>
            <w:pPr>
              <w:spacing w:after="0"/>
              <w:rPr>
                <w:sz w:val="9"/>
                <w:szCs w:val="9"/>
                <w:color w:val="auto"/>
              </w:rPr>
            </w:pPr>
          </w:p>
        </w:tc>
        <w:tc>
          <w:tcPr>
            <w:tcW w:w="840" w:type="dxa"/>
            <w:vAlign w:val="bottom"/>
            <w:tcBorders>
              <w:top w:val="single" w:sz="8" w:color="003B71"/>
            </w:tcBorders>
          </w:tcPr>
          <w:p>
            <w:pPr>
              <w:spacing w:after="0"/>
              <w:rPr>
                <w:sz w:val="9"/>
                <w:szCs w:val="9"/>
                <w:color w:val="auto"/>
              </w:rPr>
            </w:pPr>
          </w:p>
        </w:tc>
        <w:tc>
          <w:tcPr>
            <w:tcW w:w="900" w:type="dxa"/>
            <w:vAlign w:val="bottom"/>
            <w:tcBorders>
              <w:top w:val="single" w:sz="8" w:color="003B71"/>
            </w:tcBorders>
            <w:gridSpan w:val="3"/>
          </w:tcPr>
          <w:p>
            <w:pPr>
              <w:jc w:val="center"/>
              <w:ind w:right="80"/>
              <w:spacing w:after="0" w:line="107" w:lineRule="exact"/>
              <w:rPr>
                <w:sz w:val="20"/>
                <w:szCs w:val="20"/>
                <w:color w:val="auto"/>
              </w:rPr>
            </w:pPr>
            <w:r>
              <w:rPr>
                <w:rFonts w:ascii="Arial" w:cs="Arial" w:eastAsia="Arial" w:hAnsi="Arial"/>
                <w:sz w:val="12"/>
                <w:szCs w:val="12"/>
                <w:b w:val="1"/>
                <w:bCs w:val="1"/>
                <w:color w:val="003B71"/>
              </w:rPr>
              <w:t>Range of</w:t>
            </w:r>
          </w:p>
        </w:tc>
        <w:tc>
          <w:tcPr>
            <w:tcW w:w="800" w:type="dxa"/>
            <w:vAlign w:val="bottom"/>
            <w:tcBorders>
              <w:top w:val="single" w:sz="8" w:color="003B71"/>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top w:val="single" w:sz="8" w:color="003B71"/>
            </w:tcBorders>
          </w:tcPr>
          <w:p>
            <w:pPr>
              <w:spacing w:after="0"/>
              <w:rPr>
                <w:sz w:val="9"/>
                <w:szCs w:val="9"/>
                <w:color w:val="auto"/>
              </w:rPr>
            </w:pPr>
          </w:p>
        </w:tc>
        <w:tc>
          <w:tcPr>
            <w:tcW w:w="640" w:type="dxa"/>
            <w:vAlign w:val="bottom"/>
            <w:tcBorders>
              <w:top w:val="single" w:sz="8" w:color="003B71"/>
            </w:tcBorders>
          </w:tcPr>
          <w:p>
            <w:pPr>
              <w:spacing w:after="0"/>
              <w:rPr>
                <w:sz w:val="9"/>
                <w:szCs w:val="9"/>
                <w:color w:val="auto"/>
              </w:rPr>
            </w:pPr>
          </w:p>
        </w:tc>
        <w:tc>
          <w:tcPr>
            <w:tcW w:w="360" w:type="dxa"/>
            <w:vAlign w:val="bottom"/>
            <w:tcBorders>
              <w:top w:val="single" w:sz="8" w:color="003B71"/>
            </w:tcBorders>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top w:val="single" w:sz="8" w:color="003B71"/>
            </w:tcBorders>
          </w:tcPr>
          <w:p>
            <w:pPr>
              <w:spacing w:after="0"/>
              <w:rPr>
                <w:sz w:val="9"/>
                <w:szCs w:val="9"/>
                <w:color w:val="auto"/>
              </w:rPr>
            </w:pPr>
          </w:p>
        </w:tc>
        <w:tc>
          <w:tcPr>
            <w:tcW w:w="740" w:type="dxa"/>
            <w:vAlign w:val="bottom"/>
            <w:tcBorders>
              <w:top w:val="single" w:sz="8" w:color="003B71"/>
            </w:tcBorders>
          </w:tcPr>
          <w:p>
            <w:pPr>
              <w:spacing w:after="0"/>
              <w:rPr>
                <w:sz w:val="9"/>
                <w:szCs w:val="9"/>
                <w:color w:val="auto"/>
              </w:rPr>
            </w:pPr>
          </w:p>
        </w:tc>
        <w:tc>
          <w:tcPr>
            <w:tcW w:w="880" w:type="dxa"/>
            <w:vAlign w:val="bottom"/>
            <w:tcBorders>
              <w:top w:val="single" w:sz="8" w:color="003B71"/>
            </w:tcBorders>
          </w:tcPr>
          <w:p>
            <w:pPr>
              <w:spacing w:after="0"/>
              <w:rPr>
                <w:sz w:val="9"/>
                <w:szCs w:val="9"/>
                <w:color w:val="auto"/>
              </w:rPr>
            </w:pPr>
          </w:p>
        </w:tc>
        <w:tc>
          <w:tcPr>
            <w:tcW w:w="840" w:type="dxa"/>
            <w:vAlign w:val="bottom"/>
            <w:tcBorders>
              <w:top w:val="single" w:sz="8" w:color="003B71"/>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003B71"/>
                <w:w w:val="96"/>
              </w:rPr>
              <w:t>Remaining</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003B71"/>
                <w:w w:val="93"/>
              </w:rPr>
              <w:t>Range of</w:t>
            </w:r>
          </w:p>
        </w:tc>
        <w:tc>
          <w:tcPr>
            <w:tcW w:w="840" w:type="dxa"/>
            <w:vAlign w:val="bottom"/>
          </w:tcPr>
          <w:p>
            <w:pPr>
              <w:spacing w:after="0"/>
              <w:rPr>
                <w:sz w:val="11"/>
                <w:szCs w:val="11"/>
                <w:color w:val="auto"/>
              </w:rPr>
            </w:pP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003B71"/>
                <w:w w:val="96"/>
              </w:rPr>
              <w:t>Contractual</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003B71"/>
                <w:w w:val="94"/>
              </w:rPr>
              <w:t>Option Prices</w:t>
            </w:r>
          </w:p>
        </w:tc>
        <w:tc>
          <w:tcPr>
            <w:tcW w:w="840" w:type="dxa"/>
            <w:vAlign w:val="bottom"/>
          </w:tcPr>
          <w:p>
            <w:pPr>
              <w:spacing w:after="0"/>
              <w:rPr>
                <w:sz w:val="13"/>
                <w:szCs w:val="13"/>
                <w:color w:val="auto"/>
              </w:rPr>
            </w:pPr>
          </w:p>
        </w:tc>
        <w:tc>
          <w:tcPr>
            <w:tcW w:w="520" w:type="dxa"/>
            <w:vAlign w:val="bottom"/>
          </w:tcPr>
          <w:p>
            <w:pPr>
              <w:jc w:val="center"/>
              <w:ind w:left="236"/>
              <w:spacing w:after="0"/>
              <w:rPr>
                <w:sz w:val="20"/>
                <w:szCs w:val="20"/>
                <w:color w:val="auto"/>
              </w:rPr>
            </w:pPr>
            <w:r>
              <w:rPr>
                <w:rFonts w:ascii="Arial" w:cs="Arial" w:eastAsia="Arial" w:hAnsi="Arial"/>
                <w:sz w:val="13"/>
                <w:szCs w:val="13"/>
                <w:b w:val="1"/>
                <w:bCs w:val="1"/>
                <w:color w:val="003B71"/>
                <w:w w:val="94"/>
              </w:rPr>
              <w:t>Life</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003B71"/>
                <w:w w:val="95"/>
              </w:rPr>
              <w:t>Weighted</w:t>
            </w:r>
          </w:p>
        </w:tc>
        <w:tc>
          <w:tcPr>
            <w:tcW w:w="780" w:type="dxa"/>
            <w:vAlign w:val="bottom"/>
          </w:tcPr>
          <w:p>
            <w:pPr>
              <w:spacing w:after="0"/>
              <w:rPr>
                <w:sz w:val="13"/>
                <w:szCs w:val="13"/>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003B71"/>
              </w:rPr>
              <w:t>Vesting Range</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003B71"/>
                <w:w w:val="95"/>
              </w:rPr>
              <w:t>Weighted</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003B71"/>
                <w:w w:val="94"/>
              </w:rPr>
              <w:t>Combined</w:t>
            </w:r>
          </w:p>
        </w:tc>
        <w:tc>
          <w:tcPr>
            <w:tcW w:w="0" w:type="dxa"/>
            <w:vAlign w:val="bottom"/>
          </w:tcPr>
          <w:p>
            <w:pPr>
              <w:spacing w:after="0"/>
              <w:rPr>
                <w:sz w:val="1"/>
                <w:szCs w:val="1"/>
                <w:color w:val="auto"/>
              </w:rPr>
            </w:pPr>
          </w:p>
        </w:tc>
      </w:tr>
      <w:tr>
        <w:trPr>
          <w:trHeight w:val="93"/>
        </w:trPr>
        <w:tc>
          <w:tcPr>
            <w:tcW w:w="1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Borders>
              <w:top w:val="single" w:sz="8" w:color="003B71"/>
            </w:tcBorders>
          </w:tcPr>
          <w:p>
            <w:pPr>
              <w:spacing w:after="0"/>
              <w:rPr>
                <w:sz w:val="8"/>
                <w:szCs w:val="8"/>
                <w:color w:val="auto"/>
              </w:rPr>
            </w:pPr>
          </w:p>
        </w:tc>
        <w:tc>
          <w:tcPr>
            <w:tcW w:w="540" w:type="dxa"/>
            <w:vAlign w:val="bottom"/>
            <w:tcBorders>
              <w:top w:val="single" w:sz="8" w:color="003B71"/>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Borders>
              <w:top w:val="single" w:sz="8" w:color="003B71"/>
            </w:tcBorders>
          </w:tcPr>
          <w:p>
            <w:pPr>
              <w:spacing w:after="0"/>
              <w:rPr>
                <w:sz w:val="8"/>
                <w:szCs w:val="8"/>
                <w:color w:val="auto"/>
              </w:rPr>
            </w:pPr>
          </w:p>
        </w:tc>
        <w:tc>
          <w:tcPr>
            <w:tcW w:w="300" w:type="dxa"/>
            <w:vAlign w:val="bottom"/>
            <w:tcBorders>
              <w:top w:val="single" w:sz="8" w:color="003B71"/>
            </w:tcBorders>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Borders>
              <w:top w:val="single" w:sz="8" w:color="003B71"/>
            </w:tcBorders>
          </w:tcPr>
          <w:p>
            <w:pPr>
              <w:spacing w:after="0"/>
              <w:rPr>
                <w:sz w:val="8"/>
                <w:szCs w:val="8"/>
                <w:color w:val="auto"/>
              </w:rPr>
            </w:pPr>
          </w:p>
        </w:tc>
        <w:tc>
          <w:tcPr>
            <w:tcW w:w="360" w:type="dxa"/>
            <w:vAlign w:val="bottom"/>
            <w:tcBorders>
              <w:top w:val="single" w:sz="8" w:color="003B71"/>
            </w:tcBorders>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35"/>
              <w:spacing w:after="0" w:line="135" w:lineRule="exact"/>
              <w:rPr>
                <w:sz w:val="20"/>
                <w:szCs w:val="20"/>
                <w:color w:val="auto"/>
              </w:rPr>
            </w:pPr>
            <w:r>
              <w:rPr>
                <w:rFonts w:ascii="Arial" w:cs="Arial" w:eastAsia="Arial" w:hAnsi="Arial"/>
                <w:sz w:val="13"/>
                <w:szCs w:val="13"/>
                <w:b w:val="1"/>
                <w:bCs w:val="1"/>
                <w:color w:val="003B71"/>
                <w:w w:val="99"/>
              </w:rPr>
              <w:t>Weighted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003B71"/>
                <w:w w:val="97"/>
              </w:rPr>
              <w:t>Avg</w:t>
            </w:r>
          </w:p>
        </w:tc>
        <w:tc>
          <w:tcPr>
            <w:tcW w:w="780" w:type="dxa"/>
            <w:vAlign w:val="bottom"/>
          </w:tcPr>
          <w:p>
            <w:pPr>
              <w:jc w:val="center"/>
              <w:ind w:right="115"/>
              <w:spacing w:after="0" w:line="135" w:lineRule="exact"/>
              <w:rPr>
                <w:sz w:val="20"/>
                <w:szCs w:val="20"/>
                <w:color w:val="auto"/>
              </w:rPr>
            </w:pPr>
            <w:r>
              <w:rPr>
                <w:rFonts w:ascii="Arial" w:cs="Arial" w:eastAsia="Arial" w:hAnsi="Arial"/>
                <w:sz w:val="13"/>
                <w:szCs w:val="13"/>
                <w:b w:val="1"/>
                <w:bCs w:val="1"/>
                <w:color w:val="003B71"/>
                <w:w w:val="97"/>
              </w:rPr>
              <w:t>Number</w:t>
            </w: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ind w:right="15"/>
              <w:spacing w:after="0" w:line="135" w:lineRule="exact"/>
              <w:rPr>
                <w:sz w:val="20"/>
                <w:szCs w:val="20"/>
                <w:color w:val="auto"/>
              </w:rPr>
            </w:pPr>
            <w:r>
              <w:rPr>
                <w:rFonts w:ascii="Arial" w:cs="Arial" w:eastAsia="Arial" w:hAnsi="Arial"/>
                <w:sz w:val="13"/>
                <w:szCs w:val="13"/>
                <w:b w:val="1"/>
                <w:bCs w:val="1"/>
                <w:color w:val="003B71"/>
                <w:w w:val="93"/>
              </w:rPr>
              <w:t>Number</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5"/>
              </w:rPr>
              <w:t>Weighted</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7"/>
              </w:rPr>
              <w:t>Avg</w:t>
            </w: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3B71"/>
                <w:w w:val="99"/>
              </w:rPr>
              <w:t>Outstanding</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35"/>
              <w:spacing w:after="0" w:line="135" w:lineRule="exact"/>
              <w:rPr>
                <w:sz w:val="20"/>
                <w:szCs w:val="20"/>
                <w:color w:val="auto"/>
              </w:rPr>
            </w:pPr>
            <w:r>
              <w:rPr>
                <w:rFonts w:ascii="Arial" w:cs="Arial" w:eastAsia="Arial" w:hAnsi="Arial"/>
                <w:sz w:val="13"/>
                <w:szCs w:val="13"/>
                <w:b w:val="1"/>
                <w:bCs w:val="1"/>
                <w:color w:val="003B71"/>
                <w:w w:val="97"/>
              </w:rPr>
              <w:t>Average</w:t>
            </w:r>
          </w:p>
        </w:tc>
        <w:tc>
          <w:tcPr>
            <w:tcW w:w="520" w:type="dxa"/>
            <w:vAlign w:val="bottom"/>
          </w:tcPr>
          <w:p>
            <w:pPr>
              <w:jc w:val="right"/>
              <w:ind w:right="136"/>
              <w:spacing w:after="0" w:line="135" w:lineRule="exact"/>
              <w:rPr>
                <w:sz w:val="20"/>
                <w:szCs w:val="20"/>
                <w:color w:val="auto"/>
              </w:rPr>
            </w:pPr>
            <w:r>
              <w:rPr>
                <w:rFonts w:ascii="Arial" w:cs="Arial" w:eastAsia="Arial" w:hAnsi="Arial"/>
                <w:sz w:val="13"/>
                <w:szCs w:val="13"/>
                <w:b w:val="1"/>
                <w:bCs w:val="1"/>
                <w:color w:val="003B71"/>
                <w:w w:val="92"/>
              </w:rPr>
              <w:t>From</w:t>
            </w:r>
          </w:p>
        </w:tc>
        <w:tc>
          <w:tcPr>
            <w:tcW w:w="3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003B71"/>
              </w:rPr>
              <w:t>To</w:t>
            </w:r>
          </w:p>
        </w:tc>
        <w:tc>
          <w:tcPr>
            <w:tcW w:w="9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003B71"/>
                <w:w w:val="96"/>
              </w:rPr>
              <w:t>Contractual</w:t>
            </w:r>
          </w:p>
        </w:tc>
        <w:tc>
          <w:tcPr>
            <w:tcW w:w="780" w:type="dxa"/>
            <w:vAlign w:val="bottom"/>
          </w:tcPr>
          <w:p>
            <w:pPr>
              <w:jc w:val="center"/>
              <w:ind w:right="115"/>
              <w:spacing w:after="0" w:line="135" w:lineRule="exact"/>
              <w:rPr>
                <w:sz w:val="20"/>
                <w:szCs w:val="20"/>
                <w:color w:val="auto"/>
              </w:rPr>
            </w:pPr>
            <w:r>
              <w:rPr>
                <w:rFonts w:ascii="Arial" w:cs="Arial" w:eastAsia="Arial" w:hAnsi="Arial"/>
                <w:sz w:val="13"/>
                <w:szCs w:val="13"/>
                <w:b w:val="1"/>
                <w:bCs w:val="1"/>
                <w:color w:val="003B71"/>
                <w:w w:val="97"/>
              </w:rPr>
              <w:t>of</w:t>
            </w: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ind w:right="35"/>
              <w:spacing w:after="0" w:line="135" w:lineRule="exact"/>
              <w:rPr>
                <w:sz w:val="20"/>
                <w:szCs w:val="20"/>
                <w:color w:val="auto"/>
              </w:rPr>
            </w:pPr>
            <w:r>
              <w:rPr>
                <w:rFonts w:ascii="Arial" w:cs="Arial" w:eastAsia="Arial" w:hAnsi="Arial"/>
                <w:sz w:val="13"/>
                <w:szCs w:val="13"/>
                <w:b w:val="1"/>
                <w:bCs w:val="1"/>
                <w:color w:val="003B71"/>
                <w:w w:val="97"/>
              </w:rPr>
              <w:t>of</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7"/>
              </w:rPr>
              <w:t>Average</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6"/>
              </w:rPr>
              <w:t>Contractual</w:t>
            </w: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3B71"/>
              </w:rPr>
              <w:t>Stock</w:t>
            </w:r>
          </w:p>
        </w:tc>
        <w:tc>
          <w:tcPr>
            <w:tcW w:w="0" w:type="dxa"/>
            <w:vAlign w:val="bottom"/>
          </w:tcPr>
          <w:p>
            <w:pPr>
              <w:spacing w:after="0"/>
              <w:rPr>
                <w:sz w:val="1"/>
                <w:szCs w:val="1"/>
                <w:color w:val="auto"/>
              </w:rPr>
            </w:pPr>
          </w:p>
        </w:tc>
      </w:tr>
      <w:tr>
        <w:trPr>
          <w:trHeight w:val="157"/>
        </w:trPr>
        <w:tc>
          <w:tcPr>
            <w:tcW w:w="1320" w:type="dxa"/>
            <w:vAlign w:val="bottom"/>
            <w:tcBorders>
              <w:bottom w:val="single" w:sz="8" w:color="003B71"/>
            </w:tcBorders>
          </w:tcPr>
          <w:p>
            <w:pPr>
              <w:spacing w:after="0"/>
              <w:rPr>
                <w:sz w:val="13"/>
                <w:szCs w:val="13"/>
                <w:color w:val="auto"/>
              </w:rPr>
            </w:pPr>
          </w:p>
        </w:tc>
        <w:tc>
          <w:tcPr>
            <w:tcW w:w="600" w:type="dxa"/>
            <w:vAlign w:val="bottom"/>
            <w:tcBorders>
              <w:bottom w:val="single" w:sz="8" w:color="003B71"/>
            </w:tcBorders>
          </w:tcPr>
          <w:p>
            <w:pPr>
              <w:spacing w:after="0"/>
              <w:rPr>
                <w:sz w:val="13"/>
                <w:szCs w:val="13"/>
                <w:color w:val="auto"/>
              </w:rPr>
            </w:pPr>
          </w:p>
        </w:tc>
        <w:tc>
          <w:tcPr>
            <w:tcW w:w="540" w:type="dxa"/>
            <w:vAlign w:val="bottom"/>
            <w:tcBorders>
              <w:bottom w:val="single" w:sz="8" w:color="003B71"/>
            </w:tcBorders>
          </w:tcPr>
          <w:p>
            <w:pPr>
              <w:ind w:left="100"/>
              <w:spacing w:after="0"/>
              <w:rPr>
                <w:sz w:val="20"/>
                <w:szCs w:val="20"/>
                <w:color w:val="auto"/>
              </w:rPr>
            </w:pPr>
            <w:r>
              <w:rPr>
                <w:rFonts w:ascii="Arial" w:cs="Arial" w:eastAsia="Arial" w:hAnsi="Arial"/>
                <w:sz w:val="13"/>
                <w:szCs w:val="13"/>
                <w:b w:val="1"/>
                <w:bCs w:val="1"/>
                <w:color w:val="003B71"/>
              </w:rPr>
              <w:t>Low</w:t>
            </w:r>
          </w:p>
        </w:tc>
        <w:tc>
          <w:tcPr>
            <w:tcW w:w="620" w:type="dxa"/>
            <w:vAlign w:val="bottom"/>
            <w:tcBorders>
              <w:bottom w:val="single" w:sz="8" w:color="003B71"/>
            </w:tcBorders>
            <w:gridSpan w:val="2"/>
          </w:tcPr>
          <w:p>
            <w:pPr>
              <w:ind w:left="180"/>
              <w:spacing w:after="0"/>
              <w:rPr>
                <w:sz w:val="20"/>
                <w:szCs w:val="20"/>
                <w:color w:val="auto"/>
              </w:rPr>
            </w:pPr>
            <w:r>
              <w:rPr>
                <w:rFonts w:ascii="Arial" w:cs="Arial" w:eastAsia="Arial" w:hAnsi="Arial"/>
                <w:sz w:val="13"/>
                <w:szCs w:val="13"/>
                <w:b w:val="1"/>
                <w:bCs w:val="1"/>
                <w:color w:val="003B71"/>
              </w:rPr>
              <w:t>High</w:t>
            </w:r>
          </w:p>
        </w:tc>
        <w:tc>
          <w:tcPr>
            <w:tcW w:w="840" w:type="dxa"/>
            <w:vAlign w:val="bottom"/>
            <w:tcBorders>
              <w:bottom w:val="single" w:sz="8" w:color="003B71"/>
            </w:tcBorders>
          </w:tcPr>
          <w:p>
            <w:pPr>
              <w:jc w:val="center"/>
              <w:ind w:right="35"/>
              <w:spacing w:after="0"/>
              <w:rPr>
                <w:sz w:val="20"/>
                <w:szCs w:val="20"/>
                <w:color w:val="auto"/>
              </w:rPr>
            </w:pPr>
            <w:r>
              <w:rPr>
                <w:rFonts w:ascii="Arial" w:cs="Arial" w:eastAsia="Arial" w:hAnsi="Arial"/>
                <w:sz w:val="13"/>
                <w:szCs w:val="13"/>
                <w:b w:val="1"/>
                <w:bCs w:val="1"/>
                <w:color w:val="003B71"/>
                <w:w w:val="94"/>
              </w:rPr>
              <w:t>Price</w:t>
            </w:r>
          </w:p>
        </w:tc>
        <w:tc>
          <w:tcPr>
            <w:tcW w:w="520" w:type="dxa"/>
            <w:vAlign w:val="bottom"/>
            <w:tcBorders>
              <w:bottom w:val="single" w:sz="8" w:color="003B71"/>
            </w:tcBorders>
          </w:tcPr>
          <w:p>
            <w:pPr>
              <w:jc w:val="right"/>
              <w:ind w:right="176"/>
              <w:spacing w:after="0"/>
              <w:rPr>
                <w:sz w:val="20"/>
                <w:szCs w:val="20"/>
                <w:color w:val="auto"/>
              </w:rPr>
            </w:pPr>
            <w:r>
              <w:rPr>
                <w:rFonts w:ascii="Arial" w:cs="Arial" w:eastAsia="Arial" w:hAnsi="Arial"/>
                <w:sz w:val="13"/>
                <w:szCs w:val="13"/>
                <w:b w:val="1"/>
                <w:bCs w:val="1"/>
                <w:color w:val="003B71"/>
                <w:w w:val="92"/>
              </w:rPr>
              <w:t>(yrs)</w:t>
            </w:r>
          </w:p>
        </w:tc>
        <w:tc>
          <w:tcPr>
            <w:tcW w:w="380" w:type="dxa"/>
            <w:vAlign w:val="bottom"/>
            <w:tcBorders>
              <w:bottom w:val="single" w:sz="8" w:color="003B71"/>
            </w:tcBorders>
            <w:gridSpan w:val="2"/>
          </w:tcPr>
          <w:p>
            <w:pPr>
              <w:spacing w:after="0"/>
              <w:rPr>
                <w:sz w:val="20"/>
                <w:szCs w:val="20"/>
                <w:color w:val="auto"/>
              </w:rPr>
            </w:pPr>
            <w:r>
              <w:rPr>
                <w:rFonts w:ascii="Arial" w:cs="Arial" w:eastAsia="Arial" w:hAnsi="Arial"/>
                <w:sz w:val="13"/>
                <w:szCs w:val="13"/>
                <w:b w:val="1"/>
                <w:bCs w:val="1"/>
                <w:color w:val="003B71"/>
              </w:rPr>
              <w:t>(yrs)</w:t>
            </w:r>
          </w:p>
        </w:tc>
        <w:tc>
          <w:tcPr>
            <w:tcW w:w="960" w:type="dxa"/>
            <w:vAlign w:val="bottom"/>
            <w:tcBorders>
              <w:bottom w:val="single" w:sz="8" w:color="003B71"/>
            </w:tcBorders>
            <w:gridSpan w:val="2"/>
          </w:tcPr>
          <w:p>
            <w:pPr>
              <w:jc w:val="center"/>
              <w:ind w:right="80"/>
              <w:spacing w:after="0"/>
              <w:rPr>
                <w:sz w:val="20"/>
                <w:szCs w:val="20"/>
                <w:color w:val="auto"/>
              </w:rPr>
            </w:pPr>
            <w:r>
              <w:rPr>
                <w:rFonts w:ascii="Arial" w:cs="Arial" w:eastAsia="Arial" w:hAnsi="Arial"/>
                <w:sz w:val="13"/>
                <w:szCs w:val="13"/>
                <w:b w:val="1"/>
                <w:bCs w:val="1"/>
                <w:color w:val="003B71"/>
              </w:rPr>
              <w:t>Life</w:t>
            </w:r>
          </w:p>
        </w:tc>
        <w:tc>
          <w:tcPr>
            <w:tcW w:w="780" w:type="dxa"/>
            <w:vAlign w:val="bottom"/>
            <w:tcBorders>
              <w:bottom w:val="single" w:sz="8" w:color="003B71"/>
            </w:tcBorders>
          </w:tcPr>
          <w:p>
            <w:pPr>
              <w:ind w:left="100"/>
              <w:spacing w:after="0"/>
              <w:rPr>
                <w:sz w:val="20"/>
                <w:szCs w:val="20"/>
                <w:color w:val="auto"/>
              </w:rPr>
            </w:pPr>
            <w:r>
              <w:rPr>
                <w:rFonts w:ascii="Arial" w:cs="Arial" w:eastAsia="Arial" w:hAnsi="Arial"/>
                <w:sz w:val="13"/>
                <w:szCs w:val="13"/>
                <w:b w:val="1"/>
                <w:bCs w:val="1"/>
                <w:color w:val="003B71"/>
              </w:rPr>
              <w:t>Shares</w:t>
            </w:r>
          </w:p>
        </w:tc>
        <w:tc>
          <w:tcPr>
            <w:tcW w:w="640" w:type="dxa"/>
            <w:vAlign w:val="bottom"/>
            <w:tcBorders>
              <w:bottom w:val="single" w:sz="8" w:color="003B71"/>
            </w:tcBorders>
          </w:tcPr>
          <w:p>
            <w:pPr>
              <w:jc w:val="right"/>
              <w:ind w:right="154"/>
              <w:spacing w:after="0"/>
              <w:rPr>
                <w:sz w:val="20"/>
                <w:szCs w:val="20"/>
                <w:color w:val="auto"/>
              </w:rPr>
            </w:pPr>
            <w:r>
              <w:rPr>
                <w:rFonts w:ascii="Arial" w:cs="Arial" w:eastAsia="Arial" w:hAnsi="Arial"/>
                <w:sz w:val="13"/>
                <w:szCs w:val="13"/>
                <w:b w:val="1"/>
                <w:bCs w:val="1"/>
                <w:color w:val="003B71"/>
              </w:rPr>
              <w:t>From</w:t>
            </w:r>
          </w:p>
        </w:tc>
        <w:tc>
          <w:tcPr>
            <w:tcW w:w="540" w:type="dxa"/>
            <w:vAlign w:val="bottom"/>
            <w:tcBorders>
              <w:bottom w:val="single" w:sz="8" w:color="003B71"/>
            </w:tcBorders>
            <w:gridSpan w:val="2"/>
          </w:tcPr>
          <w:p>
            <w:pPr>
              <w:jc w:val="right"/>
              <w:ind w:right="240"/>
              <w:spacing w:after="0"/>
              <w:rPr>
                <w:sz w:val="20"/>
                <w:szCs w:val="20"/>
                <w:color w:val="auto"/>
              </w:rPr>
            </w:pPr>
            <w:r>
              <w:rPr>
                <w:rFonts w:ascii="Arial" w:cs="Arial" w:eastAsia="Arial" w:hAnsi="Arial"/>
                <w:sz w:val="13"/>
                <w:szCs w:val="13"/>
                <w:b w:val="1"/>
                <w:bCs w:val="1"/>
                <w:color w:val="003B71"/>
              </w:rPr>
              <w:t>To</w:t>
            </w:r>
          </w:p>
        </w:tc>
        <w:tc>
          <w:tcPr>
            <w:tcW w:w="780" w:type="dxa"/>
            <w:vAlign w:val="bottom"/>
            <w:tcBorders>
              <w:bottom w:val="single" w:sz="8" w:color="003B71"/>
            </w:tcBorders>
          </w:tcPr>
          <w:p>
            <w:pPr>
              <w:jc w:val="center"/>
              <w:ind w:right="15"/>
              <w:spacing w:after="0"/>
              <w:rPr>
                <w:sz w:val="20"/>
                <w:szCs w:val="20"/>
                <w:color w:val="auto"/>
              </w:rPr>
            </w:pPr>
            <w:r>
              <w:rPr>
                <w:rFonts w:ascii="Arial" w:cs="Arial" w:eastAsia="Arial" w:hAnsi="Arial"/>
                <w:sz w:val="13"/>
                <w:szCs w:val="13"/>
                <w:b w:val="1"/>
                <w:bCs w:val="1"/>
                <w:color w:val="003B71"/>
                <w:w w:val="93"/>
              </w:rPr>
              <w:t>Options</w:t>
            </w:r>
          </w:p>
        </w:tc>
        <w:tc>
          <w:tcPr>
            <w:tcW w:w="740" w:type="dxa"/>
            <w:vAlign w:val="bottom"/>
            <w:tcBorders>
              <w:bottom w:val="single" w:sz="8" w:color="003B71"/>
            </w:tcBorders>
          </w:tcPr>
          <w:p>
            <w:pPr>
              <w:jc w:val="center"/>
              <w:spacing w:after="0"/>
              <w:rPr>
                <w:sz w:val="20"/>
                <w:szCs w:val="20"/>
                <w:color w:val="auto"/>
              </w:rPr>
            </w:pPr>
            <w:r>
              <w:rPr>
                <w:rFonts w:ascii="Arial" w:cs="Arial" w:eastAsia="Arial" w:hAnsi="Arial"/>
                <w:sz w:val="13"/>
                <w:szCs w:val="13"/>
                <w:b w:val="1"/>
                <w:bCs w:val="1"/>
                <w:color w:val="003B71"/>
                <w:w w:val="94"/>
              </w:rPr>
              <w:t>Price</w:t>
            </w:r>
          </w:p>
        </w:tc>
        <w:tc>
          <w:tcPr>
            <w:tcW w:w="880" w:type="dxa"/>
            <w:vAlign w:val="bottom"/>
            <w:tcBorders>
              <w:bottom w:val="single" w:sz="8" w:color="003B71"/>
            </w:tcBorders>
          </w:tcPr>
          <w:p>
            <w:pPr>
              <w:jc w:val="center"/>
              <w:spacing w:after="0"/>
              <w:rPr>
                <w:sz w:val="20"/>
                <w:szCs w:val="20"/>
                <w:color w:val="auto"/>
              </w:rPr>
            </w:pPr>
            <w:r>
              <w:rPr>
                <w:rFonts w:ascii="Arial" w:cs="Arial" w:eastAsia="Arial" w:hAnsi="Arial"/>
                <w:sz w:val="13"/>
                <w:szCs w:val="13"/>
                <w:b w:val="1"/>
                <w:bCs w:val="1"/>
                <w:color w:val="003B71"/>
                <w:w w:val="94"/>
              </w:rPr>
              <w:t>Life</w:t>
            </w:r>
          </w:p>
        </w:tc>
        <w:tc>
          <w:tcPr>
            <w:tcW w:w="880" w:type="dxa"/>
            <w:vAlign w:val="bottom"/>
            <w:tcBorders>
              <w:bottom w:val="single" w:sz="8" w:color="003B71"/>
            </w:tcBorders>
            <w:gridSpan w:val="2"/>
          </w:tcPr>
          <w:p>
            <w:pPr>
              <w:jc w:val="center"/>
              <w:spacing w:after="0"/>
              <w:rPr>
                <w:sz w:val="20"/>
                <w:szCs w:val="20"/>
                <w:color w:val="auto"/>
              </w:rPr>
            </w:pPr>
            <w:r>
              <w:rPr>
                <w:rFonts w:ascii="Arial" w:cs="Arial" w:eastAsia="Arial" w:hAnsi="Arial"/>
                <w:sz w:val="13"/>
                <w:szCs w:val="13"/>
                <w:b w:val="1"/>
                <w:bCs w:val="1"/>
                <w:color w:val="003B71"/>
                <w:w w:val="93"/>
              </w:rPr>
              <w:t>Awards</w:t>
            </w:r>
          </w:p>
        </w:tc>
        <w:tc>
          <w:tcPr>
            <w:tcW w:w="0" w:type="dxa"/>
            <w:vAlign w:val="bottom"/>
          </w:tcPr>
          <w:p>
            <w:pPr>
              <w:spacing w:after="0"/>
              <w:rPr>
                <w:sz w:val="1"/>
                <w:szCs w:val="1"/>
                <w:color w:val="auto"/>
              </w:rPr>
            </w:pPr>
          </w:p>
        </w:tc>
      </w:tr>
      <w:tr>
        <w:trPr>
          <w:trHeight w:val="155"/>
        </w:trPr>
        <w:tc>
          <w:tcPr>
            <w:tcW w:w="1320" w:type="dxa"/>
            <w:vAlign w:val="bottom"/>
            <w:shd w:val="clear" w:color="auto" w:fill="E5E5E5"/>
          </w:tcPr>
          <w:p>
            <w:pPr>
              <w:jc w:val="right"/>
              <w:ind w:right="548"/>
              <w:spacing w:after="0" w:line="155" w:lineRule="exact"/>
              <w:rPr>
                <w:sz w:val="20"/>
                <w:szCs w:val="20"/>
                <w:color w:val="auto"/>
              </w:rPr>
            </w:pPr>
            <w:r>
              <w:rPr>
                <w:rFonts w:ascii="Arial" w:cs="Arial" w:eastAsia="Arial" w:hAnsi="Arial"/>
                <w:sz w:val="14"/>
                <w:szCs w:val="14"/>
                <w:color w:val="auto"/>
              </w:rPr>
              <w:t>1,323,495</w:t>
            </w:r>
          </w:p>
        </w:tc>
        <w:tc>
          <w:tcPr>
            <w:tcW w:w="1140" w:type="dxa"/>
            <w:vAlign w:val="bottom"/>
            <w:gridSpan w:val="2"/>
            <w:shd w:val="clear" w:color="auto" w:fill="E5E5E5"/>
          </w:tcPr>
          <w:p>
            <w:pPr>
              <w:jc w:val="right"/>
              <w:ind w:right="17"/>
              <w:spacing w:after="0" w:line="155" w:lineRule="exact"/>
              <w:rPr>
                <w:sz w:val="20"/>
                <w:szCs w:val="20"/>
                <w:color w:val="auto"/>
              </w:rPr>
            </w:pPr>
            <w:r>
              <w:rPr>
                <w:rFonts w:ascii="Arial" w:cs="Arial" w:eastAsia="Arial" w:hAnsi="Arial"/>
                <w:sz w:val="14"/>
                <w:szCs w:val="14"/>
                <w:color w:val="auto"/>
              </w:rPr>
              <w:t>$16.00</w:t>
            </w:r>
          </w:p>
        </w:tc>
        <w:tc>
          <w:tcPr>
            <w:tcW w:w="620" w:type="dxa"/>
            <w:vAlign w:val="bottom"/>
            <w:gridSpan w:val="2"/>
            <w:shd w:val="clear" w:color="auto" w:fill="E5E5E5"/>
          </w:tcPr>
          <w:p>
            <w:pPr>
              <w:ind w:left="80"/>
              <w:spacing w:after="0" w:line="155" w:lineRule="exact"/>
              <w:rPr>
                <w:sz w:val="20"/>
                <w:szCs w:val="20"/>
                <w:color w:val="auto"/>
              </w:rPr>
            </w:pPr>
            <w:r>
              <w:rPr>
                <w:rFonts w:ascii="Arial" w:cs="Arial" w:eastAsia="Arial" w:hAnsi="Arial"/>
                <w:sz w:val="14"/>
                <w:szCs w:val="14"/>
                <w:color w:val="auto"/>
              </w:rPr>
              <w:t>$59.67</w:t>
            </w:r>
          </w:p>
        </w:tc>
        <w:tc>
          <w:tcPr>
            <w:tcW w:w="840" w:type="dxa"/>
            <w:vAlign w:val="bottom"/>
            <w:shd w:val="clear" w:color="auto" w:fill="E5E5E5"/>
          </w:tcPr>
          <w:p>
            <w:pPr>
              <w:jc w:val="center"/>
              <w:ind w:right="35"/>
              <w:spacing w:after="0" w:line="155" w:lineRule="exact"/>
              <w:rPr>
                <w:sz w:val="20"/>
                <w:szCs w:val="20"/>
                <w:color w:val="auto"/>
              </w:rPr>
            </w:pPr>
            <w:r>
              <w:rPr>
                <w:rFonts w:ascii="Arial" w:cs="Arial" w:eastAsia="Arial" w:hAnsi="Arial"/>
                <w:sz w:val="14"/>
                <w:szCs w:val="14"/>
                <w:color w:val="auto"/>
              </w:rPr>
              <w:t>$  36.97</w:t>
            </w:r>
          </w:p>
        </w:tc>
        <w:tc>
          <w:tcPr>
            <w:tcW w:w="520" w:type="dxa"/>
            <w:vAlign w:val="bottom"/>
            <w:shd w:val="clear" w:color="auto" w:fill="E5E5E5"/>
          </w:tcPr>
          <w:p>
            <w:pPr>
              <w:jc w:val="right"/>
              <w:ind w:right="136"/>
              <w:spacing w:after="0" w:line="155" w:lineRule="exact"/>
              <w:rPr>
                <w:sz w:val="20"/>
                <w:szCs w:val="20"/>
                <w:color w:val="auto"/>
              </w:rPr>
            </w:pPr>
            <w:r>
              <w:rPr>
                <w:rFonts w:ascii="Arial" w:cs="Arial" w:eastAsia="Arial" w:hAnsi="Arial"/>
                <w:sz w:val="14"/>
                <w:szCs w:val="14"/>
                <w:color w:val="auto"/>
              </w:rPr>
              <w:t>4.68</w:t>
            </w:r>
          </w:p>
        </w:tc>
        <w:tc>
          <w:tcPr>
            <w:tcW w:w="380" w:type="dxa"/>
            <w:vAlign w:val="bottom"/>
            <w:gridSpan w:val="2"/>
            <w:shd w:val="clear" w:color="auto" w:fill="E5E5E5"/>
          </w:tcPr>
          <w:p>
            <w:pPr>
              <w:ind w:left="20"/>
              <w:spacing w:after="0" w:line="155" w:lineRule="exact"/>
              <w:rPr>
                <w:sz w:val="20"/>
                <w:szCs w:val="20"/>
                <w:color w:val="auto"/>
              </w:rPr>
            </w:pPr>
            <w:r>
              <w:rPr>
                <w:rFonts w:ascii="Arial" w:cs="Arial" w:eastAsia="Arial" w:hAnsi="Arial"/>
                <w:sz w:val="14"/>
                <w:szCs w:val="14"/>
                <w:color w:val="auto"/>
              </w:rPr>
              <w:t>9.25</w:t>
            </w:r>
          </w:p>
        </w:tc>
        <w:tc>
          <w:tcPr>
            <w:tcW w:w="960" w:type="dxa"/>
            <w:vAlign w:val="bottom"/>
            <w:gridSpan w:val="2"/>
            <w:shd w:val="clear" w:color="auto" w:fill="E5E5E5"/>
          </w:tcPr>
          <w:p>
            <w:pPr>
              <w:jc w:val="right"/>
              <w:ind w:right="160"/>
              <w:spacing w:after="0" w:line="155" w:lineRule="exact"/>
              <w:rPr>
                <w:sz w:val="20"/>
                <w:szCs w:val="20"/>
                <w:color w:val="auto"/>
              </w:rPr>
            </w:pPr>
            <w:r>
              <w:rPr>
                <w:rFonts w:ascii="Arial" w:cs="Arial" w:eastAsia="Arial" w:hAnsi="Arial"/>
                <w:sz w:val="14"/>
                <w:szCs w:val="14"/>
                <w:color w:val="auto"/>
              </w:rPr>
              <w:t>6.57</w:t>
            </w:r>
          </w:p>
        </w:tc>
        <w:tc>
          <w:tcPr>
            <w:tcW w:w="780" w:type="dxa"/>
            <w:vAlign w:val="bottom"/>
            <w:shd w:val="clear" w:color="auto" w:fill="E5E5E5"/>
          </w:tcPr>
          <w:p>
            <w:pPr>
              <w:ind w:left="80"/>
              <w:spacing w:after="0" w:line="155" w:lineRule="exact"/>
              <w:rPr>
                <w:sz w:val="20"/>
                <w:szCs w:val="20"/>
                <w:color w:val="auto"/>
              </w:rPr>
            </w:pPr>
            <w:r>
              <w:rPr>
                <w:rFonts w:ascii="Arial" w:cs="Arial" w:eastAsia="Arial" w:hAnsi="Arial"/>
                <w:sz w:val="14"/>
                <w:szCs w:val="14"/>
                <w:color w:val="auto"/>
              </w:rPr>
              <w:t>216,815</w:t>
            </w:r>
          </w:p>
        </w:tc>
        <w:tc>
          <w:tcPr>
            <w:tcW w:w="640" w:type="dxa"/>
            <w:vAlign w:val="bottom"/>
            <w:shd w:val="clear" w:color="auto" w:fill="E5E5E5"/>
          </w:tcPr>
          <w:p>
            <w:pPr>
              <w:jc w:val="right"/>
              <w:ind w:right="54"/>
              <w:spacing w:after="0" w:line="155" w:lineRule="exact"/>
              <w:rPr>
                <w:sz w:val="20"/>
                <w:szCs w:val="20"/>
                <w:color w:val="auto"/>
              </w:rPr>
            </w:pPr>
            <w:r>
              <w:rPr>
                <w:rFonts w:ascii="Arial" w:cs="Arial" w:eastAsia="Arial" w:hAnsi="Arial"/>
                <w:sz w:val="14"/>
                <w:szCs w:val="14"/>
                <w:color w:val="auto"/>
              </w:rPr>
              <w:t>1</w:t>
            </w:r>
          </w:p>
        </w:tc>
        <w:tc>
          <w:tcPr>
            <w:tcW w:w="540" w:type="dxa"/>
            <w:vAlign w:val="bottom"/>
            <w:gridSpan w:val="2"/>
            <w:shd w:val="clear" w:color="auto" w:fill="E5E5E5"/>
          </w:tcPr>
          <w:p>
            <w:pPr>
              <w:jc w:val="right"/>
              <w:ind w:right="180"/>
              <w:spacing w:after="0" w:line="155" w:lineRule="exact"/>
              <w:rPr>
                <w:sz w:val="20"/>
                <w:szCs w:val="20"/>
                <w:color w:val="auto"/>
              </w:rPr>
            </w:pPr>
            <w:r>
              <w:rPr>
                <w:rFonts w:ascii="Arial" w:cs="Arial" w:eastAsia="Arial" w:hAnsi="Arial"/>
                <w:sz w:val="14"/>
                <w:szCs w:val="14"/>
                <w:color w:val="auto"/>
              </w:rPr>
              <w:t>5</w:t>
            </w:r>
          </w:p>
        </w:tc>
        <w:tc>
          <w:tcPr>
            <w:tcW w:w="780" w:type="dxa"/>
            <w:vAlign w:val="bottom"/>
            <w:shd w:val="clear" w:color="auto" w:fill="E5E5E5"/>
          </w:tcPr>
          <w:p>
            <w:pPr>
              <w:jc w:val="right"/>
              <w:ind w:right="15"/>
              <w:spacing w:after="0" w:line="155" w:lineRule="exact"/>
              <w:rPr>
                <w:sz w:val="20"/>
                <w:szCs w:val="20"/>
                <w:color w:val="auto"/>
              </w:rPr>
            </w:pPr>
            <w:r>
              <w:rPr>
                <w:rFonts w:ascii="Arial" w:cs="Arial" w:eastAsia="Arial" w:hAnsi="Arial"/>
                <w:sz w:val="14"/>
                <w:szCs w:val="14"/>
                <w:color w:val="auto"/>
              </w:rPr>
              <w:t>1,590,395</w:t>
            </w:r>
          </w:p>
        </w:tc>
        <w:tc>
          <w:tcPr>
            <w:tcW w:w="740" w:type="dxa"/>
            <w:vAlign w:val="bottom"/>
            <w:shd w:val="clear" w:color="auto" w:fill="E5E5E5"/>
          </w:tcPr>
          <w:p>
            <w:pPr>
              <w:jc w:val="center"/>
              <w:spacing w:after="0" w:line="155" w:lineRule="exact"/>
              <w:rPr>
                <w:sz w:val="20"/>
                <w:szCs w:val="20"/>
                <w:color w:val="auto"/>
              </w:rPr>
            </w:pPr>
            <w:r>
              <w:rPr>
                <w:rFonts w:ascii="Arial" w:cs="Arial" w:eastAsia="Arial" w:hAnsi="Arial"/>
                <w:sz w:val="14"/>
                <w:szCs w:val="14"/>
                <w:color w:val="auto"/>
              </w:rPr>
              <w:t>$  31.89</w:t>
            </w:r>
          </w:p>
        </w:tc>
        <w:tc>
          <w:tcPr>
            <w:tcW w:w="880" w:type="dxa"/>
            <w:vAlign w:val="bottom"/>
            <w:shd w:val="clear" w:color="auto" w:fill="E5E5E5"/>
          </w:tcPr>
          <w:p>
            <w:pPr>
              <w:jc w:val="right"/>
              <w:ind w:right="15"/>
              <w:spacing w:after="0" w:line="155" w:lineRule="exact"/>
              <w:rPr>
                <w:sz w:val="20"/>
                <w:szCs w:val="20"/>
                <w:color w:val="auto"/>
              </w:rPr>
            </w:pPr>
            <w:r>
              <w:rPr>
                <w:rFonts w:ascii="Arial" w:cs="Arial" w:eastAsia="Arial" w:hAnsi="Arial"/>
                <w:sz w:val="14"/>
                <w:szCs w:val="14"/>
                <w:color w:val="auto"/>
              </w:rPr>
              <w:t>5.86</w:t>
            </w:r>
          </w:p>
        </w:tc>
        <w:tc>
          <w:tcPr>
            <w:tcW w:w="880" w:type="dxa"/>
            <w:vAlign w:val="bottom"/>
            <w:gridSpan w:val="2"/>
            <w:shd w:val="clear" w:color="auto" w:fill="E5E5E5"/>
          </w:tcPr>
          <w:p>
            <w:pPr>
              <w:jc w:val="right"/>
              <w:ind w:right="40"/>
              <w:spacing w:after="0" w:line="155" w:lineRule="exact"/>
              <w:rPr>
                <w:sz w:val="20"/>
                <w:szCs w:val="20"/>
                <w:color w:val="auto"/>
              </w:rPr>
            </w:pPr>
            <w:r>
              <w:rPr>
                <w:rFonts w:ascii="Arial" w:cs="Arial" w:eastAsia="Arial" w:hAnsi="Arial"/>
                <w:sz w:val="14"/>
                <w:szCs w:val="14"/>
                <w:color w:val="auto"/>
              </w:rPr>
              <w:t>216,815</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540" w:right="20" w:hanging="424"/>
        <w:spacing w:after="0" w:line="260" w:lineRule="auto"/>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closing market price for a share of Company common stock was $44.16 on January 31, 2020 (the last trading day of the fiscal year ending on February 2, 2020).</w:t>
      </w:r>
    </w:p>
    <w:p>
      <w:pPr>
        <w:spacing w:after="0" w:line="19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numbers in the table above reflect the Plan information as of February 2, 2020 under (i) the Plan, and (ii) all of our previous plans for eligible team members.</w:t>
      </w:r>
    </w:p>
    <w:p>
      <w:pPr>
        <w:spacing w:after="0" w:line="197"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Information about options and Stock Awards granted during the Company’s 2019 fiscal year under the Plan to the Named Executive Officers can be found in the tables under the headings “Fiscal 2019 Summary Compensation Table,” and “Fiscal 2019 Grants of Plan-Based Awards Table” following the Compensation Discussion and Analysis in this Proxy Statement. During the 2019 fiscal year, options covering 146,257 shares were granted to current executive officers as a group under the Plan and options covering 76,009 shares were granted under the Plan to all other eligible team members (excluding executive officers) as a group. Current options generally become exercisable in three equal annual installments beginning one year after the date of the option grant. Also during the 2019 fiscal year, 35,030 shares of restricted stock units were granted to current executive officers as a group under the Plan and 22,228 shares of restricted stock units were granted under the Plan to all team members (excluding executive officers) as a group. Depending upon the terms of the plan under which a grant is made, restricted stock units for team members generally vest three years after the date of the grant. During the 2019 fiscal year, Directors were granted a total of 19,344 shares of restricted stock units which vests one year after the date of grant.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Plan Amendment</w:t>
      </w:r>
    </w:p>
    <w:p>
      <w:pPr>
        <w:spacing w:after="0" w:line="122"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As of February 2, 2020, stock options and Stock Awards covering 1,540,310 shares were outstanding and 1,319,813 shares were available for grant under the Plan (of which 1,319,813 shares were available for grant as Stock Awards under the Plan). If you approve the Amendment, the estimated maximum number of shares that may be issued under the Plan would be (in addition to shares subject to grants and awards as of February 2, 2020) increased to 4,319,813 shares (of which 4,319,813 shares will be available for grant as Stock Awards). This number represents shares available for, but not yet subject to, a grant or award as of the date of this Proxy Statement, assuming (i) no grants or awards were made under the Plan between February 2, 2020 and such date, and (ii) no grants or awards previously made under the Plan are cancelled between February 2, 2020 and such date, plus the additional 3,000,000 shares authorized by the Amendment.</w:t>
      </w:r>
    </w:p>
    <w:p>
      <w:pPr>
        <w:spacing w:after="0" w:line="208"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Either authorized but unissued shares or treasury shares of Common Stock may be issued in connection with grants and awards under the Plan. In addition, any shares subject to an award which are forfeited or not issued because the terms and conditions of the grant or award are not met may be re-used for a new grant or award.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Required Vote; Recommendation</w:t>
      </w:r>
    </w:p>
    <w:p>
      <w:pPr>
        <w:spacing w:after="0" w:line="126"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favorable vote of the holders of a majority of the shares of Common Stock present and entitled to participate and vote online during the Annual Meeting or by proxy is required to approve the Amended and Restated 2014 Omnibus Incentive Plan.</w:t>
      </w:r>
    </w:p>
    <w:p>
      <w:pPr>
        <w:spacing w:after="0" w:line="197"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Board of Directors believes that approval of the Amendment is in the best interest of the Company and that the additional shares will strengthen the Company’s ability to attract and retain key team members and furnish additional incentives to such persons by encouraging them to become owners of the Common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144145</wp:posOffset>
            </wp:positionV>
            <wp:extent cx="6998970" cy="3384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8970" cy="338455"/>
                    </a:xfrm>
                    <a:prstGeom prst="rect">
                      <a:avLst/>
                    </a:prstGeom>
                    <a:noFill/>
                  </pic:spPr>
                </pic:pic>
              </a:graphicData>
            </a:graphic>
          </wp:anchor>
        </w:drawing>
      </w: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Board of Directors recommends a vote FOR the approval of the Company’s Amended</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Restated 2014 Omnibus Incentive Plan.</w:t>
      </w:r>
    </w:p>
    <w:p>
      <w:pPr>
        <w:spacing w:after="0" w:line="203"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19</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ind w:left="1240"/>
        <w:spacing w:after="0"/>
        <w:rPr>
          <w:sz w:val="20"/>
          <w:szCs w:val="20"/>
          <w:color w:val="auto"/>
        </w:rPr>
      </w:pPr>
      <w:r>
        <w:rPr>
          <w:rFonts w:ascii="Arial" w:cs="Arial" w:eastAsia="Arial" w:hAnsi="Arial"/>
          <w:sz w:val="40"/>
          <w:szCs w:val="40"/>
          <w:color w:val="003B71"/>
        </w:rPr>
        <w:t>DIRECTORS AND CORPORATE GOVERNANCE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Composition and Board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Our Board of Directors currently consists of ten members. Our Board of Directors has affirmatively determined that all of our directors other than our Chairman of the Board and our Chief Executive Officer are independent directors under our standards as well as the applicable rules of NASDAQ. In addition, our Board of Directors affirmatively determined that each member of the Audit Committee, Messrs. Crawford, Dodds, Halkyard and Sheehan, satisfies the independence requirements for members of an audit committee as set forth in Rule 10A-3(b)(1) of the Exchange Act, and that each member of the Compensation Committee, Mr. Crawford, Mr. Griffith, Mr. Hockin, Ms. Mueller and Ms. Storms, satisfies the independence requirements for members of a compensation committee under the applicable rules of NASDAQ. Due to limited time commitments, Mr. Crawford has determined he will complete his current term as a director and not stand for re-election; he has no disagreement with the Company.</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Board of Directors met eight times in fiscal 2019, including regular and special meetings. During this period, no individual director attended fewer than 75% of the aggregate of (1) the total number of meetings of the Board of Directors and (2) the total number of meetings held by all committees on which he or she served.</w:t>
      </w:r>
    </w:p>
    <w:p>
      <w:pPr>
        <w:spacing w:after="0" w:line="20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Company invites members of the Board of Directors to attend its annual shareholder meeting and requires that they make every effort to attend the Annual Meeting absent an unavoidable and irreconcilable conflict. At the June 13, 2019 Annual Meeting of Shareholders, all of the directors attended.</w:t>
      </w:r>
    </w:p>
    <w:p>
      <w:pPr>
        <w:spacing w:after="0" w:line="20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Board of Directors has an Audit Committee, a Compensation Committee, a Nominating and Corporate Governance Committee and a Finance Committee. The charters for each of these committees are posted on our website at http://ir.daveandbusters.com/corporate-governance.</w:t>
      </w:r>
    </w:p>
    <w:p>
      <w:pPr>
        <w:spacing w:after="0" w:line="203"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The Audit Committee, comprised of Messrs. Crawford, Dodds, Halkyard and Sheehan, and chaired by Mr. Sheehan, recommends to the Board of Directors the appointment of the Company’s independent auditors, reviews and approves the scope of the annual audits of the Company’s financial statements, provides oversight of our internal control over financial reporting, reviews and approves any non-audit services performed by the independent auditors, reviews the findings and recommendations of the independent auditors and periodically reviews major accounting policies. The Audit Committee held eight meetings during fiscal 2019. The Board of Directors has determined that each of the members of the Audit Committee is qualified as a “financial expert” under the provisions of the Sarbanes-Oxley Act of 2002 and the rules and regulations of the SEC.</w:t>
      </w:r>
    </w:p>
    <w:p>
      <w:pPr>
        <w:spacing w:after="0" w:line="20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Compensation Committee comprised of Mr. Crawford, Mr. Griffith, Mr. Hockin, Ms. Mueller and Ms. Storms, and chaired by Mr. Griffith, reviews the Company’s compensation philosophy and strategy, administers incentive compensation and stock option plans, reviews the Chief Executive Officer’s performance and compensation, reviews recommendations on compensation of other executive officers and board members, and reviews other special compensation matters, such as executive employment agreements. The Compensation Committee held six meetings during fiscal 2019. The Compensation Committee has previously engaged AON Consulting as its independent compensation consultant. During fiscal 2019, the Compensation Committee reviewed AON Consulting and other independent compensation consultants and, in September 2019, selected FW Cook to succeed AON Consulting as the Compensation Committee’s independent compensation consultant.</w:t>
      </w:r>
    </w:p>
    <w:p>
      <w:pPr>
        <w:spacing w:after="0" w:line="20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Nominating and Corporate Governance Committee, comprised of Mr. Halkyard, Ms. Mueller, Mr. Sheehan and Ms. Storms, and chaired by Ms. Mueller, identifies and recommends the individuals qualified to be nominated for election to the Board of Directors, recommends the member of the Board of Directors qualified to be nominated for election as its Chairperson, recommends the members and chairperson for each committee of the Board of Directors, reviews and recommends to the Board matters regarding CEO succession plans, periodically reviews and assesses our Corporate Governance Guidelines and Principles and Code of Business Conduct and Ethics and oversees the annual self-evaluation of the performance of the Board of Directors. The Nominating and Corporate Governance Committee held four meetings during fiscal 2019.</w:t>
      </w:r>
    </w:p>
    <w:p>
      <w:pPr>
        <w:spacing w:after="0" w:line="12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20</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Finance Committee, comprised of Messrs. Dodds, Halkyard, Hockin, and Sheehan and Ms. Storms, and chaired by Mr. Halkyard, assists the Board of Directors in fulfilling its financial management oversight responsibilities by (i) assessing, overseeing and evaluating from time to time, policies and transactions affecting our financial objectives, (ii) reviewing our indebtedness, strategic planning, capital structure objectives, investment programs and policies, (iii) periodically auditing major capital expenditures, including real estate acquisitions and new store development, and (iv) working with our management and the Compensation Committee on annual operating goals. The Finance Committee met eleven times during fiscal 2019.</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The 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The entire Board of Directors is engaged in risk management oversight. At the present time, the Board of Directors has not established a separate committee to facilitate its risk oversight responsibilities. The Board of Directors will continue to monitor and assess whether such a committee would be appropriate. The Audit Committee assists the Board of Directors in its oversight of risk management and our process established to identify, measure, monitor, and manage risks, in particular major financial risks. The Board of Directors receives regular reports from management, as well as from the Audit Committee, regarding relevant risks and the actions taken by management to adequately address those risks.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Our Corporate Governance Guidelines and Principles require the Board to plan for CEO succession and oversee management development. During fiscal 2019 the Board reviewed management development and succession plans with respect to senior management positions with the CEO. The Board also reviewed succession plans with respect to the CEO.</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Board of Directors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Our Board of Directors does not have a policy requiring the roles of the Chairman of the Board and Chief Executive Officer to be filled by separate persons or a policy requiring the Chairman of the Board to be a non-employee director. The Board believes that it is in the best interest of the Company and its shareholders for the Board to make a determination on whether to separate or combine the roles of Chairman and CEO based upon the Company’s circumstances at any particular point in time, whether the Chairman role shall be held by an independent director, and if not, supported by a Lead Independent Director. Mr. King serves as Chairman of the Board. Since Mr. King is not an independent director, Mr. Griffith serves as Lead Independent Director. As set forth in our Corporate Governance Guidelines and Principles, the Lead Independent Director’s responsibilities include, but are not limited to:</w:t>
      </w:r>
    </w:p>
    <w:p>
      <w:pPr>
        <w:spacing w:after="0" w:line="68" w:lineRule="exact"/>
        <w:rPr>
          <w:sz w:val="20"/>
          <w:szCs w:val="20"/>
          <w:color w:val="auto"/>
        </w:rPr>
      </w:pPr>
    </w:p>
    <w:p>
      <w:pPr>
        <w:ind w:left="540" w:right="20" w:hanging="316"/>
        <w:spacing w:after="0" w:line="246" w:lineRule="auto"/>
        <w:tabs>
          <w:tab w:leader="none" w:pos="540" w:val="left"/>
        </w:tabs>
        <w:numPr>
          <w:ilvl w:val="0"/>
          <w:numId w:val="71"/>
        </w:numPr>
        <w:rPr>
          <w:rFonts w:ascii="Arial" w:cs="Arial" w:eastAsia="Arial" w:hAnsi="Arial"/>
          <w:sz w:val="18"/>
          <w:szCs w:val="18"/>
          <w:color w:val="003B71"/>
        </w:rPr>
      </w:pPr>
      <w:r>
        <w:rPr>
          <w:rFonts w:ascii="Arial" w:cs="Arial" w:eastAsia="Arial" w:hAnsi="Arial"/>
          <w:sz w:val="18"/>
          <w:szCs w:val="18"/>
          <w:color w:val="auto"/>
        </w:rPr>
        <w:t>convening, chairing and determining agendas for executive sessions of the non-management directors and coordinating feedback to the Chairman of the Board regarding issues discussed in executive sessions;</w:t>
      </w:r>
    </w:p>
    <w:p>
      <w:pPr>
        <w:spacing w:after="0" w:line="61" w:lineRule="exact"/>
        <w:rPr>
          <w:rFonts w:ascii="Arial" w:cs="Arial" w:eastAsia="Arial" w:hAnsi="Arial"/>
          <w:sz w:val="18"/>
          <w:szCs w:val="18"/>
          <w:color w:val="003B71"/>
        </w:rPr>
      </w:pPr>
    </w:p>
    <w:p>
      <w:pPr>
        <w:ind w:left="540" w:right="20" w:hanging="316"/>
        <w:spacing w:after="0" w:line="246" w:lineRule="auto"/>
        <w:tabs>
          <w:tab w:leader="none" w:pos="540" w:val="left"/>
        </w:tabs>
        <w:numPr>
          <w:ilvl w:val="0"/>
          <w:numId w:val="71"/>
        </w:numPr>
        <w:rPr>
          <w:rFonts w:ascii="Arial" w:cs="Arial" w:eastAsia="Arial" w:hAnsi="Arial"/>
          <w:sz w:val="18"/>
          <w:szCs w:val="18"/>
          <w:color w:val="003B71"/>
        </w:rPr>
      </w:pPr>
      <w:r>
        <w:rPr>
          <w:rFonts w:ascii="Arial" w:cs="Arial" w:eastAsia="Arial" w:hAnsi="Arial"/>
          <w:sz w:val="18"/>
          <w:szCs w:val="18"/>
          <w:color w:val="auto"/>
        </w:rPr>
        <w:t>determining in consultation with the Chairman of the Board the schedule for board meetings, agenda items and the Board’s information needs associated with those agenda items and identifying the need for and scope of related presentations;</w:t>
      </w:r>
    </w:p>
    <w:p>
      <w:pPr>
        <w:spacing w:after="0" w:line="61" w:lineRule="exact"/>
        <w:rPr>
          <w:rFonts w:ascii="Arial" w:cs="Arial" w:eastAsia="Arial" w:hAnsi="Arial"/>
          <w:sz w:val="18"/>
          <w:szCs w:val="18"/>
          <w:color w:val="003B71"/>
        </w:rPr>
      </w:pPr>
    </w:p>
    <w:p>
      <w:pPr>
        <w:ind w:left="540" w:right="20" w:hanging="316"/>
        <w:spacing w:after="0" w:line="246" w:lineRule="auto"/>
        <w:tabs>
          <w:tab w:leader="none" w:pos="540" w:val="left"/>
        </w:tabs>
        <w:numPr>
          <w:ilvl w:val="0"/>
          <w:numId w:val="71"/>
        </w:numPr>
        <w:rPr>
          <w:rFonts w:ascii="Arial" w:cs="Arial" w:eastAsia="Arial" w:hAnsi="Arial"/>
          <w:sz w:val="18"/>
          <w:szCs w:val="18"/>
          <w:color w:val="003B71"/>
        </w:rPr>
      </w:pPr>
      <w:r>
        <w:rPr>
          <w:rFonts w:ascii="Arial" w:cs="Arial" w:eastAsia="Arial" w:hAnsi="Arial"/>
          <w:sz w:val="18"/>
          <w:szCs w:val="18"/>
          <w:color w:val="auto"/>
        </w:rPr>
        <w:t>assisting the Board and its committees in the evaluation of senior management (including the CEO) and communicating the results of such evaluation to the CEO;</w:t>
      </w:r>
    </w:p>
    <w:p>
      <w:pPr>
        <w:spacing w:after="0" w:line="61" w:lineRule="exact"/>
        <w:rPr>
          <w:rFonts w:ascii="Arial" w:cs="Arial" w:eastAsia="Arial" w:hAnsi="Arial"/>
          <w:sz w:val="18"/>
          <w:szCs w:val="18"/>
          <w:color w:val="003B71"/>
        </w:rPr>
      </w:pPr>
    </w:p>
    <w:p>
      <w:pPr>
        <w:ind w:left="540" w:hanging="316"/>
        <w:spacing w:after="0"/>
        <w:tabs>
          <w:tab w:leader="none" w:pos="540" w:val="left"/>
        </w:tabs>
        <w:numPr>
          <w:ilvl w:val="0"/>
          <w:numId w:val="71"/>
        </w:numPr>
        <w:rPr>
          <w:rFonts w:ascii="Arial" w:cs="Arial" w:eastAsia="Arial" w:hAnsi="Arial"/>
          <w:sz w:val="18"/>
          <w:szCs w:val="18"/>
          <w:color w:val="003B71"/>
        </w:rPr>
      </w:pPr>
      <w:r>
        <w:rPr>
          <w:rFonts w:ascii="Arial" w:cs="Arial" w:eastAsia="Arial" w:hAnsi="Arial"/>
          <w:sz w:val="18"/>
          <w:szCs w:val="18"/>
          <w:color w:val="auto"/>
        </w:rPr>
        <w:t>serving as an information resource for other directors and acting as liaison between directors, committee chairs and management;</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71"/>
        </w:numPr>
        <w:rPr>
          <w:rFonts w:ascii="Arial" w:cs="Arial" w:eastAsia="Arial" w:hAnsi="Arial"/>
          <w:sz w:val="18"/>
          <w:szCs w:val="18"/>
          <w:color w:val="003B71"/>
        </w:rPr>
      </w:pPr>
      <w:r>
        <w:rPr>
          <w:rFonts w:ascii="Arial" w:cs="Arial" w:eastAsia="Arial" w:hAnsi="Arial"/>
          <w:sz w:val="18"/>
          <w:szCs w:val="18"/>
          <w:color w:val="auto"/>
        </w:rPr>
        <w:t>providing advice and counsel to the CEO;</w:t>
      </w:r>
    </w:p>
    <w:p>
      <w:pPr>
        <w:spacing w:after="0" w:line="76" w:lineRule="exact"/>
        <w:rPr>
          <w:rFonts w:ascii="Arial" w:cs="Arial" w:eastAsia="Arial" w:hAnsi="Arial"/>
          <w:sz w:val="18"/>
          <w:szCs w:val="18"/>
          <w:color w:val="003B71"/>
        </w:rPr>
      </w:pPr>
    </w:p>
    <w:p>
      <w:pPr>
        <w:ind w:left="540" w:right="20" w:hanging="316"/>
        <w:spacing w:after="0" w:line="246" w:lineRule="auto"/>
        <w:tabs>
          <w:tab w:leader="none" w:pos="540" w:val="left"/>
        </w:tabs>
        <w:numPr>
          <w:ilvl w:val="0"/>
          <w:numId w:val="71"/>
        </w:numPr>
        <w:rPr>
          <w:rFonts w:ascii="Arial" w:cs="Arial" w:eastAsia="Arial" w:hAnsi="Arial"/>
          <w:sz w:val="18"/>
          <w:szCs w:val="18"/>
          <w:color w:val="003B71"/>
        </w:rPr>
      </w:pPr>
      <w:r>
        <w:rPr>
          <w:rFonts w:ascii="Arial" w:cs="Arial" w:eastAsia="Arial" w:hAnsi="Arial"/>
          <w:sz w:val="18"/>
          <w:szCs w:val="18"/>
          <w:color w:val="auto"/>
        </w:rPr>
        <w:t>developing and implementing, with the Chairman of the Board and the Nominating and Corporate Governance Committee, the procedures governing the Board’s work;</w:t>
      </w:r>
    </w:p>
    <w:p>
      <w:pPr>
        <w:spacing w:after="0" w:line="61" w:lineRule="exact"/>
        <w:rPr>
          <w:rFonts w:ascii="Arial" w:cs="Arial" w:eastAsia="Arial" w:hAnsi="Arial"/>
          <w:sz w:val="18"/>
          <w:szCs w:val="18"/>
          <w:color w:val="003B71"/>
        </w:rPr>
      </w:pPr>
    </w:p>
    <w:p>
      <w:pPr>
        <w:ind w:left="540" w:right="20" w:hanging="316"/>
        <w:spacing w:after="0" w:line="246" w:lineRule="auto"/>
        <w:tabs>
          <w:tab w:leader="none" w:pos="540" w:val="left"/>
        </w:tabs>
        <w:numPr>
          <w:ilvl w:val="0"/>
          <w:numId w:val="71"/>
        </w:numPr>
        <w:rPr>
          <w:rFonts w:ascii="Arial" w:cs="Arial" w:eastAsia="Arial" w:hAnsi="Arial"/>
          <w:sz w:val="18"/>
          <w:szCs w:val="18"/>
          <w:color w:val="003B71"/>
        </w:rPr>
      </w:pPr>
      <w:r>
        <w:rPr>
          <w:rFonts w:ascii="Arial" w:cs="Arial" w:eastAsia="Arial" w:hAnsi="Arial"/>
          <w:sz w:val="18"/>
          <w:szCs w:val="18"/>
          <w:color w:val="auto"/>
        </w:rPr>
        <w:t>where appropriate and as directed by the Board, communicating with the shareholders, rating agencies, regulators and interested parties; and</w:t>
      </w:r>
    </w:p>
    <w:p>
      <w:pPr>
        <w:spacing w:after="0" w:line="61" w:lineRule="exact"/>
        <w:rPr>
          <w:rFonts w:ascii="Arial" w:cs="Arial" w:eastAsia="Arial" w:hAnsi="Arial"/>
          <w:sz w:val="18"/>
          <w:szCs w:val="18"/>
          <w:color w:val="003B71"/>
        </w:rPr>
      </w:pPr>
    </w:p>
    <w:p>
      <w:pPr>
        <w:ind w:left="540" w:hanging="316"/>
        <w:spacing w:after="0"/>
        <w:tabs>
          <w:tab w:leader="none" w:pos="540" w:val="left"/>
        </w:tabs>
        <w:numPr>
          <w:ilvl w:val="0"/>
          <w:numId w:val="71"/>
        </w:numPr>
        <w:rPr>
          <w:rFonts w:ascii="Arial" w:cs="Arial" w:eastAsia="Arial" w:hAnsi="Arial"/>
          <w:sz w:val="18"/>
          <w:szCs w:val="18"/>
          <w:color w:val="003B71"/>
        </w:rPr>
      </w:pPr>
      <w:r>
        <w:rPr>
          <w:rFonts w:ascii="Arial" w:cs="Arial" w:eastAsia="Arial" w:hAnsi="Arial"/>
          <w:sz w:val="18"/>
          <w:szCs w:val="18"/>
          <w:color w:val="auto"/>
        </w:rPr>
        <w:t>speaking for the Board in circumstances where it is appropriate for the Board to have a voice distinct from that of management.</w:t>
      </w:r>
    </w:p>
    <w:p>
      <w:pPr>
        <w:spacing w:after="0" w:line="136"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21</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Board continues to believe that due to Mr. King’s extensive knowledge of all aspects of the Company’s business, Mr. King is in the best position at this time to lead the Board of Directors as its Chairman, and Mr. Griffith is in the best position to serve in the capacity as Lead Independent Director. The Board believes this leadership structure serves the ability of the Board of Directors to exercise its oversight role over management by having a director who is not an officer or member of management serve in the role of Chairman supported by a strong Lead Independent Director, who ensures a continued significant role for independent directors in the leadership of the Company. This structure also allows Mr. Jenkins, as CEO, to focus his time and energy on leading and managing the Company’s business and operations. The Board believes that the strong Lead Independent Director, the use of regular executive sessions of the independent directors, the Board’s strong committee system, and all directors being independent except for Messrs. Jenkins and King, allow it to maintain effective oversight of management.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Compensation Committee intends to set director compensation levels at or near the market median relative to directors at companies of comparable size, industry and scope of operations in order to insure directors are competitively for their time commitment and responsibilities. A market competitive compensation package is important because it enables us to attract and retain highly qualified directors who are critical to our long-term success.</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all compensation earned by our non-employee directors during fiscal 2019 for service on our Board of</w:t>
      </w:r>
    </w:p>
    <w:p>
      <w:pPr>
        <w:ind w:left="120"/>
        <w:spacing w:after="0"/>
        <w:rPr>
          <w:sz w:val="20"/>
          <w:szCs w:val="20"/>
          <w:color w:val="auto"/>
        </w:rPr>
      </w:pPr>
      <w:r>
        <w:rPr>
          <w:rFonts w:ascii="Arial" w:cs="Arial" w:eastAsia="Arial" w:hAnsi="Arial"/>
          <w:sz w:val="18"/>
          <w:szCs w:val="18"/>
          <w:color w:val="auto"/>
        </w:rPr>
        <w:t>Directors: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003B71"/>
        </w:rPr>
        <w:t>DIRECTOR COMPENSATION TABLE(1)</w:t>
      </w:r>
    </w:p>
    <w:p>
      <w:pPr>
        <w:spacing w:after="0" w:line="40" w:lineRule="exact"/>
        <w:rPr>
          <w:sz w:val="20"/>
          <w:szCs w:val="20"/>
          <w:color w:val="auto"/>
        </w:rPr>
      </w:pPr>
    </w:p>
    <w:tbl>
      <w:tblPr>
        <w:tblLayout w:type="fixed"/>
        <w:tblInd w:w="120" w:type="dxa"/>
        <w:tblCellMar>
          <w:top w:w="0" w:type="dxa"/>
          <w:left w:w="0" w:type="dxa"/>
          <w:bottom w:w="0" w:type="dxa"/>
          <w:right w:w="0" w:type="dxa"/>
        </w:tblCellMar>
      </w:tblPr>
      <w:tr>
        <w:trPr>
          <w:trHeight w:val="156"/>
        </w:trPr>
        <w:tc>
          <w:tcPr>
            <w:tcW w:w="3900" w:type="dxa"/>
            <w:vAlign w:val="bottom"/>
            <w:tcBorders>
              <w:top w:val="single" w:sz="8" w:color="003B71"/>
            </w:tcBorders>
          </w:tcPr>
          <w:p>
            <w:pPr>
              <w:spacing w:after="0"/>
              <w:rPr>
                <w:sz w:val="13"/>
                <w:szCs w:val="13"/>
                <w:color w:val="auto"/>
              </w:rPr>
            </w:pPr>
          </w:p>
        </w:tc>
        <w:tc>
          <w:tcPr>
            <w:tcW w:w="3420" w:type="dxa"/>
            <w:vAlign w:val="bottom"/>
            <w:tcBorders>
              <w:top w:val="single" w:sz="8" w:color="003B71"/>
            </w:tcBorders>
            <w:gridSpan w:val="2"/>
          </w:tcPr>
          <w:p>
            <w:pPr>
              <w:ind w:left="2080"/>
              <w:spacing w:after="0" w:line="156" w:lineRule="exact"/>
              <w:rPr>
                <w:sz w:val="20"/>
                <w:szCs w:val="20"/>
                <w:color w:val="auto"/>
              </w:rPr>
            </w:pPr>
            <w:r>
              <w:rPr>
                <w:rFonts w:ascii="Arial" w:cs="Arial" w:eastAsia="Arial" w:hAnsi="Arial"/>
                <w:sz w:val="14"/>
                <w:szCs w:val="14"/>
                <w:b w:val="1"/>
                <w:bCs w:val="1"/>
                <w:color w:val="003B71"/>
              </w:rPr>
              <w:t>FEES EARNED</w:t>
            </w:r>
          </w:p>
        </w:tc>
        <w:tc>
          <w:tcPr>
            <w:tcW w:w="2200" w:type="dxa"/>
            <w:vAlign w:val="bottom"/>
            <w:tcBorders>
              <w:top w:val="single" w:sz="8" w:color="003B71"/>
            </w:tcBorders>
            <w:gridSpan w:val="2"/>
          </w:tcPr>
          <w:p>
            <w:pPr>
              <w:ind w:left="340"/>
              <w:spacing w:after="0" w:line="156" w:lineRule="exact"/>
              <w:rPr>
                <w:sz w:val="20"/>
                <w:szCs w:val="20"/>
                <w:color w:val="auto"/>
              </w:rPr>
            </w:pPr>
            <w:r>
              <w:rPr>
                <w:rFonts w:ascii="Arial" w:cs="Arial" w:eastAsia="Arial" w:hAnsi="Arial"/>
                <w:sz w:val="14"/>
                <w:szCs w:val="14"/>
                <w:b w:val="1"/>
                <w:bCs w:val="1"/>
                <w:color w:val="003B71"/>
              </w:rPr>
              <w:t>STOCK UNIT AWARDS</w:t>
            </w:r>
          </w:p>
        </w:tc>
        <w:tc>
          <w:tcPr>
            <w:tcW w:w="540" w:type="dxa"/>
            <w:vAlign w:val="bottom"/>
            <w:tcBorders>
              <w:top w:val="single" w:sz="8" w:color="003B71"/>
            </w:tcBorders>
          </w:tcPr>
          <w:p>
            <w:pPr>
              <w:spacing w:after="0"/>
              <w:rPr>
                <w:sz w:val="13"/>
                <w:szCs w:val="13"/>
                <w:color w:val="auto"/>
              </w:rPr>
            </w:pPr>
          </w:p>
        </w:tc>
        <w:tc>
          <w:tcPr>
            <w:tcW w:w="900" w:type="dxa"/>
            <w:vAlign w:val="bottom"/>
            <w:tcBorders>
              <w:top w:val="single" w:sz="8" w:color="003B71"/>
            </w:tcBorders>
          </w:tcPr>
          <w:p>
            <w:pPr>
              <w:jc w:val="right"/>
              <w:ind w:right="241"/>
              <w:spacing w:after="0" w:line="156" w:lineRule="exact"/>
              <w:rPr>
                <w:sz w:val="20"/>
                <w:szCs w:val="20"/>
                <w:color w:val="auto"/>
              </w:rPr>
            </w:pPr>
            <w:r>
              <w:rPr>
                <w:rFonts w:ascii="Arial" w:cs="Arial" w:eastAsia="Arial" w:hAnsi="Arial"/>
                <w:sz w:val="14"/>
                <w:szCs w:val="14"/>
                <w:b w:val="1"/>
                <w:bCs w:val="1"/>
                <w:color w:val="003B71"/>
              </w:rPr>
              <w:t>TOTAL</w:t>
            </w:r>
          </w:p>
        </w:tc>
        <w:tc>
          <w:tcPr>
            <w:tcW w:w="60" w:type="dxa"/>
            <w:vAlign w:val="bottom"/>
          </w:tcPr>
          <w:p>
            <w:pPr>
              <w:spacing w:after="0"/>
              <w:rPr>
                <w:sz w:val="13"/>
                <w:szCs w:val="13"/>
                <w:color w:val="auto"/>
              </w:rPr>
            </w:pPr>
          </w:p>
        </w:tc>
      </w:tr>
      <w:tr>
        <w:trPr>
          <w:trHeight w:val="189"/>
        </w:trPr>
        <w:tc>
          <w:tcPr>
            <w:tcW w:w="390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NAME(2)</w:t>
            </w:r>
          </w:p>
        </w:tc>
        <w:tc>
          <w:tcPr>
            <w:tcW w:w="2300" w:type="dxa"/>
            <w:vAlign w:val="bottom"/>
            <w:tcBorders>
              <w:bottom w:val="single" w:sz="8" w:color="003B71"/>
            </w:tcBorders>
          </w:tcPr>
          <w:p>
            <w:pPr>
              <w:spacing w:after="0"/>
              <w:rPr>
                <w:sz w:val="16"/>
                <w:szCs w:val="16"/>
                <w:color w:val="auto"/>
              </w:rPr>
            </w:pPr>
          </w:p>
        </w:tc>
        <w:tc>
          <w:tcPr>
            <w:tcW w:w="1120" w:type="dxa"/>
            <w:vAlign w:val="bottom"/>
            <w:tcBorders>
              <w:bottom w:val="single" w:sz="8" w:color="003B71"/>
            </w:tcBorders>
          </w:tcPr>
          <w:p>
            <w:pPr>
              <w:jc w:val="right"/>
              <w:ind w:right="580"/>
              <w:spacing w:after="0"/>
              <w:rPr>
                <w:sz w:val="20"/>
                <w:szCs w:val="20"/>
                <w:color w:val="auto"/>
              </w:rPr>
            </w:pPr>
            <w:r>
              <w:rPr>
                <w:rFonts w:ascii="Arial" w:cs="Arial" w:eastAsia="Arial" w:hAnsi="Arial"/>
                <w:sz w:val="14"/>
                <w:szCs w:val="14"/>
                <w:b w:val="1"/>
                <w:bCs w:val="1"/>
                <w:color w:val="003B71"/>
              </w:rPr>
              <w:t>($)(3)</w:t>
            </w:r>
          </w:p>
        </w:tc>
        <w:tc>
          <w:tcPr>
            <w:tcW w:w="680" w:type="dxa"/>
            <w:vAlign w:val="bottom"/>
            <w:tcBorders>
              <w:bottom w:val="single" w:sz="8" w:color="003B71"/>
            </w:tcBorders>
          </w:tcPr>
          <w:p>
            <w:pPr>
              <w:spacing w:after="0"/>
              <w:rPr>
                <w:sz w:val="16"/>
                <w:szCs w:val="16"/>
                <w:color w:val="auto"/>
              </w:rPr>
            </w:pPr>
          </w:p>
        </w:tc>
        <w:tc>
          <w:tcPr>
            <w:tcW w:w="1520" w:type="dxa"/>
            <w:vAlign w:val="bottom"/>
            <w:tcBorders>
              <w:bottom w:val="single" w:sz="8" w:color="003B71"/>
            </w:tcBorders>
          </w:tcPr>
          <w:p>
            <w:pPr>
              <w:jc w:val="right"/>
              <w:ind w:right="840"/>
              <w:spacing w:after="0"/>
              <w:rPr>
                <w:sz w:val="20"/>
                <w:szCs w:val="20"/>
                <w:color w:val="auto"/>
              </w:rPr>
            </w:pPr>
            <w:r>
              <w:rPr>
                <w:rFonts w:ascii="Arial" w:cs="Arial" w:eastAsia="Arial" w:hAnsi="Arial"/>
                <w:sz w:val="14"/>
                <w:szCs w:val="14"/>
                <w:b w:val="1"/>
                <w:bCs w:val="1"/>
                <w:color w:val="003B71"/>
              </w:rPr>
              <w:t>($)(4)</w:t>
            </w:r>
          </w:p>
        </w:tc>
        <w:tc>
          <w:tcPr>
            <w:tcW w:w="540" w:type="dxa"/>
            <w:vAlign w:val="bottom"/>
            <w:tcBorders>
              <w:bottom w:val="single" w:sz="8" w:color="003B71"/>
            </w:tcBorders>
          </w:tcPr>
          <w:p>
            <w:pPr>
              <w:spacing w:after="0"/>
              <w:rPr>
                <w:sz w:val="16"/>
                <w:szCs w:val="16"/>
                <w:color w:val="auto"/>
              </w:rPr>
            </w:pPr>
          </w:p>
        </w:tc>
        <w:tc>
          <w:tcPr>
            <w:tcW w:w="900" w:type="dxa"/>
            <w:vAlign w:val="bottom"/>
            <w:tcBorders>
              <w:bottom w:val="single" w:sz="8" w:color="003B71"/>
            </w:tcBorders>
          </w:tcPr>
          <w:p>
            <w:pPr>
              <w:jc w:val="right"/>
              <w:ind w:right="381"/>
              <w:spacing w:after="0"/>
              <w:rPr>
                <w:sz w:val="20"/>
                <w:szCs w:val="20"/>
                <w:color w:val="auto"/>
              </w:rPr>
            </w:pPr>
            <w:r>
              <w:rPr>
                <w:rFonts w:ascii="Arial" w:cs="Arial" w:eastAsia="Arial" w:hAnsi="Arial"/>
                <w:sz w:val="14"/>
                <w:szCs w:val="14"/>
                <w:b w:val="1"/>
                <w:bCs w:val="1"/>
                <w:color w:val="003B71"/>
              </w:rPr>
              <w:t>($)</w:t>
            </w:r>
          </w:p>
        </w:tc>
        <w:tc>
          <w:tcPr>
            <w:tcW w:w="60" w:type="dxa"/>
            <w:vAlign w:val="bottom"/>
            <w:tcBorders>
              <w:bottom w:val="single" w:sz="8" w:color="003B71"/>
            </w:tcBorders>
          </w:tcPr>
          <w:p>
            <w:pPr>
              <w:spacing w:after="0"/>
              <w:rPr>
                <w:sz w:val="16"/>
                <w:szCs w:val="16"/>
                <w:color w:val="auto"/>
              </w:rPr>
            </w:pPr>
          </w:p>
        </w:tc>
      </w:tr>
      <w:tr>
        <w:trPr>
          <w:trHeight w:val="183"/>
        </w:trPr>
        <w:tc>
          <w:tcPr>
            <w:tcW w:w="390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Victor L. Crawford(5)(6)</w:t>
            </w:r>
          </w:p>
        </w:tc>
        <w:tc>
          <w:tcPr>
            <w:tcW w:w="2300" w:type="dxa"/>
            <w:vAlign w:val="bottom"/>
            <w:shd w:val="clear" w:color="auto" w:fill="E5E5E5"/>
          </w:tcPr>
          <w:p>
            <w:pPr>
              <w:ind w:left="2080"/>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240"/>
              <w:spacing w:after="0" w:line="183" w:lineRule="exact"/>
              <w:rPr>
                <w:sz w:val="20"/>
                <w:szCs w:val="20"/>
                <w:color w:val="auto"/>
              </w:rPr>
            </w:pPr>
            <w:r>
              <w:rPr>
                <w:rFonts w:ascii="Arial" w:cs="Arial" w:eastAsia="Arial" w:hAnsi="Arial"/>
                <w:sz w:val="16"/>
                <w:szCs w:val="16"/>
                <w:color w:val="auto"/>
              </w:rPr>
              <w:t>65,000</w:t>
            </w:r>
          </w:p>
        </w:tc>
        <w:tc>
          <w:tcPr>
            <w:tcW w:w="680" w:type="dxa"/>
            <w:vAlign w:val="bottom"/>
            <w:shd w:val="clear" w:color="auto" w:fill="E5E5E5"/>
          </w:tcPr>
          <w:p>
            <w:pPr>
              <w:ind w:left="340"/>
              <w:spacing w:after="0" w:line="183" w:lineRule="exact"/>
              <w:rPr>
                <w:sz w:val="20"/>
                <w:szCs w:val="20"/>
                <w:color w:val="auto"/>
              </w:rPr>
            </w:pPr>
            <w:r>
              <w:rPr>
                <w:rFonts w:ascii="Arial" w:cs="Arial" w:eastAsia="Arial" w:hAnsi="Arial"/>
                <w:sz w:val="16"/>
                <w:szCs w:val="16"/>
                <w:color w:val="auto"/>
              </w:rPr>
              <w:t>$</w:t>
            </w:r>
          </w:p>
        </w:tc>
        <w:tc>
          <w:tcPr>
            <w:tcW w:w="1520" w:type="dxa"/>
            <w:vAlign w:val="bottom"/>
            <w:shd w:val="clear" w:color="auto" w:fill="E5E5E5"/>
          </w:tcPr>
          <w:p>
            <w:pPr>
              <w:jc w:val="right"/>
              <w:ind w:right="240"/>
              <w:spacing w:after="0" w:line="183" w:lineRule="exact"/>
              <w:rPr>
                <w:sz w:val="20"/>
                <w:szCs w:val="20"/>
                <w:color w:val="auto"/>
              </w:rPr>
            </w:pPr>
            <w:r>
              <w:rPr>
                <w:rFonts w:ascii="Arial" w:cs="Arial" w:eastAsia="Arial" w:hAnsi="Arial"/>
                <w:sz w:val="16"/>
                <w:szCs w:val="16"/>
                <w:color w:val="auto"/>
              </w:rPr>
              <w:t>124,962</w:t>
            </w:r>
          </w:p>
        </w:tc>
        <w:tc>
          <w:tcPr>
            <w:tcW w:w="540" w:type="dxa"/>
            <w:vAlign w:val="bottom"/>
            <w:shd w:val="clear" w:color="auto" w:fill="E5E5E5"/>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60" w:type="dxa"/>
            <w:vAlign w:val="bottom"/>
            <w:gridSpan w:val="2"/>
            <w:shd w:val="clear" w:color="auto" w:fill="E5E5E5"/>
          </w:tcPr>
          <w:p>
            <w:pPr>
              <w:jc w:val="right"/>
              <w:ind w:right="60"/>
              <w:spacing w:after="0" w:line="183" w:lineRule="exact"/>
              <w:rPr>
                <w:sz w:val="20"/>
                <w:szCs w:val="20"/>
                <w:color w:val="auto"/>
              </w:rPr>
            </w:pPr>
            <w:r>
              <w:rPr>
                <w:rFonts w:ascii="Arial" w:cs="Arial" w:eastAsia="Arial" w:hAnsi="Arial"/>
                <w:sz w:val="16"/>
                <w:szCs w:val="16"/>
                <w:color w:val="auto"/>
              </w:rPr>
              <w:t>189,962</w:t>
            </w:r>
          </w:p>
        </w:tc>
      </w:tr>
      <w:tr>
        <w:trPr>
          <w:trHeight w:val="189"/>
        </w:trPr>
        <w:tc>
          <w:tcPr>
            <w:tcW w:w="3900" w:type="dxa"/>
            <w:vAlign w:val="bottom"/>
          </w:tcPr>
          <w:p>
            <w:pPr>
              <w:ind w:left="60"/>
              <w:spacing w:after="0"/>
              <w:rPr>
                <w:sz w:val="20"/>
                <w:szCs w:val="20"/>
                <w:color w:val="auto"/>
              </w:rPr>
            </w:pPr>
            <w:r>
              <w:rPr>
                <w:rFonts w:ascii="Arial" w:cs="Arial" w:eastAsia="Arial" w:hAnsi="Arial"/>
                <w:sz w:val="16"/>
                <w:szCs w:val="16"/>
                <w:color w:val="auto"/>
              </w:rPr>
              <w:t>Hamish A. Dodds(6)</w:t>
            </w:r>
          </w:p>
        </w:tc>
        <w:tc>
          <w:tcPr>
            <w:tcW w:w="2300" w:type="dxa"/>
            <w:vAlign w:val="bottom"/>
          </w:tcPr>
          <w:p>
            <w:pPr>
              <w:ind w:left="20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40"/>
              <w:spacing w:after="0"/>
              <w:rPr>
                <w:sz w:val="20"/>
                <w:szCs w:val="20"/>
                <w:color w:val="auto"/>
              </w:rPr>
            </w:pPr>
            <w:r>
              <w:rPr>
                <w:rFonts w:ascii="Arial" w:cs="Arial" w:eastAsia="Arial" w:hAnsi="Arial"/>
                <w:sz w:val="16"/>
                <w:szCs w:val="16"/>
                <w:color w:val="auto"/>
              </w:rPr>
              <w:t>65,000</w:t>
            </w:r>
          </w:p>
        </w:tc>
        <w:tc>
          <w:tcPr>
            <w:tcW w:w="680" w:type="dxa"/>
            <w:vAlign w:val="bottom"/>
          </w:tcPr>
          <w:p>
            <w:pPr>
              <w:ind w:left="34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0"/>
              <w:spacing w:after="0"/>
              <w:rPr>
                <w:sz w:val="20"/>
                <w:szCs w:val="20"/>
                <w:color w:val="auto"/>
              </w:rPr>
            </w:pPr>
            <w:r>
              <w:rPr>
                <w:rFonts w:ascii="Arial" w:cs="Arial" w:eastAsia="Arial" w:hAnsi="Arial"/>
                <w:sz w:val="16"/>
                <w:szCs w:val="16"/>
                <w:color w:val="auto"/>
              </w:rPr>
              <w:t>124,962</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189,962</w:t>
            </w:r>
          </w:p>
        </w:tc>
      </w:tr>
      <w:tr>
        <w:trPr>
          <w:trHeight w:val="189"/>
        </w:trPr>
        <w:tc>
          <w:tcPr>
            <w:tcW w:w="3900" w:type="dxa"/>
            <w:vAlign w:val="bottom"/>
            <w:shd w:val="clear" w:color="auto" w:fill="E5E5E5"/>
          </w:tcPr>
          <w:p>
            <w:pPr>
              <w:ind w:left="60"/>
              <w:spacing w:after="0"/>
              <w:rPr>
                <w:sz w:val="20"/>
                <w:szCs w:val="20"/>
                <w:color w:val="auto"/>
              </w:rPr>
            </w:pPr>
            <w:r>
              <w:rPr>
                <w:rFonts w:ascii="Arial" w:cs="Arial" w:eastAsia="Arial" w:hAnsi="Arial"/>
                <w:sz w:val="16"/>
                <w:szCs w:val="16"/>
                <w:color w:val="auto"/>
              </w:rPr>
              <w:t>Michael J. Griffith(6)</w:t>
            </w:r>
          </w:p>
        </w:tc>
        <w:tc>
          <w:tcPr>
            <w:tcW w:w="230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240"/>
              <w:spacing w:after="0"/>
              <w:rPr>
                <w:sz w:val="20"/>
                <w:szCs w:val="20"/>
                <w:color w:val="auto"/>
              </w:rPr>
            </w:pPr>
            <w:r>
              <w:rPr>
                <w:rFonts w:ascii="Arial" w:cs="Arial" w:eastAsia="Arial" w:hAnsi="Arial"/>
                <w:sz w:val="16"/>
                <w:szCs w:val="16"/>
                <w:color w:val="auto"/>
              </w:rPr>
              <w:t>130,000</w:t>
            </w:r>
          </w:p>
        </w:tc>
        <w:tc>
          <w:tcPr>
            <w:tcW w:w="680" w:type="dxa"/>
            <w:vAlign w:val="bottom"/>
            <w:shd w:val="clear" w:color="auto" w:fill="E5E5E5"/>
          </w:tcPr>
          <w:p>
            <w:pPr>
              <w:ind w:left="3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E5E5E5"/>
          </w:tcPr>
          <w:p>
            <w:pPr>
              <w:jc w:val="right"/>
              <w:ind w:right="240"/>
              <w:spacing w:after="0"/>
              <w:rPr>
                <w:sz w:val="20"/>
                <w:szCs w:val="20"/>
                <w:color w:val="auto"/>
              </w:rPr>
            </w:pPr>
            <w:r>
              <w:rPr>
                <w:rFonts w:ascii="Arial" w:cs="Arial" w:eastAsia="Arial" w:hAnsi="Arial"/>
                <w:sz w:val="16"/>
                <w:szCs w:val="16"/>
                <w:color w:val="auto"/>
              </w:rPr>
              <w:t>124,962</w:t>
            </w:r>
          </w:p>
        </w:tc>
        <w:tc>
          <w:tcPr>
            <w:tcW w:w="5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254,962</w:t>
            </w:r>
          </w:p>
        </w:tc>
      </w:tr>
      <w:tr>
        <w:trPr>
          <w:trHeight w:val="189"/>
        </w:trPr>
        <w:tc>
          <w:tcPr>
            <w:tcW w:w="3900" w:type="dxa"/>
            <w:vAlign w:val="bottom"/>
          </w:tcPr>
          <w:p>
            <w:pPr>
              <w:ind w:left="60"/>
              <w:spacing w:after="0"/>
              <w:rPr>
                <w:sz w:val="20"/>
                <w:szCs w:val="20"/>
                <w:color w:val="auto"/>
              </w:rPr>
            </w:pPr>
            <w:r>
              <w:rPr>
                <w:rFonts w:ascii="Arial" w:cs="Arial" w:eastAsia="Arial" w:hAnsi="Arial"/>
                <w:sz w:val="16"/>
                <w:szCs w:val="16"/>
                <w:color w:val="auto"/>
              </w:rPr>
              <w:t>Jonathan S. Halkyard(6)</w:t>
            </w:r>
          </w:p>
        </w:tc>
        <w:tc>
          <w:tcPr>
            <w:tcW w:w="2300" w:type="dxa"/>
            <w:vAlign w:val="bottom"/>
          </w:tcPr>
          <w:p>
            <w:pPr>
              <w:ind w:left="20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40"/>
              <w:spacing w:after="0"/>
              <w:rPr>
                <w:sz w:val="20"/>
                <w:szCs w:val="20"/>
                <w:color w:val="auto"/>
              </w:rPr>
            </w:pPr>
            <w:r>
              <w:rPr>
                <w:rFonts w:ascii="Arial" w:cs="Arial" w:eastAsia="Arial" w:hAnsi="Arial"/>
                <w:sz w:val="16"/>
                <w:szCs w:val="16"/>
                <w:color w:val="auto"/>
              </w:rPr>
              <w:t>82,500</w:t>
            </w:r>
          </w:p>
        </w:tc>
        <w:tc>
          <w:tcPr>
            <w:tcW w:w="680" w:type="dxa"/>
            <w:vAlign w:val="bottom"/>
          </w:tcPr>
          <w:p>
            <w:pPr>
              <w:ind w:left="34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0"/>
              <w:spacing w:after="0"/>
              <w:rPr>
                <w:sz w:val="20"/>
                <w:szCs w:val="20"/>
                <w:color w:val="auto"/>
              </w:rPr>
            </w:pPr>
            <w:r>
              <w:rPr>
                <w:rFonts w:ascii="Arial" w:cs="Arial" w:eastAsia="Arial" w:hAnsi="Arial"/>
                <w:sz w:val="16"/>
                <w:szCs w:val="16"/>
                <w:color w:val="auto"/>
              </w:rPr>
              <w:t>124,962</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207,462</w:t>
            </w:r>
          </w:p>
        </w:tc>
      </w:tr>
      <w:tr>
        <w:trPr>
          <w:trHeight w:val="189"/>
        </w:trPr>
        <w:tc>
          <w:tcPr>
            <w:tcW w:w="3900" w:type="dxa"/>
            <w:vAlign w:val="bottom"/>
            <w:shd w:val="clear" w:color="auto" w:fill="E5E5E5"/>
          </w:tcPr>
          <w:p>
            <w:pPr>
              <w:ind w:left="60"/>
              <w:spacing w:after="0"/>
              <w:rPr>
                <w:sz w:val="20"/>
                <w:szCs w:val="20"/>
                <w:color w:val="auto"/>
              </w:rPr>
            </w:pPr>
            <w:r>
              <w:rPr>
                <w:rFonts w:ascii="Arial" w:cs="Arial" w:eastAsia="Arial" w:hAnsi="Arial"/>
                <w:sz w:val="16"/>
                <w:szCs w:val="16"/>
                <w:color w:val="auto"/>
              </w:rPr>
              <w:t>Stephen M. King(6)</w:t>
            </w:r>
          </w:p>
        </w:tc>
        <w:tc>
          <w:tcPr>
            <w:tcW w:w="230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240"/>
              <w:spacing w:after="0"/>
              <w:rPr>
                <w:sz w:val="20"/>
                <w:szCs w:val="20"/>
                <w:color w:val="auto"/>
              </w:rPr>
            </w:pPr>
            <w:r>
              <w:rPr>
                <w:rFonts w:ascii="Arial" w:cs="Arial" w:eastAsia="Arial" w:hAnsi="Arial"/>
                <w:sz w:val="16"/>
                <w:szCs w:val="16"/>
                <w:color w:val="auto"/>
              </w:rPr>
              <w:t>140,000</w:t>
            </w:r>
          </w:p>
        </w:tc>
        <w:tc>
          <w:tcPr>
            <w:tcW w:w="680" w:type="dxa"/>
            <w:vAlign w:val="bottom"/>
            <w:shd w:val="clear" w:color="auto" w:fill="E5E5E5"/>
          </w:tcPr>
          <w:p>
            <w:pPr>
              <w:ind w:left="3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E5E5E5"/>
          </w:tcPr>
          <w:p>
            <w:pPr>
              <w:jc w:val="right"/>
              <w:ind w:right="240"/>
              <w:spacing w:after="0"/>
              <w:rPr>
                <w:sz w:val="20"/>
                <w:szCs w:val="20"/>
                <w:color w:val="auto"/>
              </w:rPr>
            </w:pPr>
            <w:r>
              <w:rPr>
                <w:rFonts w:ascii="Arial" w:cs="Arial" w:eastAsia="Arial" w:hAnsi="Arial"/>
                <w:sz w:val="16"/>
                <w:szCs w:val="16"/>
                <w:color w:val="auto"/>
              </w:rPr>
              <w:t>124,962</w:t>
            </w:r>
          </w:p>
        </w:tc>
        <w:tc>
          <w:tcPr>
            <w:tcW w:w="5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264,962</w:t>
            </w:r>
          </w:p>
        </w:tc>
      </w:tr>
      <w:tr>
        <w:trPr>
          <w:trHeight w:val="189"/>
        </w:trPr>
        <w:tc>
          <w:tcPr>
            <w:tcW w:w="3900" w:type="dxa"/>
            <w:vAlign w:val="bottom"/>
          </w:tcPr>
          <w:p>
            <w:pPr>
              <w:ind w:left="60"/>
              <w:spacing w:after="0"/>
              <w:rPr>
                <w:sz w:val="20"/>
                <w:szCs w:val="20"/>
                <w:color w:val="auto"/>
              </w:rPr>
            </w:pPr>
            <w:r>
              <w:rPr>
                <w:rFonts w:ascii="Arial" w:cs="Arial" w:eastAsia="Arial" w:hAnsi="Arial"/>
                <w:sz w:val="16"/>
                <w:szCs w:val="16"/>
                <w:color w:val="auto"/>
              </w:rPr>
              <w:t>Patricia H. Mueller(6)</w:t>
            </w:r>
          </w:p>
        </w:tc>
        <w:tc>
          <w:tcPr>
            <w:tcW w:w="2300" w:type="dxa"/>
            <w:vAlign w:val="bottom"/>
          </w:tcPr>
          <w:p>
            <w:pPr>
              <w:ind w:left="20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40"/>
              <w:spacing w:after="0"/>
              <w:rPr>
                <w:sz w:val="20"/>
                <w:szCs w:val="20"/>
                <w:color w:val="auto"/>
              </w:rPr>
            </w:pPr>
            <w:r>
              <w:rPr>
                <w:rFonts w:ascii="Arial" w:cs="Arial" w:eastAsia="Arial" w:hAnsi="Arial"/>
                <w:sz w:val="16"/>
                <w:szCs w:val="16"/>
                <w:color w:val="auto"/>
              </w:rPr>
              <w:t>72,500</w:t>
            </w:r>
          </w:p>
        </w:tc>
        <w:tc>
          <w:tcPr>
            <w:tcW w:w="680" w:type="dxa"/>
            <w:vAlign w:val="bottom"/>
          </w:tcPr>
          <w:p>
            <w:pPr>
              <w:ind w:left="34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0"/>
              <w:spacing w:after="0"/>
              <w:rPr>
                <w:sz w:val="20"/>
                <w:szCs w:val="20"/>
                <w:color w:val="auto"/>
              </w:rPr>
            </w:pPr>
            <w:r>
              <w:rPr>
                <w:rFonts w:ascii="Arial" w:cs="Arial" w:eastAsia="Arial" w:hAnsi="Arial"/>
                <w:sz w:val="16"/>
                <w:szCs w:val="16"/>
                <w:color w:val="auto"/>
              </w:rPr>
              <w:t>124,962</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197,462</w:t>
            </w:r>
          </w:p>
        </w:tc>
      </w:tr>
      <w:tr>
        <w:trPr>
          <w:trHeight w:val="189"/>
        </w:trPr>
        <w:tc>
          <w:tcPr>
            <w:tcW w:w="3900" w:type="dxa"/>
            <w:vAlign w:val="bottom"/>
            <w:shd w:val="clear" w:color="auto" w:fill="E5E5E5"/>
          </w:tcPr>
          <w:p>
            <w:pPr>
              <w:ind w:left="60"/>
              <w:spacing w:after="0"/>
              <w:rPr>
                <w:sz w:val="20"/>
                <w:szCs w:val="20"/>
                <w:color w:val="auto"/>
              </w:rPr>
            </w:pPr>
            <w:r>
              <w:rPr>
                <w:rFonts w:ascii="Arial" w:cs="Arial" w:eastAsia="Arial" w:hAnsi="Arial"/>
                <w:sz w:val="16"/>
                <w:szCs w:val="16"/>
                <w:color w:val="auto"/>
              </w:rPr>
              <w:t>Kevin M. Sheehan(6)</w:t>
            </w:r>
          </w:p>
        </w:tc>
        <w:tc>
          <w:tcPr>
            <w:tcW w:w="2300" w:type="dxa"/>
            <w:vAlign w:val="bottom"/>
            <w:shd w:val="clear" w:color="auto" w:fill="E5E5E5"/>
          </w:tcPr>
          <w:p>
            <w:pPr>
              <w:ind w:left="20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5E5E5"/>
          </w:tcPr>
          <w:p>
            <w:pPr>
              <w:jc w:val="right"/>
              <w:ind w:right="240"/>
              <w:spacing w:after="0"/>
              <w:rPr>
                <w:sz w:val="20"/>
                <w:szCs w:val="20"/>
                <w:color w:val="auto"/>
              </w:rPr>
            </w:pPr>
            <w:r>
              <w:rPr>
                <w:rFonts w:ascii="Arial" w:cs="Arial" w:eastAsia="Arial" w:hAnsi="Arial"/>
                <w:sz w:val="16"/>
                <w:szCs w:val="16"/>
                <w:color w:val="auto"/>
              </w:rPr>
              <w:t>85,000</w:t>
            </w:r>
          </w:p>
        </w:tc>
        <w:tc>
          <w:tcPr>
            <w:tcW w:w="680" w:type="dxa"/>
            <w:vAlign w:val="bottom"/>
            <w:shd w:val="clear" w:color="auto" w:fill="E5E5E5"/>
          </w:tcPr>
          <w:p>
            <w:pPr>
              <w:ind w:left="3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E5E5E5"/>
          </w:tcPr>
          <w:p>
            <w:pPr>
              <w:jc w:val="right"/>
              <w:ind w:right="240"/>
              <w:spacing w:after="0"/>
              <w:rPr>
                <w:sz w:val="20"/>
                <w:szCs w:val="20"/>
                <w:color w:val="auto"/>
              </w:rPr>
            </w:pPr>
            <w:r>
              <w:rPr>
                <w:rFonts w:ascii="Arial" w:cs="Arial" w:eastAsia="Arial" w:hAnsi="Arial"/>
                <w:sz w:val="16"/>
                <w:szCs w:val="16"/>
                <w:color w:val="auto"/>
              </w:rPr>
              <w:t>124,962</w:t>
            </w:r>
          </w:p>
        </w:tc>
        <w:tc>
          <w:tcPr>
            <w:tcW w:w="5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209,962</w:t>
            </w:r>
          </w:p>
        </w:tc>
      </w:tr>
      <w:tr>
        <w:trPr>
          <w:trHeight w:val="189"/>
        </w:trPr>
        <w:tc>
          <w:tcPr>
            <w:tcW w:w="3900" w:type="dxa"/>
            <w:vAlign w:val="bottom"/>
            <w:tcBorders>
              <w:bottom w:val="single" w:sz="8" w:color="003B71"/>
            </w:tcBorders>
          </w:tcPr>
          <w:p>
            <w:pPr>
              <w:ind w:left="60"/>
              <w:spacing w:after="0"/>
              <w:rPr>
                <w:sz w:val="20"/>
                <w:szCs w:val="20"/>
                <w:color w:val="auto"/>
              </w:rPr>
            </w:pPr>
            <w:r>
              <w:rPr>
                <w:rFonts w:ascii="Arial" w:cs="Arial" w:eastAsia="Arial" w:hAnsi="Arial"/>
                <w:sz w:val="16"/>
                <w:szCs w:val="16"/>
                <w:color w:val="auto"/>
              </w:rPr>
              <w:t>Jennifer Storms(6)</w:t>
            </w:r>
          </w:p>
        </w:tc>
        <w:tc>
          <w:tcPr>
            <w:tcW w:w="2300" w:type="dxa"/>
            <w:vAlign w:val="bottom"/>
            <w:tcBorders>
              <w:bottom w:val="single" w:sz="8" w:color="003B71"/>
            </w:tcBorders>
          </w:tcPr>
          <w:p>
            <w:pPr>
              <w:ind w:left="20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003B71"/>
            </w:tcBorders>
          </w:tcPr>
          <w:p>
            <w:pPr>
              <w:jc w:val="right"/>
              <w:ind w:right="240"/>
              <w:spacing w:after="0"/>
              <w:rPr>
                <w:sz w:val="20"/>
                <w:szCs w:val="20"/>
                <w:color w:val="auto"/>
              </w:rPr>
            </w:pPr>
            <w:r>
              <w:rPr>
                <w:rFonts w:ascii="Arial" w:cs="Arial" w:eastAsia="Arial" w:hAnsi="Arial"/>
                <w:sz w:val="16"/>
                <w:szCs w:val="16"/>
                <w:color w:val="auto"/>
              </w:rPr>
              <w:t>65,000</w:t>
            </w:r>
          </w:p>
        </w:tc>
        <w:tc>
          <w:tcPr>
            <w:tcW w:w="680" w:type="dxa"/>
            <w:vAlign w:val="bottom"/>
            <w:tcBorders>
              <w:bottom w:val="single" w:sz="8" w:color="003B71"/>
            </w:tcBorders>
          </w:tcPr>
          <w:p>
            <w:pPr>
              <w:ind w:left="3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003B71"/>
            </w:tcBorders>
          </w:tcPr>
          <w:p>
            <w:pPr>
              <w:jc w:val="right"/>
              <w:ind w:right="240"/>
              <w:spacing w:after="0"/>
              <w:rPr>
                <w:sz w:val="20"/>
                <w:szCs w:val="20"/>
                <w:color w:val="auto"/>
              </w:rPr>
            </w:pPr>
            <w:r>
              <w:rPr>
                <w:rFonts w:ascii="Arial" w:cs="Arial" w:eastAsia="Arial" w:hAnsi="Arial"/>
                <w:sz w:val="16"/>
                <w:szCs w:val="16"/>
                <w:color w:val="auto"/>
              </w:rPr>
              <w:t>124,962</w:t>
            </w:r>
          </w:p>
        </w:tc>
        <w:tc>
          <w:tcPr>
            <w:tcW w:w="540" w:type="dxa"/>
            <w:vAlign w:val="bottom"/>
            <w:tcBorders>
              <w:bottom w:val="single" w:sz="8" w:color="003B71"/>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003B71"/>
            </w:tcBorders>
            <w:gridSpan w:val="2"/>
          </w:tcPr>
          <w:p>
            <w:pPr>
              <w:jc w:val="right"/>
              <w:ind w:right="60"/>
              <w:spacing w:after="0"/>
              <w:rPr>
                <w:sz w:val="20"/>
                <w:szCs w:val="20"/>
                <w:color w:val="auto"/>
              </w:rPr>
            </w:pPr>
            <w:r>
              <w:rPr>
                <w:rFonts w:ascii="Arial" w:cs="Arial" w:eastAsia="Arial" w:hAnsi="Arial"/>
                <w:sz w:val="16"/>
                <w:szCs w:val="16"/>
                <w:color w:val="auto"/>
              </w:rPr>
              <w:t>189,962</w:t>
            </w:r>
          </w:p>
        </w:tc>
      </w:tr>
    </w:tbl>
    <w:p>
      <w:pPr>
        <w:spacing w:after="0" w:line="83" w:lineRule="exact"/>
        <w:rPr>
          <w:sz w:val="20"/>
          <w:szCs w:val="20"/>
          <w:color w:val="auto"/>
        </w:rPr>
      </w:pPr>
    </w:p>
    <w:p>
      <w:pPr>
        <w:ind w:left="540" w:right="20" w:hanging="424"/>
        <w:spacing w:after="0" w:line="260" w:lineRule="auto"/>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Omitted from the table are option awards, non-equity incentive plan compensation, nonqualified deferred compensation earnings, and all other compensation as none of the non-employee directors received any compensation in these categories during fiscal 2019.</w:t>
      </w:r>
    </w:p>
    <w:p>
      <w:pPr>
        <w:spacing w:after="0" w:line="60" w:lineRule="exact"/>
        <w:rPr>
          <w:rFonts w:ascii="Arial" w:cs="Arial" w:eastAsia="Arial" w:hAnsi="Arial"/>
          <w:sz w:val="16"/>
          <w:szCs w:val="16"/>
          <w:color w:val="auto"/>
        </w:rPr>
      </w:pPr>
    </w:p>
    <w:p>
      <w:pPr>
        <w:jc w:val="both"/>
        <w:ind w:left="540" w:right="20" w:hanging="424"/>
        <w:spacing w:after="0" w:line="249" w:lineRule="auto"/>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Mr. Jenkins is omitted from the Director Compensation Table as being an employee director. Mr. Jenkins did not receive compensation for service on our Board of Directors other than reimbursement for out-of-pocket expenses incurred in connection with the rendering of such service. Mr. Jenkins compensation is reflected in the Summary Compensation Table of this Proxy Statement. While Mr. King is an employee director, he is not a named executive officer of the Company; accordingly, Mr. King’s fees for service on our Board of Directors are included above; these fees include $25,000 Mr. King receives as an employee of the Company. Mr. Hockin is omitted from the Director Compensation Table as he joined our Board of Directors in early-May 2020.</w:t>
      </w:r>
    </w:p>
    <w:p>
      <w:pPr>
        <w:spacing w:after="0" w:line="69" w:lineRule="exact"/>
        <w:rPr>
          <w:rFonts w:ascii="Arial" w:cs="Arial" w:eastAsia="Arial" w:hAnsi="Arial"/>
          <w:sz w:val="16"/>
          <w:szCs w:val="16"/>
          <w:color w:val="auto"/>
        </w:rPr>
      </w:pPr>
    </w:p>
    <w:p>
      <w:pPr>
        <w:jc w:val="both"/>
        <w:ind w:left="540" w:right="20" w:hanging="424"/>
        <w:spacing w:after="0" w:line="248" w:lineRule="auto"/>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Reflects the annual stipend received for service on the Board of Directors, as well as service as chair of a Board of Directors’ committee or as Lead Independent Director during fiscal 2019. Board members are also reimbursed for out-of-pocket expenses incurred in connection with their board service. Such reimbursements are not included in this table. Pursuant to the 2016 Deferred Compensation Plan for Non-Employee Directors (the “Director Deferred Compensation Plan”), each non-employee director has the option to defer payment of all or a portion of his or her annual stipend. Amounts deferred, plus interest accrued thereon, will be distributed upon death or disability of the director or over a period not to exceed five years, as elected by the director, following the date he or she leaves the Board of Directors. Pursuant to the Director Deferred Compensation Plan, for fiscal 2019, no director deferred any of their annual stipend.</w:t>
      </w:r>
    </w:p>
    <w:p>
      <w:pPr>
        <w:spacing w:after="0" w:line="73" w:lineRule="exact"/>
        <w:rPr>
          <w:rFonts w:ascii="Arial" w:cs="Arial" w:eastAsia="Arial" w:hAnsi="Arial"/>
          <w:sz w:val="16"/>
          <w:szCs w:val="16"/>
          <w:color w:val="auto"/>
        </w:rPr>
      </w:pPr>
    </w:p>
    <w:p>
      <w:pPr>
        <w:jc w:val="both"/>
        <w:ind w:left="540" w:right="20" w:hanging="424"/>
        <w:spacing w:after="0" w:line="253" w:lineRule="auto"/>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amounts shown in this column represent the aggregate grant date fair values of the restricted stock units awarded to Messrs. Crawford, Dodds, Griffith, Halkyard, King and Sheehan and Mss. Mueller and Storms on April 11, 2019. Each restricted stock unit vests one year after the award date. As of February 2, 2020, the aggregate number of shares of Company common</w:t>
      </w:r>
    </w:p>
    <w:p>
      <w:pPr>
        <w:spacing w:after="0" w:line="122"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22</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540" w:right="20"/>
        <w:spacing w:after="0" w:line="251" w:lineRule="auto"/>
        <w:rPr>
          <w:sz w:val="20"/>
          <w:szCs w:val="20"/>
          <w:color w:val="auto"/>
        </w:rPr>
      </w:pPr>
      <w:r>
        <w:rPr>
          <w:rFonts w:ascii="Arial" w:cs="Arial" w:eastAsia="Arial" w:hAnsi="Arial"/>
          <w:sz w:val="16"/>
          <w:szCs w:val="16"/>
          <w:color w:val="auto"/>
        </w:rPr>
        <w:t>stock underlying outstanding non-vested restricted stock units for each non-employee director was 2,418. Pursuant to the Director Deferred Compensation Plan, each non-employee director has the option to defer the distribution of all or a portion of restricted stock units. Units deferred will be distributed upon death or disability of the director or over a period not to exceed five years, as elected by the director, following the date he or she leaves the Board of Directors.</w:t>
      </w:r>
    </w:p>
    <w:p>
      <w:pPr>
        <w:spacing w:after="0" w:line="108" w:lineRule="exact"/>
        <w:rPr>
          <w:sz w:val="20"/>
          <w:szCs w:val="20"/>
          <w:color w:val="auto"/>
        </w:rPr>
      </w:pPr>
    </w:p>
    <w:p>
      <w:pPr>
        <w:ind w:left="540" w:right="20" w:hanging="424"/>
        <w:spacing w:after="0" w:line="260" w:lineRule="auto"/>
        <w:tabs>
          <w:tab w:leader="none" w:pos="5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Due to limited time commitments, Mr. Crawford has determined he will complete his current term as a director and not stand for re-election; he has no disagreement with the Company.</w:t>
      </w:r>
    </w:p>
    <w:p>
      <w:pPr>
        <w:spacing w:after="0" w:line="100" w:lineRule="exact"/>
        <w:rPr>
          <w:rFonts w:ascii="Arial" w:cs="Arial" w:eastAsia="Arial" w:hAnsi="Arial"/>
          <w:sz w:val="16"/>
          <w:szCs w:val="16"/>
          <w:color w:val="auto"/>
        </w:rPr>
      </w:pPr>
    </w:p>
    <w:p>
      <w:pPr>
        <w:jc w:val="both"/>
        <w:ind w:left="540" w:right="20" w:hanging="424"/>
        <w:spacing w:after="0" w:line="249" w:lineRule="auto"/>
        <w:tabs>
          <w:tab w:leader="none" w:pos="5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following table details the outstanding equity awards of the current members of the Board of Directors. Mr. Jenkins is omitted from this table as his outstanding equity is reflected in the Outstanding Equity Awards Table elsewhere in this Proxy Statement. Mr. Crawford and Mr. Dodds are not listed in the following table because all of their equity awards are held in restricted stock or restricted stock units and they do not hold any stock options. Mr. Hockin is not listed as he joined the Board in early-May 2020. In addition to the stock options listed in the following table, at 2019 fiscal year end, Mr. King also holds a grant of target RSU awards under the Fiscal 2018-Fiscal 2020 LTIP of 6,302 and a grant of target RSU awards under the Fiscal 2017-Fiscal 2019 LTIP of 10,997.</w:t>
      </w:r>
    </w:p>
    <w:p>
      <w:pPr>
        <w:sectPr>
          <w:pgSz w:w="11900" w:h="16838" w:orient="portrait"/>
          <w:cols w:equalWidth="0" w:num="1">
            <w:col w:w="11140"/>
          </w:cols>
          <w:pgMar w:left="320" w:top="459" w:right="439" w:bottom="1440" w:gutter="0" w:footer="0" w:header="0"/>
        </w:sectPr>
      </w:pP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Directors Outstanding Equity Awards at 2019 Fiscal Year End</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003B71"/>
              </w:rPr>
              <w:t>Number of</w:t>
            </w:r>
          </w:p>
        </w:tc>
      </w:tr>
      <w:tr>
        <w:trPr>
          <w:trHeight w:val="162"/>
        </w:trPr>
        <w:tc>
          <w:tcPr>
            <w:tcW w:w="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003B71"/>
              </w:rPr>
              <w:t>Securities</w:t>
            </w:r>
          </w:p>
        </w:tc>
      </w:tr>
      <w:tr>
        <w:trPr>
          <w:trHeight w:val="162"/>
        </w:trPr>
        <w:tc>
          <w:tcPr>
            <w:tcW w:w="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003B71"/>
              </w:rPr>
              <w:t>Underlying</w:t>
            </w:r>
          </w:p>
        </w:tc>
      </w:tr>
      <w:tr>
        <w:trPr>
          <w:trHeight w:val="162"/>
        </w:trPr>
        <w:tc>
          <w:tcPr>
            <w:tcW w:w="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003B71"/>
              </w:rPr>
              <w:t>Unexercised</w:t>
            </w:r>
          </w:p>
        </w:tc>
      </w:tr>
      <w:tr>
        <w:trPr>
          <w:trHeight w:val="162"/>
        </w:trPr>
        <w:tc>
          <w:tcPr>
            <w:tcW w:w="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003B71"/>
              </w:rPr>
              <w:t>Options</w:t>
            </w:r>
          </w:p>
        </w:tc>
      </w:tr>
      <w:tr>
        <w:trPr>
          <w:trHeight w:val="162"/>
        </w:trPr>
        <w:tc>
          <w:tcPr>
            <w:tcW w:w="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003B71"/>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03B71"/>
              </w:rPr>
              <w:t>NAME</w:t>
            </w:r>
          </w:p>
        </w:tc>
        <w:tc>
          <w:tcPr>
            <w:tcW w:w="4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3B71"/>
                <w:w w:val="97"/>
              </w:rPr>
              <w:t>Exercisable</w:t>
            </w:r>
          </w:p>
        </w:tc>
        <w:tc>
          <w:tcPr>
            <w:tcW w:w="80" w:type="dxa"/>
            <w:vAlign w:val="bottom"/>
            <w:gridSpan w:val="2"/>
          </w:tcPr>
          <w:p>
            <w:pPr>
              <w:spacing w:after="0"/>
              <w:rPr>
                <w:sz w:val="15"/>
                <w:szCs w:val="15"/>
                <w:color w:val="auto"/>
              </w:rPr>
            </w:pPr>
          </w:p>
        </w:tc>
      </w:tr>
      <w:tr>
        <w:trPr>
          <w:trHeight w:val="183"/>
        </w:trPr>
        <w:tc>
          <w:tcPr>
            <w:tcW w:w="5040" w:type="dxa"/>
            <w:vAlign w:val="bottom"/>
            <w:gridSpan w:val="2"/>
            <w:shd w:val="clear" w:color="auto" w:fill="E5E5E5"/>
          </w:tcPr>
          <w:p>
            <w:pPr>
              <w:ind w:left="80"/>
              <w:spacing w:after="0" w:line="183" w:lineRule="exact"/>
              <w:rPr>
                <w:sz w:val="20"/>
                <w:szCs w:val="20"/>
                <w:color w:val="auto"/>
              </w:rPr>
            </w:pPr>
            <w:r>
              <w:rPr>
                <w:rFonts w:ascii="Arial" w:cs="Arial" w:eastAsia="Arial" w:hAnsi="Arial"/>
                <w:sz w:val="16"/>
                <w:szCs w:val="16"/>
                <w:color w:val="auto"/>
              </w:rPr>
              <w:t>Michael J. Griffith</w:t>
            </w:r>
          </w:p>
        </w:tc>
        <w:tc>
          <w:tcPr>
            <w:tcW w:w="920" w:type="dxa"/>
            <w:vAlign w:val="bottom"/>
            <w:gridSpan w:val="4"/>
          </w:tcPr>
          <w:p>
            <w:pPr>
              <w:jc w:val="right"/>
              <w:ind w:right="60"/>
              <w:spacing w:after="0" w:line="183" w:lineRule="exact"/>
              <w:rPr>
                <w:sz w:val="20"/>
                <w:szCs w:val="20"/>
                <w:color w:val="auto"/>
              </w:rPr>
            </w:pPr>
            <w:r>
              <w:rPr>
                <w:rFonts w:ascii="Arial" w:cs="Arial" w:eastAsia="Arial" w:hAnsi="Arial"/>
                <w:sz w:val="16"/>
                <w:szCs w:val="16"/>
                <w:color w:val="auto"/>
              </w:rPr>
              <w:t>23,934</w:t>
            </w:r>
          </w:p>
        </w:tc>
      </w:tr>
      <w:tr>
        <w:trPr>
          <w:trHeight w:val="191"/>
        </w:trPr>
        <w:tc>
          <w:tcPr>
            <w:tcW w:w="440" w:type="dxa"/>
            <w:vAlign w:val="bottom"/>
            <w:shd w:val="clear" w:color="auto" w:fill="E5E5E5"/>
          </w:tcPr>
          <w:p>
            <w:pPr>
              <w:spacing w:after="0"/>
              <w:rPr>
                <w:sz w:val="16"/>
                <w:szCs w:val="16"/>
                <w:color w:val="auto"/>
              </w:rPr>
            </w:pPr>
          </w:p>
        </w:tc>
        <w:tc>
          <w:tcPr>
            <w:tcW w:w="4600" w:type="dxa"/>
            <w:vAlign w:val="bottom"/>
            <w:shd w:val="clear" w:color="auto" w:fill="E5E5E5"/>
          </w:tcPr>
          <w:p>
            <w:pPr>
              <w:spacing w:after="0"/>
              <w:rPr>
                <w:sz w:val="16"/>
                <w:szCs w:val="16"/>
                <w:color w:val="auto"/>
              </w:rPr>
            </w:pPr>
          </w:p>
        </w:tc>
        <w:tc>
          <w:tcPr>
            <w:tcW w:w="60" w:type="dxa"/>
            <w:vAlign w:val="bottom"/>
            <w:tcBorders>
              <w:right w:val="single" w:sz="8" w:color="E5E5E5"/>
            </w:tcBorders>
            <w:shd w:val="clear" w:color="auto" w:fill="E5E5E5"/>
          </w:tcPr>
          <w:p>
            <w:pPr>
              <w:spacing w:after="0"/>
              <w:rPr>
                <w:sz w:val="16"/>
                <w:szCs w:val="16"/>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5,203</w:t>
            </w:r>
          </w:p>
        </w:tc>
      </w:tr>
      <w:tr>
        <w:trPr>
          <w:trHeight w:val="187"/>
        </w:trPr>
        <w:tc>
          <w:tcPr>
            <w:tcW w:w="440" w:type="dxa"/>
            <w:vAlign w:val="bottom"/>
            <w:shd w:val="clear" w:color="auto" w:fill="E5E5E5"/>
          </w:tcPr>
          <w:p>
            <w:pPr>
              <w:spacing w:after="0"/>
              <w:rPr>
                <w:sz w:val="16"/>
                <w:szCs w:val="16"/>
                <w:color w:val="auto"/>
              </w:rPr>
            </w:pPr>
          </w:p>
        </w:tc>
        <w:tc>
          <w:tcPr>
            <w:tcW w:w="4600" w:type="dxa"/>
            <w:vAlign w:val="bottom"/>
            <w:shd w:val="clear" w:color="auto" w:fill="E5E5E5"/>
          </w:tcPr>
          <w:p>
            <w:pPr>
              <w:spacing w:after="0"/>
              <w:rPr>
                <w:sz w:val="16"/>
                <w:szCs w:val="16"/>
                <w:color w:val="auto"/>
              </w:rPr>
            </w:pPr>
          </w:p>
        </w:tc>
        <w:tc>
          <w:tcPr>
            <w:tcW w:w="60" w:type="dxa"/>
            <w:vAlign w:val="bottom"/>
            <w:tcBorders>
              <w:right w:val="single" w:sz="8" w:color="E5E5E5"/>
            </w:tcBorders>
            <w:shd w:val="clear" w:color="auto" w:fill="E5E5E5"/>
          </w:tcPr>
          <w:p>
            <w:pPr>
              <w:spacing w:after="0"/>
              <w:rPr>
                <w:sz w:val="16"/>
                <w:szCs w:val="16"/>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4,545</w:t>
            </w:r>
          </w:p>
        </w:tc>
      </w:tr>
      <w:tr>
        <w:trPr>
          <w:trHeight w:val="191"/>
        </w:trPr>
        <w:tc>
          <w:tcPr>
            <w:tcW w:w="5040" w:type="dxa"/>
            <w:vAlign w:val="bottom"/>
            <w:gridSpan w:val="2"/>
          </w:tcPr>
          <w:p>
            <w:pPr>
              <w:ind w:left="80"/>
              <w:spacing w:after="0"/>
              <w:rPr>
                <w:sz w:val="20"/>
                <w:szCs w:val="20"/>
                <w:color w:val="auto"/>
              </w:rPr>
            </w:pPr>
            <w:r>
              <w:rPr>
                <w:rFonts w:ascii="Arial" w:cs="Arial" w:eastAsia="Arial" w:hAnsi="Arial"/>
                <w:sz w:val="16"/>
                <w:szCs w:val="16"/>
                <w:color w:val="auto"/>
              </w:rPr>
              <w:t>Jonathan S. Halkyard</w:t>
            </w:r>
          </w:p>
        </w:tc>
        <w:tc>
          <w:tcPr>
            <w:tcW w:w="920" w:type="dxa"/>
            <w:vAlign w:val="bottom"/>
            <w:gridSpan w:val="4"/>
          </w:tcPr>
          <w:p>
            <w:pPr>
              <w:jc w:val="right"/>
              <w:ind w:right="60"/>
              <w:spacing w:after="0"/>
              <w:rPr>
                <w:sz w:val="20"/>
                <w:szCs w:val="20"/>
                <w:color w:val="auto"/>
              </w:rPr>
            </w:pPr>
            <w:r>
              <w:rPr>
                <w:rFonts w:ascii="Arial" w:cs="Arial" w:eastAsia="Arial" w:hAnsi="Arial"/>
                <w:sz w:val="16"/>
                <w:szCs w:val="16"/>
                <w:color w:val="auto"/>
              </w:rPr>
              <w:t>23,934</w:t>
            </w:r>
          </w:p>
        </w:tc>
      </w:tr>
      <w:tr>
        <w:trPr>
          <w:trHeight w:val="189"/>
        </w:trPr>
        <w:tc>
          <w:tcPr>
            <w:tcW w:w="4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6"/>
                <w:szCs w:val="16"/>
                <w:color w:val="auto"/>
              </w:rPr>
              <w:t>5,203</w:t>
            </w:r>
          </w:p>
        </w:tc>
      </w:tr>
      <w:tr>
        <w:trPr>
          <w:trHeight w:val="187"/>
        </w:trPr>
        <w:tc>
          <w:tcPr>
            <w:tcW w:w="4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6"/>
                <w:szCs w:val="16"/>
                <w:color w:val="auto"/>
              </w:rPr>
              <w:t>4,545</w:t>
            </w:r>
          </w:p>
        </w:tc>
      </w:tr>
      <w:tr>
        <w:trPr>
          <w:trHeight w:val="189"/>
        </w:trPr>
        <w:tc>
          <w:tcPr>
            <w:tcW w:w="504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Stephen M. King</w:t>
            </w:r>
          </w:p>
        </w:tc>
        <w:tc>
          <w:tcPr>
            <w:tcW w:w="920" w:type="dxa"/>
            <w:vAlign w:val="bottom"/>
            <w:gridSpan w:val="4"/>
          </w:tcPr>
          <w:p>
            <w:pPr>
              <w:jc w:val="right"/>
              <w:ind w:right="60"/>
              <w:spacing w:after="0"/>
              <w:rPr>
                <w:sz w:val="20"/>
                <w:szCs w:val="20"/>
                <w:color w:val="auto"/>
              </w:rPr>
            </w:pPr>
            <w:r>
              <w:rPr>
                <w:rFonts w:ascii="Arial" w:cs="Arial" w:eastAsia="Arial" w:hAnsi="Arial"/>
                <w:sz w:val="16"/>
                <w:szCs w:val="16"/>
                <w:color w:val="auto"/>
              </w:rPr>
              <w:t>28,346</w:t>
            </w:r>
          </w:p>
        </w:tc>
      </w:tr>
      <w:tr>
        <w:trPr>
          <w:trHeight w:val="189"/>
        </w:trPr>
        <w:tc>
          <w:tcPr>
            <w:tcW w:w="440" w:type="dxa"/>
            <w:vAlign w:val="bottom"/>
            <w:shd w:val="clear" w:color="auto" w:fill="E5E5E5"/>
          </w:tcPr>
          <w:p>
            <w:pPr>
              <w:spacing w:after="0"/>
              <w:rPr>
                <w:sz w:val="16"/>
                <w:szCs w:val="16"/>
                <w:color w:val="auto"/>
              </w:rPr>
            </w:pPr>
          </w:p>
        </w:tc>
        <w:tc>
          <w:tcPr>
            <w:tcW w:w="4600" w:type="dxa"/>
            <w:vAlign w:val="bottom"/>
            <w:shd w:val="clear" w:color="auto" w:fill="E5E5E5"/>
          </w:tcPr>
          <w:p>
            <w:pPr>
              <w:spacing w:after="0"/>
              <w:rPr>
                <w:sz w:val="16"/>
                <w:szCs w:val="16"/>
                <w:color w:val="auto"/>
              </w:rPr>
            </w:pPr>
          </w:p>
        </w:tc>
        <w:tc>
          <w:tcPr>
            <w:tcW w:w="60" w:type="dxa"/>
            <w:vAlign w:val="bottom"/>
            <w:tcBorders>
              <w:right w:val="single" w:sz="8" w:color="E5E5E5"/>
            </w:tcBorders>
            <w:shd w:val="clear" w:color="auto" w:fill="E5E5E5"/>
          </w:tcPr>
          <w:p>
            <w:pPr>
              <w:spacing w:after="0"/>
              <w:rPr>
                <w:sz w:val="16"/>
                <w:szCs w:val="16"/>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184,615</w:t>
            </w:r>
          </w:p>
        </w:tc>
      </w:tr>
      <w:tr>
        <w:trPr>
          <w:trHeight w:val="189"/>
        </w:trPr>
        <w:tc>
          <w:tcPr>
            <w:tcW w:w="440" w:type="dxa"/>
            <w:vAlign w:val="bottom"/>
            <w:shd w:val="clear" w:color="auto" w:fill="E5E5E5"/>
          </w:tcPr>
          <w:p>
            <w:pPr>
              <w:spacing w:after="0"/>
              <w:rPr>
                <w:sz w:val="16"/>
                <w:szCs w:val="16"/>
                <w:color w:val="auto"/>
              </w:rPr>
            </w:pPr>
          </w:p>
        </w:tc>
        <w:tc>
          <w:tcPr>
            <w:tcW w:w="4600" w:type="dxa"/>
            <w:vAlign w:val="bottom"/>
            <w:shd w:val="clear" w:color="auto" w:fill="E5E5E5"/>
          </w:tcPr>
          <w:p>
            <w:pPr>
              <w:spacing w:after="0"/>
              <w:rPr>
                <w:sz w:val="16"/>
                <w:szCs w:val="16"/>
                <w:color w:val="auto"/>
              </w:rPr>
            </w:pPr>
          </w:p>
        </w:tc>
        <w:tc>
          <w:tcPr>
            <w:tcW w:w="60" w:type="dxa"/>
            <w:vAlign w:val="bottom"/>
            <w:tcBorders>
              <w:right w:val="single" w:sz="8" w:color="E5E5E5"/>
            </w:tcBorders>
            <w:shd w:val="clear" w:color="auto" w:fill="E5E5E5"/>
          </w:tcPr>
          <w:p>
            <w:pPr>
              <w:spacing w:after="0"/>
              <w:rPr>
                <w:sz w:val="16"/>
                <w:szCs w:val="16"/>
                <w:color w:val="auto"/>
              </w:rPr>
            </w:pP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68,775</w:t>
            </w:r>
          </w:p>
        </w:tc>
        <w:tc>
          <w:tcPr>
            <w:tcW w:w="60" w:type="dxa"/>
            <w:vAlign w:val="bottom"/>
          </w:tcPr>
          <w:p>
            <w:pPr>
              <w:spacing w:after="0"/>
              <w:rPr>
                <w:sz w:val="16"/>
                <w:szCs w:val="16"/>
                <w:color w:val="auto"/>
              </w:rPr>
            </w:pPr>
          </w:p>
        </w:tc>
      </w:tr>
      <w:tr>
        <w:trPr>
          <w:trHeight w:val="191"/>
        </w:trPr>
        <w:tc>
          <w:tcPr>
            <w:tcW w:w="440" w:type="dxa"/>
            <w:vAlign w:val="bottom"/>
            <w:shd w:val="clear" w:color="auto" w:fill="E5E5E5"/>
          </w:tcPr>
          <w:p>
            <w:pPr>
              <w:spacing w:after="0"/>
              <w:rPr>
                <w:sz w:val="16"/>
                <w:szCs w:val="16"/>
                <w:color w:val="auto"/>
              </w:rPr>
            </w:pPr>
          </w:p>
        </w:tc>
        <w:tc>
          <w:tcPr>
            <w:tcW w:w="4600" w:type="dxa"/>
            <w:vAlign w:val="bottom"/>
            <w:shd w:val="clear" w:color="auto" w:fill="E5E5E5"/>
          </w:tcPr>
          <w:p>
            <w:pPr>
              <w:spacing w:after="0"/>
              <w:rPr>
                <w:sz w:val="16"/>
                <w:szCs w:val="16"/>
                <w:color w:val="auto"/>
              </w:rPr>
            </w:pPr>
          </w:p>
        </w:tc>
        <w:tc>
          <w:tcPr>
            <w:tcW w:w="60" w:type="dxa"/>
            <w:vAlign w:val="bottom"/>
            <w:tcBorders>
              <w:right w:val="single" w:sz="8" w:color="E5E5E5"/>
            </w:tcBorders>
            <w:shd w:val="clear" w:color="auto" w:fill="E5E5E5"/>
          </w:tcPr>
          <w:p>
            <w:pPr>
              <w:spacing w:after="0"/>
              <w:rPr>
                <w:sz w:val="16"/>
                <w:szCs w:val="16"/>
                <w:color w:val="auto"/>
              </w:rPr>
            </w:pP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72,833</w:t>
            </w:r>
          </w:p>
        </w:tc>
        <w:tc>
          <w:tcPr>
            <w:tcW w:w="60" w:type="dxa"/>
            <w:vAlign w:val="bottom"/>
            <w:shd w:val="clear" w:color="auto" w:fill="E5E5E5"/>
          </w:tcPr>
          <w:p>
            <w:pPr>
              <w:spacing w:after="0"/>
              <w:rPr>
                <w:sz w:val="16"/>
                <w:szCs w:val="16"/>
                <w:color w:val="auto"/>
              </w:rPr>
            </w:pPr>
          </w:p>
        </w:tc>
      </w:tr>
      <w:tr>
        <w:trPr>
          <w:trHeight w:val="189"/>
        </w:trPr>
        <w:tc>
          <w:tcPr>
            <w:tcW w:w="440" w:type="dxa"/>
            <w:vAlign w:val="bottom"/>
            <w:shd w:val="clear" w:color="auto" w:fill="E5E5E5"/>
          </w:tcPr>
          <w:p>
            <w:pPr>
              <w:spacing w:after="0"/>
              <w:rPr>
                <w:sz w:val="16"/>
                <w:szCs w:val="16"/>
                <w:color w:val="auto"/>
              </w:rPr>
            </w:pPr>
          </w:p>
        </w:tc>
        <w:tc>
          <w:tcPr>
            <w:tcW w:w="4600" w:type="dxa"/>
            <w:vAlign w:val="bottom"/>
            <w:shd w:val="clear" w:color="auto" w:fill="E5E5E5"/>
          </w:tcPr>
          <w:p>
            <w:pPr>
              <w:spacing w:after="0"/>
              <w:rPr>
                <w:sz w:val="16"/>
                <w:szCs w:val="16"/>
                <w:color w:val="auto"/>
              </w:rPr>
            </w:pPr>
          </w:p>
        </w:tc>
        <w:tc>
          <w:tcPr>
            <w:tcW w:w="60" w:type="dxa"/>
            <w:vAlign w:val="bottom"/>
            <w:tcBorders>
              <w:right w:val="single" w:sz="8" w:color="E5E5E5"/>
            </w:tcBorders>
            <w:shd w:val="clear" w:color="auto" w:fill="E5E5E5"/>
          </w:tcPr>
          <w:p>
            <w:pPr>
              <w:spacing w:after="0"/>
              <w:rPr>
                <w:sz w:val="16"/>
                <w:szCs w:val="16"/>
                <w:color w:val="auto"/>
              </w:rPr>
            </w:pP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29,178</w:t>
            </w:r>
          </w:p>
        </w:tc>
        <w:tc>
          <w:tcPr>
            <w:tcW w:w="60" w:type="dxa"/>
            <w:vAlign w:val="bottom"/>
            <w:shd w:val="clear" w:color="auto" w:fill="E5E5E5"/>
          </w:tcPr>
          <w:p>
            <w:pPr>
              <w:spacing w:after="0"/>
              <w:rPr>
                <w:sz w:val="16"/>
                <w:szCs w:val="16"/>
                <w:color w:val="auto"/>
              </w:rPr>
            </w:pPr>
          </w:p>
        </w:tc>
      </w:tr>
      <w:tr>
        <w:trPr>
          <w:trHeight w:val="187"/>
        </w:trPr>
        <w:tc>
          <w:tcPr>
            <w:tcW w:w="440" w:type="dxa"/>
            <w:vAlign w:val="bottom"/>
            <w:shd w:val="clear" w:color="auto" w:fill="E5E5E5"/>
          </w:tcPr>
          <w:p>
            <w:pPr>
              <w:spacing w:after="0"/>
              <w:rPr>
                <w:sz w:val="16"/>
                <w:szCs w:val="16"/>
                <w:color w:val="auto"/>
              </w:rPr>
            </w:pPr>
          </w:p>
        </w:tc>
        <w:tc>
          <w:tcPr>
            <w:tcW w:w="4600" w:type="dxa"/>
            <w:vAlign w:val="bottom"/>
            <w:shd w:val="clear" w:color="auto" w:fill="E5E5E5"/>
          </w:tcPr>
          <w:p>
            <w:pPr>
              <w:spacing w:after="0"/>
              <w:rPr>
                <w:sz w:val="16"/>
                <w:szCs w:val="16"/>
                <w:color w:val="auto"/>
              </w:rPr>
            </w:pPr>
          </w:p>
        </w:tc>
        <w:tc>
          <w:tcPr>
            <w:tcW w:w="60" w:type="dxa"/>
            <w:vAlign w:val="bottom"/>
            <w:tcBorders>
              <w:right w:val="single" w:sz="8" w:color="E5E5E5"/>
            </w:tcBorders>
            <w:shd w:val="clear" w:color="auto" w:fill="E5E5E5"/>
          </w:tcPr>
          <w:p>
            <w:pPr>
              <w:spacing w:after="0"/>
              <w:rPr>
                <w:sz w:val="16"/>
                <w:szCs w:val="16"/>
                <w:color w:val="auto"/>
              </w:rPr>
            </w:pP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8,138</w:t>
            </w:r>
          </w:p>
        </w:tc>
        <w:tc>
          <w:tcPr>
            <w:tcW w:w="60" w:type="dxa"/>
            <w:vAlign w:val="bottom"/>
            <w:shd w:val="clear" w:color="auto" w:fill="E5E5E5"/>
          </w:tcPr>
          <w:p>
            <w:pPr>
              <w:spacing w:after="0"/>
              <w:rPr>
                <w:sz w:val="16"/>
                <w:szCs w:val="16"/>
                <w:color w:val="auto"/>
              </w:rPr>
            </w:pPr>
          </w:p>
        </w:tc>
      </w:tr>
      <w:tr>
        <w:trPr>
          <w:trHeight w:val="191"/>
        </w:trPr>
        <w:tc>
          <w:tcPr>
            <w:tcW w:w="5040" w:type="dxa"/>
            <w:vAlign w:val="bottom"/>
            <w:gridSpan w:val="2"/>
          </w:tcPr>
          <w:p>
            <w:pPr>
              <w:ind w:left="80"/>
              <w:spacing w:after="0"/>
              <w:rPr>
                <w:sz w:val="20"/>
                <w:szCs w:val="20"/>
                <w:color w:val="auto"/>
              </w:rPr>
            </w:pPr>
            <w:r>
              <w:rPr>
                <w:rFonts w:ascii="Arial" w:cs="Arial" w:eastAsia="Arial" w:hAnsi="Arial"/>
                <w:sz w:val="16"/>
                <w:szCs w:val="16"/>
                <w:color w:val="auto"/>
              </w:rPr>
              <w:t>Patricia H. Mueller</w:t>
            </w:r>
          </w:p>
        </w:tc>
        <w:tc>
          <w:tcPr>
            <w:tcW w:w="920" w:type="dxa"/>
            <w:vAlign w:val="bottom"/>
            <w:gridSpan w:val="4"/>
          </w:tcPr>
          <w:p>
            <w:pPr>
              <w:jc w:val="right"/>
              <w:ind w:right="60"/>
              <w:spacing w:after="0"/>
              <w:rPr>
                <w:sz w:val="20"/>
                <w:szCs w:val="20"/>
                <w:color w:val="auto"/>
              </w:rPr>
            </w:pPr>
            <w:r>
              <w:rPr>
                <w:rFonts w:ascii="Arial" w:cs="Arial" w:eastAsia="Arial" w:hAnsi="Arial"/>
                <w:sz w:val="16"/>
                <w:szCs w:val="16"/>
                <w:color w:val="auto"/>
              </w:rPr>
              <w:t>5,004</w:t>
            </w:r>
          </w:p>
        </w:tc>
      </w:tr>
      <w:tr>
        <w:trPr>
          <w:trHeight w:val="187"/>
        </w:trPr>
        <w:tc>
          <w:tcPr>
            <w:tcW w:w="4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6"/>
                <w:szCs w:val="16"/>
                <w:color w:val="auto"/>
              </w:rPr>
              <w:t>4,545</w:t>
            </w:r>
          </w:p>
        </w:tc>
      </w:tr>
      <w:tr>
        <w:trPr>
          <w:trHeight w:val="189"/>
        </w:trPr>
        <w:tc>
          <w:tcPr>
            <w:tcW w:w="504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Kevin M. Sheehan</w:t>
            </w:r>
          </w:p>
        </w:tc>
        <w:tc>
          <w:tcPr>
            <w:tcW w:w="920" w:type="dxa"/>
            <w:vAlign w:val="bottom"/>
            <w:gridSpan w:val="4"/>
          </w:tcPr>
          <w:p>
            <w:pPr>
              <w:jc w:val="right"/>
              <w:ind w:right="60"/>
              <w:spacing w:after="0"/>
              <w:rPr>
                <w:sz w:val="20"/>
                <w:szCs w:val="20"/>
                <w:color w:val="auto"/>
              </w:rPr>
            </w:pPr>
            <w:r>
              <w:rPr>
                <w:rFonts w:ascii="Arial" w:cs="Arial" w:eastAsia="Arial" w:hAnsi="Arial"/>
                <w:sz w:val="16"/>
                <w:szCs w:val="16"/>
                <w:color w:val="auto"/>
              </w:rPr>
              <w:t>23,934</w:t>
            </w:r>
          </w:p>
        </w:tc>
      </w:tr>
      <w:tr>
        <w:trPr>
          <w:trHeight w:val="191"/>
        </w:trPr>
        <w:tc>
          <w:tcPr>
            <w:tcW w:w="440" w:type="dxa"/>
            <w:vAlign w:val="bottom"/>
            <w:shd w:val="clear" w:color="auto" w:fill="E5E5E5"/>
          </w:tcPr>
          <w:p>
            <w:pPr>
              <w:spacing w:after="0"/>
              <w:rPr>
                <w:sz w:val="16"/>
                <w:szCs w:val="16"/>
                <w:color w:val="auto"/>
              </w:rPr>
            </w:pPr>
          </w:p>
        </w:tc>
        <w:tc>
          <w:tcPr>
            <w:tcW w:w="4600" w:type="dxa"/>
            <w:vAlign w:val="bottom"/>
            <w:shd w:val="clear" w:color="auto" w:fill="E5E5E5"/>
          </w:tcPr>
          <w:p>
            <w:pPr>
              <w:spacing w:after="0"/>
              <w:rPr>
                <w:sz w:val="16"/>
                <w:szCs w:val="16"/>
                <w:color w:val="auto"/>
              </w:rPr>
            </w:pPr>
          </w:p>
        </w:tc>
        <w:tc>
          <w:tcPr>
            <w:tcW w:w="60" w:type="dxa"/>
            <w:vAlign w:val="bottom"/>
            <w:tcBorders>
              <w:right w:val="single" w:sz="8" w:color="E5E5E5"/>
            </w:tcBorders>
            <w:shd w:val="clear" w:color="auto" w:fill="E5E5E5"/>
          </w:tcPr>
          <w:p>
            <w:pPr>
              <w:spacing w:after="0"/>
              <w:rPr>
                <w:sz w:val="16"/>
                <w:szCs w:val="16"/>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5,203</w:t>
            </w:r>
          </w:p>
        </w:tc>
      </w:tr>
      <w:tr>
        <w:trPr>
          <w:trHeight w:val="187"/>
        </w:trPr>
        <w:tc>
          <w:tcPr>
            <w:tcW w:w="440" w:type="dxa"/>
            <w:vAlign w:val="bottom"/>
            <w:shd w:val="clear" w:color="auto" w:fill="E5E5E5"/>
          </w:tcPr>
          <w:p>
            <w:pPr>
              <w:spacing w:after="0"/>
              <w:rPr>
                <w:sz w:val="16"/>
                <w:szCs w:val="16"/>
                <w:color w:val="auto"/>
              </w:rPr>
            </w:pPr>
          </w:p>
        </w:tc>
        <w:tc>
          <w:tcPr>
            <w:tcW w:w="4600" w:type="dxa"/>
            <w:vAlign w:val="bottom"/>
            <w:shd w:val="clear" w:color="auto" w:fill="E5E5E5"/>
          </w:tcPr>
          <w:p>
            <w:pPr>
              <w:spacing w:after="0"/>
              <w:rPr>
                <w:sz w:val="16"/>
                <w:szCs w:val="16"/>
                <w:color w:val="auto"/>
              </w:rPr>
            </w:pPr>
          </w:p>
        </w:tc>
        <w:tc>
          <w:tcPr>
            <w:tcW w:w="60" w:type="dxa"/>
            <w:vAlign w:val="bottom"/>
            <w:tcBorders>
              <w:right w:val="single" w:sz="8" w:color="E5E5E5"/>
            </w:tcBorders>
            <w:shd w:val="clear" w:color="auto" w:fill="E5E5E5"/>
          </w:tcPr>
          <w:p>
            <w:pPr>
              <w:spacing w:after="0"/>
              <w:rPr>
                <w:sz w:val="16"/>
                <w:szCs w:val="16"/>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4,545</w:t>
            </w:r>
          </w:p>
        </w:tc>
      </w:tr>
      <w:tr>
        <w:trPr>
          <w:trHeight w:val="196"/>
        </w:trPr>
        <w:tc>
          <w:tcPr>
            <w:tcW w:w="5040" w:type="dxa"/>
            <w:vAlign w:val="bottom"/>
            <w:gridSpan w:val="2"/>
          </w:tcPr>
          <w:p>
            <w:pPr>
              <w:ind w:left="80"/>
              <w:spacing w:after="0"/>
              <w:rPr>
                <w:sz w:val="20"/>
                <w:szCs w:val="20"/>
                <w:color w:val="auto"/>
              </w:rPr>
            </w:pPr>
            <w:r>
              <w:rPr>
                <w:rFonts w:ascii="Arial" w:cs="Arial" w:eastAsia="Arial" w:hAnsi="Arial"/>
                <w:sz w:val="16"/>
                <w:szCs w:val="16"/>
                <w:color w:val="auto"/>
              </w:rPr>
              <w:t>Jennifer Storms</w:t>
            </w:r>
          </w:p>
        </w:tc>
        <w:tc>
          <w:tcPr>
            <w:tcW w:w="920" w:type="dxa"/>
            <w:vAlign w:val="bottom"/>
            <w:gridSpan w:val="4"/>
          </w:tcPr>
          <w:p>
            <w:pPr>
              <w:jc w:val="right"/>
              <w:ind w:right="60"/>
              <w:spacing w:after="0"/>
              <w:rPr>
                <w:sz w:val="20"/>
                <w:szCs w:val="20"/>
                <w:color w:val="auto"/>
              </w:rPr>
            </w:pPr>
            <w:r>
              <w:rPr>
                <w:rFonts w:ascii="Arial" w:cs="Arial" w:eastAsia="Arial" w:hAnsi="Arial"/>
                <w:sz w:val="16"/>
                <w:szCs w:val="16"/>
                <w:color w:val="auto"/>
              </w:rPr>
              <w:t>4,224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03B71"/>
              </w:rPr>
              <w:t>Number of</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03B71"/>
              </w:rPr>
              <w:t>Securities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03B71"/>
              </w:rPr>
              <w:t>Underlying</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03B71"/>
              </w:rPr>
              <w:t>Unexercised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03B71"/>
              </w:rPr>
              <w:t>Options</w:t>
            </w:r>
          </w:p>
        </w:tc>
        <w:tc>
          <w:tcPr>
            <w:tcW w:w="660" w:type="dxa"/>
            <w:vAlign w:val="bottom"/>
          </w:tcPr>
          <w:p>
            <w:pPr>
              <w:spacing w:after="0"/>
              <w:rPr>
                <w:sz w:val="14"/>
                <w:szCs w:val="14"/>
                <w:color w:val="auto"/>
              </w:rPr>
            </w:pPr>
          </w:p>
        </w:tc>
        <w:tc>
          <w:tcPr>
            <w:tcW w:w="9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003B71"/>
              </w:rPr>
              <w:t>Option</w:t>
            </w: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003B71"/>
              </w:rPr>
              <w:t>Option</w:t>
            </w:r>
          </w:p>
        </w:tc>
      </w:tr>
      <w:tr>
        <w:trPr>
          <w:trHeight w:val="162"/>
        </w:trPr>
        <w:tc>
          <w:tcPr>
            <w:tcW w:w="142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003B71"/>
                <w:w w:val="93"/>
              </w:rPr>
              <w:t>(#)</w:t>
            </w:r>
          </w:p>
        </w:tc>
        <w:tc>
          <w:tcPr>
            <w:tcW w:w="1640" w:type="dxa"/>
            <w:vAlign w:val="bottom"/>
            <w:gridSpan w:val="4"/>
          </w:tcPr>
          <w:p>
            <w:pPr>
              <w:ind w:left="480"/>
              <w:spacing w:after="0"/>
              <w:rPr>
                <w:sz w:val="20"/>
                <w:szCs w:val="20"/>
                <w:color w:val="auto"/>
              </w:rPr>
            </w:pPr>
            <w:r>
              <w:rPr>
                <w:rFonts w:ascii="Arial" w:cs="Arial" w:eastAsia="Arial" w:hAnsi="Arial"/>
                <w:sz w:val="14"/>
                <w:szCs w:val="14"/>
                <w:b w:val="1"/>
                <w:bCs w:val="1"/>
                <w:color w:val="003B71"/>
              </w:rPr>
              <w:t>Exercise Price</w:t>
            </w: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003B71"/>
              </w:rPr>
              <w:t>Expiration</w:t>
            </w:r>
          </w:p>
        </w:tc>
      </w:tr>
      <w:tr>
        <w:trPr>
          <w:trHeight w:val="175"/>
        </w:trPr>
        <w:tc>
          <w:tcPr>
            <w:tcW w:w="4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3B71"/>
              </w:rPr>
              <w:t>Unexercisable</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3B71"/>
                <w:w w:val="93"/>
              </w:rPr>
              <w:t>($)</w:t>
            </w: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3B71"/>
              </w:rPr>
              <w:t>Date</w:t>
            </w:r>
          </w:p>
        </w:tc>
        <w:tc>
          <w:tcPr>
            <w:tcW w:w="400" w:type="dxa"/>
            <w:vAlign w:val="bottom"/>
          </w:tcPr>
          <w:p>
            <w:pPr>
              <w:spacing w:after="0"/>
              <w:rPr>
                <w:sz w:val="15"/>
                <w:szCs w:val="15"/>
                <w:color w:val="auto"/>
              </w:rPr>
            </w:pPr>
          </w:p>
        </w:tc>
      </w:tr>
      <w:tr>
        <w:trPr>
          <w:trHeight w:val="184"/>
        </w:trPr>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ind w:left="48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6.27</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12/5/2022</w:t>
            </w:r>
          </w:p>
        </w:tc>
      </w:tr>
      <w:tr>
        <w:trPr>
          <w:trHeight w:val="189"/>
        </w:trPr>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ind w:left="48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31.71</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4/9/2025</w:t>
            </w:r>
          </w:p>
        </w:tc>
      </w:tr>
      <w:tr>
        <w:trPr>
          <w:trHeight w:val="189"/>
        </w:trPr>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ind w:left="48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39.10</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4/7/2026</w:t>
            </w:r>
          </w:p>
        </w:tc>
      </w:tr>
      <w:tr>
        <w:trPr>
          <w:trHeight w:val="189"/>
        </w:trPr>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ind w:left="48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6.27</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12/5/2022</w:t>
            </w:r>
          </w:p>
        </w:tc>
      </w:tr>
      <w:tr>
        <w:trPr>
          <w:trHeight w:val="189"/>
        </w:trPr>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ind w:left="48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31.71</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4/9/2025</w:t>
            </w:r>
          </w:p>
        </w:tc>
      </w:tr>
      <w:tr>
        <w:trPr>
          <w:trHeight w:val="189"/>
        </w:trPr>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ind w:left="48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39.10</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4/7/2026</w:t>
            </w:r>
          </w:p>
        </w:tc>
      </w:tr>
      <w:tr>
        <w:trPr>
          <w:trHeight w:val="189"/>
        </w:trPr>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ind w:left="48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4.44</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6/1/2020</w:t>
            </w:r>
          </w:p>
        </w:tc>
      </w:tr>
      <w:tr>
        <w:trPr>
          <w:trHeight w:val="189"/>
        </w:trPr>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ind w:left="48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16.00</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10/9/2024</w:t>
            </w:r>
          </w:p>
        </w:tc>
      </w:tr>
      <w:tr>
        <w:trPr>
          <w:trHeight w:val="189"/>
        </w:trPr>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ind w:left="48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31.71</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4/9/2025</w:t>
            </w:r>
          </w:p>
        </w:tc>
      </w:tr>
      <w:tr>
        <w:trPr>
          <w:trHeight w:val="187"/>
        </w:trPr>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ind w:left="48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39.10</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4/7/2026</w:t>
            </w:r>
          </w:p>
        </w:tc>
      </w:tr>
      <w:tr>
        <w:trPr>
          <w:trHeight w:val="189"/>
        </w:trPr>
        <w:tc>
          <w:tcPr>
            <w:tcW w:w="42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14,589</w:t>
            </w:r>
          </w:p>
        </w:tc>
        <w:tc>
          <w:tcPr>
            <w:tcW w:w="6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E5E5E5"/>
          </w:tcPr>
          <w:p>
            <w:pPr>
              <w:jc w:val="right"/>
              <w:ind w:right="180"/>
              <w:spacing w:after="0"/>
              <w:rPr>
                <w:sz w:val="20"/>
                <w:szCs w:val="20"/>
                <w:color w:val="auto"/>
              </w:rPr>
            </w:pPr>
            <w:r>
              <w:rPr>
                <w:rFonts w:ascii="Arial" w:cs="Arial" w:eastAsia="Arial" w:hAnsi="Arial"/>
                <w:sz w:val="16"/>
                <w:szCs w:val="16"/>
                <w:color w:val="auto"/>
              </w:rPr>
              <w:t>59.67</w:t>
            </w:r>
          </w:p>
        </w:tc>
        <w:tc>
          <w:tcPr>
            <w:tcW w:w="1100" w:type="dxa"/>
            <w:vAlign w:val="bottom"/>
            <w:gridSpan w:val="3"/>
            <w:shd w:val="clear" w:color="auto" w:fill="E5E5E5"/>
          </w:tcPr>
          <w:p>
            <w:pPr>
              <w:jc w:val="right"/>
              <w:ind w:right="160"/>
              <w:spacing w:after="0"/>
              <w:rPr>
                <w:sz w:val="20"/>
                <w:szCs w:val="20"/>
                <w:color w:val="auto"/>
              </w:rPr>
            </w:pPr>
            <w:r>
              <w:rPr>
                <w:rFonts w:ascii="Arial" w:cs="Arial" w:eastAsia="Arial" w:hAnsi="Arial"/>
                <w:sz w:val="16"/>
                <w:szCs w:val="16"/>
                <w:color w:val="auto"/>
              </w:rPr>
              <w:t>4/7/2027</w:t>
            </w:r>
          </w:p>
        </w:tc>
      </w:tr>
      <w:tr>
        <w:trPr>
          <w:trHeight w:val="189"/>
        </w:trPr>
        <w:tc>
          <w:tcPr>
            <w:tcW w:w="420" w:type="dxa"/>
            <w:vAlign w:val="bottom"/>
            <w:shd w:val="clear" w:color="auto" w:fill="E5E5E5"/>
          </w:tcPr>
          <w:p>
            <w:pPr>
              <w:spacing w:after="0"/>
              <w:rPr>
                <w:sz w:val="16"/>
                <w:szCs w:val="16"/>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16,276</w:t>
            </w:r>
          </w:p>
        </w:tc>
        <w:tc>
          <w:tcPr>
            <w:tcW w:w="660" w:type="dxa"/>
            <w:vAlign w:val="bottom"/>
            <w:shd w:val="clear" w:color="auto" w:fill="E5E5E5"/>
          </w:tcPr>
          <w:p>
            <w:pPr>
              <w:ind w:left="48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E5E5E5"/>
          </w:tcPr>
          <w:p>
            <w:pPr>
              <w:jc w:val="right"/>
              <w:ind w:right="180"/>
              <w:spacing w:after="0"/>
              <w:rPr>
                <w:sz w:val="20"/>
                <w:szCs w:val="20"/>
                <w:color w:val="auto"/>
              </w:rPr>
            </w:pPr>
            <w:r>
              <w:rPr>
                <w:rFonts w:ascii="Arial" w:cs="Arial" w:eastAsia="Arial" w:hAnsi="Arial"/>
                <w:sz w:val="16"/>
                <w:szCs w:val="16"/>
                <w:color w:val="auto"/>
              </w:rPr>
              <w:t>41.65</w:t>
            </w:r>
          </w:p>
        </w:tc>
        <w:tc>
          <w:tcPr>
            <w:tcW w:w="1100" w:type="dxa"/>
            <w:vAlign w:val="bottom"/>
            <w:gridSpan w:val="3"/>
            <w:shd w:val="clear" w:color="auto" w:fill="E5E5E5"/>
          </w:tcPr>
          <w:p>
            <w:pPr>
              <w:jc w:val="right"/>
              <w:ind w:right="160"/>
              <w:spacing w:after="0"/>
              <w:rPr>
                <w:sz w:val="20"/>
                <w:szCs w:val="20"/>
                <w:color w:val="auto"/>
              </w:rPr>
            </w:pPr>
            <w:r>
              <w:rPr>
                <w:rFonts w:ascii="Arial" w:cs="Arial" w:eastAsia="Arial" w:hAnsi="Arial"/>
                <w:sz w:val="16"/>
                <w:szCs w:val="16"/>
                <w:color w:val="auto"/>
              </w:rPr>
              <w:t>4/12/2028</w:t>
            </w:r>
          </w:p>
        </w:tc>
      </w:tr>
      <w:tr>
        <w:trPr>
          <w:trHeight w:val="191"/>
        </w:trPr>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ind w:left="48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33.15</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4/20/2025</w:t>
            </w:r>
          </w:p>
        </w:tc>
      </w:tr>
      <w:tr>
        <w:trPr>
          <w:trHeight w:val="189"/>
        </w:trPr>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ind w:left="48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39.10</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4/7/2026</w:t>
            </w:r>
          </w:p>
        </w:tc>
      </w:tr>
      <w:tr>
        <w:trPr>
          <w:trHeight w:val="189"/>
        </w:trPr>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ind w:left="48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6.27</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12/5/2022</w:t>
            </w:r>
          </w:p>
        </w:tc>
      </w:tr>
      <w:tr>
        <w:trPr>
          <w:trHeight w:val="189"/>
        </w:trPr>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ind w:left="48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31.71</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4/9/2025</w:t>
            </w:r>
          </w:p>
        </w:tc>
      </w:tr>
      <w:tr>
        <w:trPr>
          <w:trHeight w:val="189"/>
        </w:trPr>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ind w:left="48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39.10</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4/7/2026</w:t>
            </w:r>
          </w:p>
        </w:tc>
      </w:tr>
      <w:tr>
        <w:trPr>
          <w:trHeight w:val="195"/>
        </w:trPr>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ind w:left="48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41.60</w:t>
            </w: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4/14/2026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-2164080</wp:posOffset>
            </wp:positionV>
            <wp:extent cx="3505835" cy="3600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05835" cy="360045"/>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-1443990</wp:posOffset>
            </wp:positionV>
            <wp:extent cx="3505835" cy="4800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05835" cy="480060"/>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-483870</wp:posOffset>
            </wp:positionV>
            <wp:extent cx="3505835" cy="3600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505835" cy="3600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20" w:space="0"/>
            <w:col w:w="4620"/>
          </w:cols>
          <w:pgMar w:left="320" w:top="459" w:right="439" w:bottom="1440" w:gutter="0" w:footer="0" w:header="0"/>
          <w:type w:val="continuous"/>
        </w:sectPr>
      </w:pPr>
    </w:p>
    <w:p>
      <w:pPr>
        <w:spacing w:after="0" w:line="8"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In addition to reimbursement for out-of-pocket expenses incurred in connection with their Board service, our non-employee Board members receive an annual stipend and equity grant for serving as members of our Board of Directors. During fiscal 2019, each non-employee director received an annual stipend of $65,000, paid in quarterly installments, and an annual equity grant of restricted stock units with a value of approximately $125,000. In addition, a non-employee director receives $50,000 for serving as our Chairman, $ 50,000 for serving as Lead Independent Director, $20,000 for serving as Chair of our Audit Committee, $ 15,000 for serving as Chair of our Finance Committee, $15,000 for serving as Chair of our Compensation Committee, and $10,000 for serving as Chair of our Nominating and Corporate Governance Committee, each of the foregoing paid in quarterly installments. Mr. King, as Chairman of the Board, received an annual stipend of $65,000 and the $50,000 fee for serving as Chairman and an annual equity grant of restricted stock units with a value of approximately $125,000. The Compensation Committee reviews the</w:t>
      </w:r>
    </w:p>
    <w:p>
      <w:pPr>
        <w:spacing w:after="0" w:line="131"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23</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compensation to non-employee directors on a biennial basis. Each of Messrs. Griffith, Halkyard, King and Sheehan participate in the Dave &amp; Buster’s Entertainment, Inc. 2010 Management Incentive Plan (the “2010 Stock Incentive Plan”) and the Dave &amp; Buster’s Entertainment, Inc. 2014 Omnibus Incentive Plan (the “2014 Stock Incentive Plan”). Mr. Crawford, Mr. Dodds, Ms. Mueller and Ms. Storms participate in the 2014 Stock Incentive Plan.</w:t>
      </w:r>
    </w:p>
    <w:p>
      <w:pPr>
        <w:spacing w:after="0" w:line="205"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During fiscal 2019, the Compensation Committee reviewed the compensation to non-employee directors. The Compensation Committee’s consultant, FW Cook, presented the results of its research on compensation levels for non-employee directors of similar sized companies noting that the compensation levels were below market and had not been adjusted for two years. The Compensation Committee approved starting with fiscal 2020 increasing the annual stipend to $ 70,000 and to also pay an annual stipend of $5,000 to each non-chair, independent member of each Board committee. In connection with the COVID-19 pandemic, in March 2020, the Board suspended all cash compensation payable to non-employee directors and the Chairman of the Board for the remainder of fiscal 2020.</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Director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Company has a stock ownership requirement for non-employee directors to align the interests of its non-employee directors with the interests of the shareholders and to further promote the Company’s commitment to sound corporate governance. Under this requirement, a non-employee director must own shares of the Company’s stock with a fair market value equal to five (5) times the director’s annual cash retainer. Each non-employee director has five (5) years from the date of initial appointment or election to the Board to meet this requirement. As of the end of fiscal 2019, three (3) non-employee directors have served on the Board for 5 years or more and are in compliance with this requirement, and the remaining non-employee directors have between 1-2 years (based upon the date on which they were initially appointed or elected to the Board) to meet this requirement. Mr. Hockin joined the Board in 2020 and has 5 years to meet this requirement.</w:t>
      </w:r>
    </w:p>
    <w:p>
      <w:pPr>
        <w:spacing w:after="0" w:line="20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Mr. King, as Chairman of the Board, is governed by the same stock ownership guidelines that apply to non-employee directors and currently meets the requirements. Mr. Jenkins, as an employee director, is governed by the stock ownership guidelines for executive officers. These guidelines and current compliance are detailed under “Stock Ownership Guidelines” elsewhere in the Executive Compensation section of this Proxy Statement.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Policy Regarding Shareholder Recommendations for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The Company identifies new director candidates through a variety of sources. The Nominating and Corporate Governance Committee will consider director candidates recommended by shareholders in the same manner it considers other candidates, as described below. Shareholders seeking to recommend candidates for consideration by the Nominating and Corporate Governance Committee should submit a recommendation in writing describing the candidate’s qualifications and other relevant biographical information and provide confirmation of the candidate’s consent to serve as director. Please submit this information to the Corporate Secretary, Dave &amp; Buster’s Entertainment, Inc., 2481 Mañana Drive, Dallas, Texas 75220 or by email at corporatesecretary@daveandbusters.com.</w:t>
      </w:r>
    </w:p>
    <w:p>
      <w:pPr>
        <w:spacing w:after="0" w:line="20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Shareholders may also propose director nominees by adhering to the advance notice procedure described under “Shareholder Proposals” elsewhere in this Proxy Statement.</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Nominating and Corporate Governance Committee and the Board believe that candidates for director should have certain minimum qualifications, including, without limitation:</w:t>
      </w:r>
    </w:p>
    <w:p>
      <w:pPr>
        <w:spacing w:after="0" w:line="62" w:lineRule="exact"/>
        <w:rPr>
          <w:sz w:val="20"/>
          <w:szCs w:val="20"/>
          <w:color w:val="auto"/>
        </w:rPr>
      </w:pPr>
    </w:p>
    <w:p>
      <w:pPr>
        <w:ind w:left="540" w:hanging="316"/>
        <w:spacing w:after="0"/>
        <w:tabs>
          <w:tab w:leader="none" w:pos="540" w:val="left"/>
        </w:tabs>
        <w:numPr>
          <w:ilvl w:val="0"/>
          <w:numId w:val="74"/>
        </w:numPr>
        <w:rPr>
          <w:rFonts w:ascii="Arial" w:cs="Arial" w:eastAsia="Arial" w:hAnsi="Arial"/>
          <w:sz w:val="18"/>
          <w:szCs w:val="18"/>
          <w:color w:val="003B71"/>
        </w:rPr>
      </w:pPr>
      <w:r>
        <w:rPr>
          <w:rFonts w:ascii="Arial" w:cs="Arial" w:eastAsia="Arial" w:hAnsi="Arial"/>
          <w:sz w:val="18"/>
          <w:szCs w:val="18"/>
          <w:color w:val="auto"/>
        </w:rPr>
        <w:t>demonstrated business acumen and leadership, and high levels of accomplishment;</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74"/>
        </w:numPr>
        <w:rPr>
          <w:rFonts w:ascii="Arial" w:cs="Arial" w:eastAsia="Arial" w:hAnsi="Arial"/>
          <w:sz w:val="18"/>
          <w:szCs w:val="18"/>
          <w:color w:val="003B71"/>
        </w:rPr>
      </w:pPr>
      <w:r>
        <w:rPr>
          <w:rFonts w:ascii="Arial" w:cs="Arial" w:eastAsia="Arial" w:hAnsi="Arial"/>
          <w:sz w:val="18"/>
          <w:szCs w:val="18"/>
          <w:color w:val="auto"/>
        </w:rPr>
        <w:t>ability to exercise sound business judgment and to provide insight and practical wisdom based on experience;</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74"/>
        </w:numPr>
        <w:rPr>
          <w:rFonts w:ascii="Arial" w:cs="Arial" w:eastAsia="Arial" w:hAnsi="Arial"/>
          <w:sz w:val="18"/>
          <w:szCs w:val="18"/>
          <w:color w:val="003B71"/>
        </w:rPr>
      </w:pPr>
      <w:r>
        <w:rPr>
          <w:rFonts w:ascii="Arial" w:cs="Arial" w:eastAsia="Arial" w:hAnsi="Arial"/>
          <w:sz w:val="18"/>
          <w:szCs w:val="18"/>
          <w:color w:val="auto"/>
        </w:rPr>
        <w:t>commitment to understand the Company and its business, industry and strategic objectives;</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74"/>
        </w:numPr>
        <w:rPr>
          <w:rFonts w:ascii="Arial" w:cs="Arial" w:eastAsia="Arial" w:hAnsi="Arial"/>
          <w:sz w:val="18"/>
          <w:szCs w:val="18"/>
          <w:color w:val="003B71"/>
        </w:rPr>
      </w:pPr>
      <w:r>
        <w:rPr>
          <w:rFonts w:ascii="Arial" w:cs="Arial" w:eastAsia="Arial" w:hAnsi="Arial"/>
          <w:sz w:val="18"/>
          <w:szCs w:val="18"/>
          <w:color w:val="auto"/>
        </w:rPr>
        <w:t>integrity and adherence to high personal ethics and values, consistent with our Code of Business Conduct and Ethics;</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74"/>
        </w:numPr>
        <w:rPr>
          <w:rFonts w:ascii="Arial" w:cs="Arial" w:eastAsia="Arial" w:hAnsi="Arial"/>
          <w:sz w:val="18"/>
          <w:szCs w:val="18"/>
          <w:color w:val="003B71"/>
        </w:rPr>
      </w:pPr>
      <w:r>
        <w:rPr>
          <w:rFonts w:ascii="Arial" w:cs="Arial" w:eastAsia="Arial" w:hAnsi="Arial"/>
          <w:sz w:val="18"/>
          <w:szCs w:val="18"/>
          <w:color w:val="auto"/>
        </w:rPr>
        <w:t>ability to read and understand financial statements and other financial information pertaining to the Company;</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74"/>
        </w:numPr>
        <w:rPr>
          <w:rFonts w:ascii="Arial" w:cs="Arial" w:eastAsia="Arial" w:hAnsi="Arial"/>
          <w:sz w:val="18"/>
          <w:szCs w:val="18"/>
          <w:color w:val="003B71"/>
        </w:rPr>
      </w:pPr>
      <w:r>
        <w:rPr>
          <w:rFonts w:ascii="Arial" w:cs="Arial" w:eastAsia="Arial" w:hAnsi="Arial"/>
          <w:sz w:val="18"/>
          <w:szCs w:val="18"/>
          <w:color w:val="auto"/>
        </w:rPr>
        <w:t>commitment to enhancing shareholder value; and</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74"/>
        </w:numPr>
        <w:rPr>
          <w:rFonts w:ascii="Arial" w:cs="Arial" w:eastAsia="Arial" w:hAnsi="Arial"/>
          <w:sz w:val="18"/>
          <w:szCs w:val="18"/>
          <w:color w:val="003B71"/>
        </w:rPr>
      </w:pPr>
      <w:r>
        <w:rPr>
          <w:rFonts w:ascii="Arial" w:cs="Arial" w:eastAsia="Arial" w:hAnsi="Arial"/>
          <w:sz w:val="18"/>
          <w:szCs w:val="18"/>
          <w:color w:val="auto"/>
        </w:rPr>
        <w:t>willingness to act in the long-term interest of all shareholders.</w:t>
      </w:r>
    </w:p>
    <w:p>
      <w:pPr>
        <w:spacing w:after="0" w:line="136"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24</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In the context of the Board’s existing composition, other requirements (such as prior CEO experience, restaurant, hospitality, gaming, sports-related marketing and branding, or retail industry experience, or relevant senior level experience in finance, accounting, sales and marketing, organizational development, information technology, or public relations) that are expected to contribute to the Board’s overall effectiveness and meet the needs of the Board and its committees may be considered. The Company values diversity on a Company-wide basis and seeks to achieve a diversity of occupational and personal backgrounds on the Board but has not adopted a specific policy regarding Board diversity. The Nominating and Corporate Governance Committee assesses the effectiveness of its efforts at pursuing diversity through its periodic evaluation of the Board’s composition.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Current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The Nominating and Corporate Governance Committee conducted an evaluation and assessment of all of the current directors for purposes of determining whether to recommend them for nomination for re-election to the Board of Directors. After reviewing the assessment results, the Nominating and Corporate Governance Committee recommended that Messrs. Dodds, Griffith, Halkyard, Hockin, Jenkins, King, and Sheehan and Mss. Mueller and Storms be nominated for election to the Board of Directors. The Board accepted the recommendations and nominated such persons. The Nominating and Corporate Governance Committee did not receive any recommendations from shareholders proposing candidates for election to the Board at the Annual Meeting.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Code of Business Conduct and Ethics and Whistle Blower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Code of Business Conduct and Ethics applies to our directors, officers and other employees and is available on our website at http://ir.daveandbusters.com/corporate-governance. We intend to post any material amendments or waivers of our Code of Business Conduct and Ethics that apply to our executive officers on this website. In fiscal 2019, we did not post any material amendments to or waivers of the Code of Business Conduct and Ethics on our website. In addition, our Whistle Blower Policy is available on our website at http://ir.daveandbusters.com/corporate-governance.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During fiscal 2019, the members of our Compensation Committee were Mr. Crawford, Mr. Griffith, Ms. Mueller and Ms. Storms. None of our executive officers serve on the compensation committee or board of directors of any other company of which any of the members of our Compensation Committee or any of our directors is an executive officer.</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Communications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If shareholders wish to communicate with the Board of Directors or with an individual director, they may direct such communications in care of the General Counsel, 2481 Mañana Drive, Dallas, Texas 75220. The communication must be clearly addressed to the Board of Directors or to a specific director. The Board of Directors has instructed the General Counsel to review and forward any such correspondence to the appropriate person or persons for response.</w:t>
      </w:r>
    </w:p>
    <w:p>
      <w:pPr>
        <w:spacing w:after="0" w:line="129"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25</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jc w:val="center"/>
        <w:ind w:left="420" w:right="800"/>
        <w:spacing w:after="0" w:line="248" w:lineRule="auto"/>
        <w:rPr>
          <w:sz w:val="20"/>
          <w:szCs w:val="20"/>
          <w:color w:val="auto"/>
        </w:rPr>
      </w:pPr>
      <w:r>
        <w:rPr>
          <w:rFonts w:ascii="Arial" w:cs="Arial" w:eastAsia="Arial" w:hAnsi="Arial"/>
          <w:sz w:val="40"/>
          <w:szCs w:val="40"/>
          <w:color w:val="003B71"/>
        </w:rPr>
        <w:t>SECURITY OWNERSHIP OF CERTAIN BENEFICIAL OWNERS AND MANAGEMENT</w:t>
      </w:r>
    </w:p>
    <w:p>
      <w:pPr>
        <w:spacing w:after="0" w:line="176"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following table shows the ownership of our common stock by (a) all persons known by us to beneficially own more than 5% of our common stock, (b) each present director, (c) the named executive officers, and (d) all executive officers and directors as a group.</w:t>
      </w:r>
    </w:p>
    <w:p>
      <w:pPr>
        <w:spacing w:after="0" w:line="197"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have determined beneficial ownership in accordance with the rules of the SEC, and unless otherwise indicated below, to our knowledge, the persons and entities named in the table have sole voting and sole investment power with respect to all shares that they beneficially own, subject to community property laws where applicable.</w:t>
      </w:r>
    </w:p>
    <w:p>
      <w:pPr>
        <w:spacing w:after="0" w:line="20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We have based our calculation of the percentage of beneficial ownership on 30,606,840 shares of our common stock outstanding as of April 9, 2020, unless otherwise indicated in the footnotes below. We have deemed shares of our common stock subject to stock options that are currently exercisable or exercisable within 60 days of April 9, 2020 to be outstanding and to be beneficially owned by the person holding the stock option for the purpose of computing the percentage ownership of that person. Unless otherwise noted, the address of each beneficial owner is c/o Dave &amp; Buster’s Entertainment, Inc., 2481 Mañana Drive, Dallas, Texas 75220.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300" w:type="dxa"/>
            <w:vAlign w:val="bottom"/>
          </w:tcPr>
          <w:p>
            <w:pPr>
              <w:jc w:val="center"/>
              <w:ind w:left="427"/>
              <w:spacing w:after="0"/>
              <w:rPr>
                <w:sz w:val="20"/>
                <w:szCs w:val="20"/>
                <w:color w:val="auto"/>
              </w:rPr>
            </w:pPr>
            <w:r>
              <w:rPr>
                <w:rFonts w:ascii="Arial" w:cs="Arial" w:eastAsia="Arial" w:hAnsi="Arial"/>
                <w:sz w:val="14"/>
                <w:szCs w:val="14"/>
                <w:b w:val="1"/>
                <w:bCs w:val="1"/>
                <w:color w:val="003B71"/>
              </w:rPr>
              <w:t>Number of Shares of Common</w:t>
            </w: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300" w:type="dxa"/>
            <w:vAlign w:val="bottom"/>
          </w:tcPr>
          <w:p>
            <w:pPr>
              <w:jc w:val="center"/>
              <w:ind w:left="427"/>
              <w:spacing w:after="0"/>
              <w:rPr>
                <w:sz w:val="20"/>
                <w:szCs w:val="20"/>
                <w:color w:val="auto"/>
              </w:rPr>
            </w:pPr>
            <w:r>
              <w:rPr>
                <w:rFonts w:ascii="Arial" w:cs="Arial" w:eastAsia="Arial" w:hAnsi="Arial"/>
                <w:sz w:val="14"/>
                <w:szCs w:val="14"/>
                <w:b w:val="1"/>
                <w:bCs w:val="1"/>
                <w:color w:val="003B71"/>
              </w:rPr>
              <w:t>Stock Beneficially Owned as of</w:t>
            </w: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4800" w:type="dxa"/>
            <w:vAlign w:val="bottom"/>
          </w:tcPr>
          <w:p>
            <w:pPr>
              <w:spacing w:after="0"/>
              <w:rPr>
                <w:sz w:val="20"/>
                <w:szCs w:val="20"/>
                <w:color w:val="auto"/>
              </w:rPr>
            </w:pPr>
            <w:r>
              <w:rPr>
                <w:rFonts w:ascii="Arial" w:cs="Arial" w:eastAsia="Arial" w:hAnsi="Arial"/>
                <w:sz w:val="14"/>
                <w:szCs w:val="14"/>
                <w:b w:val="1"/>
                <w:bCs w:val="1"/>
                <w:color w:val="003B71"/>
              </w:rPr>
              <w:t>Name of Beneficial Owner</w:t>
            </w:r>
          </w:p>
        </w:tc>
        <w:tc>
          <w:tcPr>
            <w:tcW w:w="1680" w:type="dxa"/>
            <w:vAlign w:val="bottom"/>
          </w:tcPr>
          <w:p>
            <w:pPr>
              <w:spacing w:after="0"/>
              <w:rPr>
                <w:sz w:val="16"/>
                <w:szCs w:val="16"/>
                <w:color w:val="auto"/>
              </w:rPr>
            </w:pPr>
          </w:p>
        </w:tc>
        <w:tc>
          <w:tcPr>
            <w:tcW w:w="3300" w:type="dxa"/>
            <w:vAlign w:val="bottom"/>
          </w:tcPr>
          <w:p>
            <w:pPr>
              <w:jc w:val="center"/>
              <w:ind w:left="407"/>
              <w:spacing w:after="0"/>
              <w:rPr>
                <w:sz w:val="20"/>
                <w:szCs w:val="20"/>
                <w:color w:val="auto"/>
              </w:rPr>
            </w:pPr>
            <w:r>
              <w:rPr>
                <w:rFonts w:ascii="Arial" w:cs="Arial" w:eastAsia="Arial" w:hAnsi="Arial"/>
                <w:sz w:val="14"/>
                <w:szCs w:val="14"/>
                <w:b w:val="1"/>
                <w:bCs w:val="1"/>
                <w:color w:val="003B71"/>
              </w:rPr>
              <w:t>April 9, 2020</w:t>
            </w:r>
          </w:p>
        </w:tc>
        <w:tc>
          <w:tcPr>
            <w:tcW w:w="1200" w:type="dxa"/>
            <w:vAlign w:val="bottom"/>
            <w:gridSpan w:val="2"/>
          </w:tcPr>
          <w:p>
            <w:pPr>
              <w:ind w:left="340"/>
              <w:spacing w:after="0"/>
              <w:rPr>
                <w:sz w:val="20"/>
                <w:szCs w:val="20"/>
                <w:color w:val="auto"/>
              </w:rPr>
            </w:pPr>
            <w:r>
              <w:rPr>
                <w:rFonts w:ascii="Arial" w:cs="Arial" w:eastAsia="Arial" w:hAnsi="Arial"/>
                <w:sz w:val="14"/>
                <w:szCs w:val="14"/>
                <w:b w:val="1"/>
                <w:bCs w:val="1"/>
                <w:color w:val="003B71"/>
              </w:rPr>
              <w:t>Percent</w:t>
            </w:r>
          </w:p>
        </w:tc>
        <w:tc>
          <w:tcPr>
            <w:tcW w:w="0" w:type="dxa"/>
            <w:vAlign w:val="bottom"/>
          </w:tcPr>
          <w:p>
            <w:pPr>
              <w:spacing w:after="0"/>
              <w:rPr>
                <w:sz w:val="1"/>
                <w:szCs w:val="1"/>
                <w:color w:val="auto"/>
              </w:rPr>
            </w:pPr>
          </w:p>
        </w:tc>
      </w:tr>
      <w:tr>
        <w:trPr>
          <w:trHeight w:val="156"/>
        </w:trPr>
        <w:tc>
          <w:tcPr>
            <w:tcW w:w="60" w:type="dxa"/>
            <w:vAlign w:val="bottom"/>
            <w:tcBorders>
              <w:top w:val="single" w:sz="8" w:color="003B71"/>
            </w:tcBorders>
            <w:shd w:val="clear" w:color="auto" w:fill="E5E5E5"/>
          </w:tcPr>
          <w:p>
            <w:pPr>
              <w:spacing w:after="0"/>
              <w:rPr>
                <w:sz w:val="13"/>
                <w:szCs w:val="13"/>
                <w:color w:val="auto"/>
              </w:rPr>
            </w:pPr>
          </w:p>
        </w:tc>
        <w:tc>
          <w:tcPr>
            <w:tcW w:w="4800" w:type="dxa"/>
            <w:vAlign w:val="bottom"/>
            <w:tcBorders>
              <w:top w:val="single" w:sz="8" w:color="003B71"/>
            </w:tcBorders>
            <w:shd w:val="clear" w:color="auto" w:fill="E5E5E5"/>
          </w:tcPr>
          <w:p>
            <w:pPr>
              <w:ind w:left="40"/>
              <w:spacing w:after="0" w:line="155" w:lineRule="exact"/>
              <w:rPr>
                <w:sz w:val="20"/>
                <w:szCs w:val="20"/>
                <w:color w:val="auto"/>
              </w:rPr>
            </w:pPr>
            <w:r>
              <w:rPr>
                <w:rFonts w:ascii="Arial" w:cs="Arial" w:eastAsia="Arial" w:hAnsi="Arial"/>
                <w:sz w:val="14"/>
                <w:szCs w:val="14"/>
                <w:color w:val="auto"/>
              </w:rPr>
              <w:t>5% Shareholders</w:t>
            </w:r>
          </w:p>
        </w:tc>
        <w:tc>
          <w:tcPr>
            <w:tcW w:w="1680" w:type="dxa"/>
            <w:vAlign w:val="bottom"/>
            <w:tcBorders>
              <w:top w:val="single" w:sz="8" w:color="003B71"/>
            </w:tcBorders>
            <w:shd w:val="clear" w:color="auto" w:fill="E5E5E5"/>
          </w:tcPr>
          <w:p>
            <w:pPr>
              <w:spacing w:after="0"/>
              <w:rPr>
                <w:sz w:val="13"/>
                <w:szCs w:val="13"/>
                <w:color w:val="auto"/>
              </w:rPr>
            </w:pPr>
          </w:p>
        </w:tc>
        <w:tc>
          <w:tcPr>
            <w:tcW w:w="3300" w:type="dxa"/>
            <w:vAlign w:val="bottom"/>
            <w:tcBorders>
              <w:top w:val="single" w:sz="8" w:color="003B71"/>
            </w:tcBorders>
            <w:shd w:val="clear" w:color="auto" w:fill="E5E5E5"/>
          </w:tcPr>
          <w:p>
            <w:pPr>
              <w:spacing w:after="0"/>
              <w:rPr>
                <w:sz w:val="13"/>
                <w:szCs w:val="13"/>
                <w:color w:val="auto"/>
              </w:rPr>
            </w:pPr>
          </w:p>
        </w:tc>
        <w:tc>
          <w:tcPr>
            <w:tcW w:w="1180" w:type="dxa"/>
            <w:vAlign w:val="bottom"/>
            <w:tcBorders>
              <w:top w:val="single" w:sz="8" w:color="003B71"/>
            </w:tcBorders>
            <w:shd w:val="clear" w:color="auto" w:fill="E5E5E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4800" w:type="dxa"/>
            <w:vAlign w:val="bottom"/>
          </w:tcPr>
          <w:p>
            <w:pPr>
              <w:ind w:left="400"/>
              <w:spacing w:after="0" w:line="159" w:lineRule="exact"/>
              <w:rPr>
                <w:sz w:val="20"/>
                <w:szCs w:val="20"/>
                <w:color w:val="auto"/>
              </w:rPr>
            </w:pPr>
            <w:r>
              <w:rPr>
                <w:rFonts w:ascii="Arial" w:cs="Arial" w:eastAsia="Arial" w:hAnsi="Arial"/>
                <w:sz w:val="14"/>
                <w:szCs w:val="14"/>
                <w:color w:val="auto"/>
              </w:rPr>
              <w:t>BlackRock, Inc.(1)</w:t>
            </w:r>
          </w:p>
        </w:tc>
        <w:tc>
          <w:tcPr>
            <w:tcW w:w="16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800" w:type="dxa"/>
            <w:vAlign w:val="bottom"/>
          </w:tcPr>
          <w:p>
            <w:pPr>
              <w:ind w:left="400"/>
              <w:spacing w:after="0" w:line="170" w:lineRule="exact"/>
              <w:rPr>
                <w:sz w:val="20"/>
                <w:szCs w:val="20"/>
                <w:color w:val="auto"/>
              </w:rPr>
            </w:pPr>
            <w:r>
              <w:rPr>
                <w:rFonts w:ascii="Arial" w:cs="Arial" w:eastAsia="Arial" w:hAnsi="Arial"/>
                <w:sz w:val="12"/>
                <w:szCs w:val="12"/>
                <w:color w:val="auto"/>
              </w:rPr>
              <w:t>55 East 52</w:t>
            </w:r>
            <w:r>
              <w:rPr>
                <w:rFonts w:ascii="Arial" w:cs="Arial" w:eastAsia="Arial" w:hAnsi="Arial"/>
                <w:sz w:val="19"/>
                <w:szCs w:val="19"/>
                <w:color w:val="auto"/>
                <w:vertAlign w:val="superscript"/>
              </w:rPr>
              <w:t>nd</w:t>
            </w:r>
            <w:r>
              <w:rPr>
                <w:rFonts w:ascii="Arial" w:cs="Arial" w:eastAsia="Arial" w:hAnsi="Arial"/>
                <w:sz w:val="12"/>
                <w:szCs w:val="12"/>
                <w:color w:val="auto"/>
              </w:rPr>
              <w:t xml:space="preserve"> Street</w:t>
            </w:r>
          </w:p>
        </w:tc>
        <w:tc>
          <w:tcPr>
            <w:tcW w:w="16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4800" w:type="dxa"/>
            <w:vAlign w:val="bottom"/>
          </w:tcPr>
          <w:p>
            <w:pPr>
              <w:ind w:left="400"/>
              <w:spacing w:after="0"/>
              <w:rPr>
                <w:sz w:val="20"/>
                <w:szCs w:val="20"/>
                <w:color w:val="auto"/>
              </w:rPr>
            </w:pPr>
            <w:r>
              <w:rPr>
                <w:rFonts w:ascii="Arial" w:cs="Arial" w:eastAsia="Arial" w:hAnsi="Arial"/>
                <w:sz w:val="14"/>
                <w:szCs w:val="14"/>
                <w:color w:val="auto"/>
              </w:rPr>
              <w:t>New York, NY 10055</w:t>
            </w:r>
          </w:p>
        </w:tc>
        <w:tc>
          <w:tcPr>
            <w:tcW w:w="1680" w:type="dxa"/>
            <w:vAlign w:val="bottom"/>
          </w:tcPr>
          <w:p>
            <w:pPr>
              <w:spacing w:after="0"/>
              <w:rPr>
                <w:sz w:val="14"/>
                <w:szCs w:val="14"/>
                <w:color w:val="auto"/>
              </w:rPr>
            </w:pPr>
          </w:p>
        </w:tc>
        <w:tc>
          <w:tcPr>
            <w:tcW w:w="3300" w:type="dxa"/>
            <w:vAlign w:val="bottom"/>
          </w:tcPr>
          <w:p>
            <w:pPr>
              <w:jc w:val="right"/>
              <w:ind w:right="267"/>
              <w:spacing w:after="0"/>
              <w:rPr>
                <w:sz w:val="20"/>
                <w:szCs w:val="20"/>
                <w:color w:val="auto"/>
              </w:rPr>
            </w:pPr>
            <w:r>
              <w:rPr>
                <w:rFonts w:ascii="Arial" w:cs="Arial" w:eastAsia="Arial" w:hAnsi="Arial"/>
                <w:sz w:val="14"/>
                <w:szCs w:val="14"/>
                <w:color w:val="auto"/>
              </w:rPr>
              <w:t>4,781,086</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 w:type="dxa"/>
            <w:vAlign w:val="bottom"/>
            <w:shd w:val="clear" w:color="auto" w:fill="E5E5E5"/>
          </w:tcPr>
          <w:p>
            <w:pPr>
              <w:spacing w:after="0"/>
              <w:rPr>
                <w:sz w:val="14"/>
                <w:szCs w:val="14"/>
                <w:color w:val="auto"/>
              </w:rPr>
            </w:pPr>
          </w:p>
        </w:tc>
        <w:tc>
          <w:tcPr>
            <w:tcW w:w="4800" w:type="dxa"/>
            <w:vAlign w:val="bottom"/>
            <w:shd w:val="clear" w:color="auto" w:fill="E5E5E5"/>
          </w:tcPr>
          <w:p>
            <w:pPr>
              <w:ind w:left="400"/>
              <w:spacing w:after="0"/>
              <w:rPr>
                <w:sz w:val="20"/>
                <w:szCs w:val="20"/>
                <w:color w:val="auto"/>
              </w:rPr>
            </w:pPr>
            <w:r>
              <w:rPr>
                <w:rFonts w:ascii="Arial" w:cs="Arial" w:eastAsia="Arial" w:hAnsi="Arial"/>
                <w:sz w:val="14"/>
                <w:szCs w:val="14"/>
                <w:color w:val="auto"/>
              </w:rPr>
              <w:t>The Vanguard Group(2)</w:t>
            </w:r>
          </w:p>
        </w:tc>
        <w:tc>
          <w:tcPr>
            <w:tcW w:w="1680" w:type="dxa"/>
            <w:vAlign w:val="bottom"/>
            <w:shd w:val="clear" w:color="auto" w:fill="E5E5E5"/>
          </w:tcPr>
          <w:p>
            <w:pPr>
              <w:spacing w:after="0"/>
              <w:rPr>
                <w:sz w:val="14"/>
                <w:szCs w:val="14"/>
                <w:color w:val="auto"/>
              </w:rPr>
            </w:pPr>
          </w:p>
        </w:tc>
        <w:tc>
          <w:tcPr>
            <w:tcW w:w="3300" w:type="dxa"/>
            <w:vAlign w:val="bottom"/>
            <w:shd w:val="clear" w:color="auto" w:fill="E5E5E5"/>
          </w:tcPr>
          <w:p>
            <w:pPr>
              <w:spacing w:after="0"/>
              <w:rPr>
                <w:sz w:val="14"/>
                <w:szCs w:val="14"/>
                <w:color w:val="auto"/>
              </w:rPr>
            </w:pPr>
          </w:p>
        </w:tc>
        <w:tc>
          <w:tcPr>
            <w:tcW w:w="1180" w:type="dxa"/>
            <w:vAlign w:val="bottom"/>
            <w:shd w:val="clear" w:color="auto" w:fill="E5E5E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E5E5E5"/>
          </w:tcPr>
          <w:p>
            <w:pPr>
              <w:spacing w:after="0"/>
              <w:rPr>
                <w:sz w:val="14"/>
                <w:szCs w:val="14"/>
                <w:color w:val="auto"/>
              </w:rPr>
            </w:pPr>
          </w:p>
        </w:tc>
        <w:tc>
          <w:tcPr>
            <w:tcW w:w="4800" w:type="dxa"/>
            <w:vAlign w:val="bottom"/>
            <w:shd w:val="clear" w:color="auto" w:fill="E5E5E5"/>
          </w:tcPr>
          <w:p>
            <w:pPr>
              <w:ind w:left="400"/>
              <w:spacing w:after="0"/>
              <w:rPr>
                <w:sz w:val="20"/>
                <w:szCs w:val="20"/>
                <w:color w:val="auto"/>
              </w:rPr>
            </w:pPr>
            <w:r>
              <w:rPr>
                <w:rFonts w:ascii="Arial" w:cs="Arial" w:eastAsia="Arial" w:hAnsi="Arial"/>
                <w:sz w:val="14"/>
                <w:szCs w:val="14"/>
                <w:color w:val="auto"/>
              </w:rPr>
              <w:t>100 Vanguard Blvd.</w:t>
            </w:r>
          </w:p>
        </w:tc>
        <w:tc>
          <w:tcPr>
            <w:tcW w:w="1680" w:type="dxa"/>
            <w:vAlign w:val="bottom"/>
            <w:shd w:val="clear" w:color="auto" w:fill="E5E5E5"/>
          </w:tcPr>
          <w:p>
            <w:pPr>
              <w:spacing w:after="0"/>
              <w:rPr>
                <w:sz w:val="14"/>
                <w:szCs w:val="14"/>
                <w:color w:val="auto"/>
              </w:rPr>
            </w:pPr>
          </w:p>
        </w:tc>
        <w:tc>
          <w:tcPr>
            <w:tcW w:w="3300" w:type="dxa"/>
            <w:vAlign w:val="bottom"/>
            <w:shd w:val="clear" w:color="auto" w:fill="E5E5E5"/>
          </w:tcPr>
          <w:p>
            <w:pPr>
              <w:spacing w:after="0"/>
              <w:rPr>
                <w:sz w:val="14"/>
                <w:szCs w:val="14"/>
                <w:color w:val="auto"/>
              </w:rPr>
            </w:pPr>
          </w:p>
        </w:tc>
        <w:tc>
          <w:tcPr>
            <w:tcW w:w="1180" w:type="dxa"/>
            <w:vAlign w:val="bottom"/>
            <w:shd w:val="clear" w:color="auto" w:fill="E5E5E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shd w:val="clear" w:color="auto" w:fill="E5E5E5"/>
          </w:tcPr>
          <w:p>
            <w:pPr>
              <w:spacing w:after="0"/>
              <w:rPr>
                <w:sz w:val="14"/>
                <w:szCs w:val="14"/>
                <w:color w:val="auto"/>
              </w:rPr>
            </w:pPr>
          </w:p>
        </w:tc>
        <w:tc>
          <w:tcPr>
            <w:tcW w:w="4800" w:type="dxa"/>
            <w:vAlign w:val="bottom"/>
            <w:shd w:val="clear" w:color="auto" w:fill="E5E5E5"/>
          </w:tcPr>
          <w:p>
            <w:pPr>
              <w:ind w:left="400"/>
              <w:spacing w:after="0"/>
              <w:rPr>
                <w:sz w:val="20"/>
                <w:szCs w:val="20"/>
                <w:color w:val="auto"/>
              </w:rPr>
            </w:pPr>
            <w:r>
              <w:rPr>
                <w:rFonts w:ascii="Arial" w:cs="Arial" w:eastAsia="Arial" w:hAnsi="Arial"/>
                <w:sz w:val="14"/>
                <w:szCs w:val="14"/>
                <w:color w:val="auto"/>
              </w:rPr>
              <w:t>Malvern, PA 19355</w:t>
            </w:r>
          </w:p>
        </w:tc>
        <w:tc>
          <w:tcPr>
            <w:tcW w:w="1680" w:type="dxa"/>
            <w:vAlign w:val="bottom"/>
            <w:shd w:val="clear" w:color="auto" w:fill="E5E5E5"/>
          </w:tcPr>
          <w:p>
            <w:pPr>
              <w:spacing w:after="0"/>
              <w:rPr>
                <w:sz w:val="14"/>
                <w:szCs w:val="14"/>
                <w:color w:val="auto"/>
              </w:rPr>
            </w:pPr>
          </w:p>
        </w:tc>
        <w:tc>
          <w:tcPr>
            <w:tcW w:w="3300" w:type="dxa"/>
            <w:vAlign w:val="bottom"/>
            <w:shd w:val="clear" w:color="auto" w:fill="E5E5E5"/>
          </w:tcPr>
          <w:p>
            <w:pPr>
              <w:jc w:val="right"/>
              <w:ind w:right="267"/>
              <w:spacing w:after="0"/>
              <w:rPr>
                <w:sz w:val="20"/>
                <w:szCs w:val="20"/>
                <w:color w:val="auto"/>
              </w:rPr>
            </w:pPr>
            <w:r>
              <w:rPr>
                <w:rFonts w:ascii="Arial" w:cs="Arial" w:eastAsia="Arial" w:hAnsi="Arial"/>
                <w:sz w:val="14"/>
                <w:szCs w:val="14"/>
                <w:color w:val="auto"/>
              </w:rPr>
              <w:t>3,692,319</w:t>
            </w:r>
          </w:p>
        </w:tc>
        <w:tc>
          <w:tcPr>
            <w:tcW w:w="11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4800" w:type="dxa"/>
            <w:vAlign w:val="bottom"/>
          </w:tcPr>
          <w:p>
            <w:pPr>
              <w:ind w:left="400"/>
              <w:spacing w:after="0" w:line="159" w:lineRule="exact"/>
              <w:rPr>
                <w:sz w:val="20"/>
                <w:szCs w:val="20"/>
                <w:color w:val="auto"/>
              </w:rPr>
            </w:pPr>
            <w:r>
              <w:rPr>
                <w:rFonts w:ascii="Arial" w:cs="Arial" w:eastAsia="Arial" w:hAnsi="Arial"/>
                <w:sz w:val="14"/>
                <w:szCs w:val="14"/>
                <w:color w:val="auto"/>
              </w:rPr>
              <w:t>Kohlberg Kravis Roberts &amp; Co.(3)</w:t>
            </w:r>
          </w:p>
        </w:tc>
        <w:tc>
          <w:tcPr>
            <w:tcW w:w="16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800" w:type="dxa"/>
            <w:vAlign w:val="bottom"/>
          </w:tcPr>
          <w:p>
            <w:pPr>
              <w:ind w:left="400"/>
              <w:spacing w:after="0" w:line="170" w:lineRule="exact"/>
              <w:rPr>
                <w:sz w:val="20"/>
                <w:szCs w:val="20"/>
                <w:color w:val="auto"/>
              </w:rPr>
            </w:pPr>
            <w:r>
              <w:rPr>
                <w:rFonts w:ascii="Arial" w:cs="Arial" w:eastAsia="Arial" w:hAnsi="Arial"/>
                <w:sz w:val="12"/>
                <w:szCs w:val="12"/>
                <w:color w:val="auto"/>
              </w:rPr>
              <w:t>9 West 57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Suite 4200</w:t>
            </w:r>
          </w:p>
        </w:tc>
        <w:tc>
          <w:tcPr>
            <w:tcW w:w="16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4800" w:type="dxa"/>
            <w:vAlign w:val="bottom"/>
          </w:tcPr>
          <w:p>
            <w:pPr>
              <w:ind w:left="400"/>
              <w:spacing w:after="0"/>
              <w:rPr>
                <w:sz w:val="20"/>
                <w:szCs w:val="20"/>
                <w:color w:val="auto"/>
              </w:rPr>
            </w:pPr>
            <w:r>
              <w:rPr>
                <w:rFonts w:ascii="Arial" w:cs="Arial" w:eastAsia="Arial" w:hAnsi="Arial"/>
                <w:sz w:val="14"/>
                <w:szCs w:val="14"/>
                <w:color w:val="auto"/>
              </w:rPr>
              <w:t>New York, NY 10019</w:t>
            </w:r>
          </w:p>
        </w:tc>
        <w:tc>
          <w:tcPr>
            <w:tcW w:w="1680" w:type="dxa"/>
            <w:vAlign w:val="bottom"/>
          </w:tcPr>
          <w:p>
            <w:pPr>
              <w:spacing w:after="0"/>
              <w:rPr>
                <w:sz w:val="14"/>
                <w:szCs w:val="14"/>
                <w:color w:val="auto"/>
              </w:rPr>
            </w:pPr>
          </w:p>
        </w:tc>
        <w:tc>
          <w:tcPr>
            <w:tcW w:w="3300" w:type="dxa"/>
            <w:vAlign w:val="bottom"/>
          </w:tcPr>
          <w:p>
            <w:pPr>
              <w:jc w:val="right"/>
              <w:ind w:right="267"/>
              <w:spacing w:after="0"/>
              <w:rPr>
                <w:sz w:val="20"/>
                <w:szCs w:val="20"/>
                <w:color w:val="auto"/>
              </w:rPr>
            </w:pPr>
            <w:r>
              <w:rPr>
                <w:rFonts w:ascii="Arial" w:cs="Arial" w:eastAsia="Arial" w:hAnsi="Arial"/>
                <w:sz w:val="14"/>
                <w:szCs w:val="14"/>
                <w:color w:val="auto"/>
              </w:rPr>
              <w:t>2,525,800</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 w:type="dxa"/>
            <w:vAlign w:val="bottom"/>
            <w:shd w:val="clear" w:color="auto" w:fill="E5E5E5"/>
          </w:tcPr>
          <w:p>
            <w:pPr>
              <w:spacing w:after="0"/>
              <w:rPr>
                <w:sz w:val="14"/>
                <w:szCs w:val="14"/>
                <w:color w:val="auto"/>
              </w:rPr>
            </w:pPr>
          </w:p>
        </w:tc>
        <w:tc>
          <w:tcPr>
            <w:tcW w:w="4800" w:type="dxa"/>
            <w:vAlign w:val="bottom"/>
            <w:shd w:val="clear" w:color="auto" w:fill="E5E5E5"/>
          </w:tcPr>
          <w:p>
            <w:pPr>
              <w:ind w:left="400"/>
              <w:spacing w:after="0"/>
              <w:rPr>
                <w:sz w:val="20"/>
                <w:szCs w:val="20"/>
                <w:color w:val="auto"/>
              </w:rPr>
            </w:pPr>
            <w:r>
              <w:rPr>
                <w:rFonts w:ascii="Arial" w:cs="Arial" w:eastAsia="Arial" w:hAnsi="Arial"/>
                <w:sz w:val="14"/>
                <w:szCs w:val="14"/>
                <w:color w:val="auto"/>
              </w:rPr>
              <w:t>Morgan Stanley(4)</w:t>
            </w:r>
          </w:p>
        </w:tc>
        <w:tc>
          <w:tcPr>
            <w:tcW w:w="1680" w:type="dxa"/>
            <w:vAlign w:val="bottom"/>
            <w:shd w:val="clear" w:color="auto" w:fill="E5E5E5"/>
          </w:tcPr>
          <w:p>
            <w:pPr>
              <w:spacing w:after="0"/>
              <w:rPr>
                <w:sz w:val="14"/>
                <w:szCs w:val="14"/>
                <w:color w:val="auto"/>
              </w:rPr>
            </w:pPr>
          </w:p>
        </w:tc>
        <w:tc>
          <w:tcPr>
            <w:tcW w:w="3300" w:type="dxa"/>
            <w:vAlign w:val="bottom"/>
            <w:shd w:val="clear" w:color="auto" w:fill="E5E5E5"/>
          </w:tcPr>
          <w:p>
            <w:pPr>
              <w:spacing w:after="0"/>
              <w:rPr>
                <w:sz w:val="14"/>
                <w:szCs w:val="14"/>
                <w:color w:val="auto"/>
              </w:rPr>
            </w:pPr>
          </w:p>
        </w:tc>
        <w:tc>
          <w:tcPr>
            <w:tcW w:w="1180" w:type="dxa"/>
            <w:vAlign w:val="bottom"/>
            <w:shd w:val="clear" w:color="auto" w:fill="E5E5E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E5E5E5"/>
          </w:tcPr>
          <w:p>
            <w:pPr>
              <w:spacing w:after="0"/>
              <w:rPr>
                <w:sz w:val="14"/>
                <w:szCs w:val="14"/>
                <w:color w:val="auto"/>
              </w:rPr>
            </w:pPr>
          </w:p>
        </w:tc>
        <w:tc>
          <w:tcPr>
            <w:tcW w:w="4800" w:type="dxa"/>
            <w:vAlign w:val="bottom"/>
            <w:shd w:val="clear" w:color="auto" w:fill="E5E5E5"/>
          </w:tcPr>
          <w:p>
            <w:pPr>
              <w:ind w:left="400"/>
              <w:spacing w:after="0"/>
              <w:rPr>
                <w:sz w:val="20"/>
                <w:szCs w:val="20"/>
                <w:color w:val="auto"/>
              </w:rPr>
            </w:pPr>
            <w:r>
              <w:rPr>
                <w:rFonts w:ascii="Arial" w:cs="Arial" w:eastAsia="Arial" w:hAnsi="Arial"/>
                <w:sz w:val="14"/>
                <w:szCs w:val="14"/>
                <w:color w:val="auto"/>
              </w:rPr>
              <w:t>1585 Broadway</w:t>
            </w:r>
          </w:p>
        </w:tc>
        <w:tc>
          <w:tcPr>
            <w:tcW w:w="1680" w:type="dxa"/>
            <w:vAlign w:val="bottom"/>
            <w:shd w:val="clear" w:color="auto" w:fill="E5E5E5"/>
          </w:tcPr>
          <w:p>
            <w:pPr>
              <w:spacing w:after="0"/>
              <w:rPr>
                <w:sz w:val="14"/>
                <w:szCs w:val="14"/>
                <w:color w:val="auto"/>
              </w:rPr>
            </w:pPr>
          </w:p>
        </w:tc>
        <w:tc>
          <w:tcPr>
            <w:tcW w:w="3300" w:type="dxa"/>
            <w:vAlign w:val="bottom"/>
            <w:shd w:val="clear" w:color="auto" w:fill="E5E5E5"/>
          </w:tcPr>
          <w:p>
            <w:pPr>
              <w:spacing w:after="0"/>
              <w:rPr>
                <w:sz w:val="14"/>
                <w:szCs w:val="14"/>
                <w:color w:val="auto"/>
              </w:rPr>
            </w:pPr>
          </w:p>
        </w:tc>
        <w:tc>
          <w:tcPr>
            <w:tcW w:w="1180" w:type="dxa"/>
            <w:vAlign w:val="bottom"/>
            <w:shd w:val="clear" w:color="auto" w:fill="E5E5E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shd w:val="clear" w:color="auto" w:fill="E5E5E5"/>
          </w:tcPr>
          <w:p>
            <w:pPr>
              <w:spacing w:after="0"/>
              <w:rPr>
                <w:sz w:val="14"/>
                <w:szCs w:val="14"/>
                <w:color w:val="auto"/>
              </w:rPr>
            </w:pPr>
          </w:p>
        </w:tc>
        <w:tc>
          <w:tcPr>
            <w:tcW w:w="4800" w:type="dxa"/>
            <w:vAlign w:val="bottom"/>
            <w:shd w:val="clear" w:color="auto" w:fill="E5E5E5"/>
          </w:tcPr>
          <w:p>
            <w:pPr>
              <w:ind w:left="400"/>
              <w:spacing w:after="0"/>
              <w:rPr>
                <w:sz w:val="20"/>
                <w:szCs w:val="20"/>
                <w:color w:val="auto"/>
              </w:rPr>
            </w:pPr>
            <w:r>
              <w:rPr>
                <w:rFonts w:ascii="Arial" w:cs="Arial" w:eastAsia="Arial" w:hAnsi="Arial"/>
                <w:sz w:val="14"/>
                <w:szCs w:val="14"/>
                <w:color w:val="auto"/>
              </w:rPr>
              <w:t>New York, NY 10036</w:t>
            </w:r>
          </w:p>
        </w:tc>
        <w:tc>
          <w:tcPr>
            <w:tcW w:w="1680" w:type="dxa"/>
            <w:vAlign w:val="bottom"/>
            <w:shd w:val="clear" w:color="auto" w:fill="E5E5E5"/>
          </w:tcPr>
          <w:p>
            <w:pPr>
              <w:spacing w:after="0"/>
              <w:rPr>
                <w:sz w:val="14"/>
                <w:szCs w:val="14"/>
                <w:color w:val="auto"/>
              </w:rPr>
            </w:pPr>
          </w:p>
        </w:tc>
        <w:tc>
          <w:tcPr>
            <w:tcW w:w="3300" w:type="dxa"/>
            <w:vAlign w:val="bottom"/>
            <w:shd w:val="clear" w:color="auto" w:fill="E5E5E5"/>
          </w:tcPr>
          <w:p>
            <w:pPr>
              <w:jc w:val="right"/>
              <w:ind w:right="267"/>
              <w:spacing w:after="0"/>
              <w:rPr>
                <w:sz w:val="20"/>
                <w:szCs w:val="20"/>
                <w:color w:val="auto"/>
              </w:rPr>
            </w:pPr>
            <w:r>
              <w:rPr>
                <w:rFonts w:ascii="Arial" w:cs="Arial" w:eastAsia="Arial" w:hAnsi="Arial"/>
                <w:sz w:val="14"/>
                <w:szCs w:val="14"/>
                <w:color w:val="auto"/>
              </w:rPr>
              <w:t>2,413,493</w:t>
            </w:r>
          </w:p>
        </w:tc>
        <w:tc>
          <w:tcPr>
            <w:tcW w:w="11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4800" w:type="dxa"/>
            <w:vAlign w:val="bottom"/>
          </w:tcPr>
          <w:p>
            <w:pPr>
              <w:ind w:left="400"/>
              <w:spacing w:after="0"/>
              <w:rPr>
                <w:sz w:val="20"/>
                <w:szCs w:val="20"/>
                <w:color w:val="auto"/>
              </w:rPr>
            </w:pPr>
            <w:r>
              <w:rPr>
                <w:rFonts w:ascii="Arial" w:cs="Arial" w:eastAsia="Arial" w:hAnsi="Arial"/>
                <w:sz w:val="14"/>
                <w:szCs w:val="14"/>
                <w:color w:val="auto"/>
              </w:rPr>
              <w:t>Mackenzie Financial Corporation(5)</w:t>
            </w:r>
          </w:p>
        </w:tc>
        <w:tc>
          <w:tcPr>
            <w:tcW w:w="16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4800" w:type="dxa"/>
            <w:vAlign w:val="bottom"/>
          </w:tcPr>
          <w:p>
            <w:pPr>
              <w:ind w:left="400"/>
              <w:spacing w:after="0"/>
              <w:rPr>
                <w:sz w:val="20"/>
                <w:szCs w:val="20"/>
                <w:color w:val="auto"/>
              </w:rPr>
            </w:pPr>
            <w:r>
              <w:rPr>
                <w:rFonts w:ascii="Arial" w:cs="Arial" w:eastAsia="Arial" w:hAnsi="Arial"/>
                <w:sz w:val="14"/>
                <w:szCs w:val="14"/>
                <w:color w:val="auto"/>
              </w:rPr>
              <w:t>180 Queen Street West</w:t>
            </w:r>
          </w:p>
        </w:tc>
        <w:tc>
          <w:tcPr>
            <w:tcW w:w="16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4800" w:type="dxa"/>
            <w:vAlign w:val="bottom"/>
          </w:tcPr>
          <w:p>
            <w:pPr>
              <w:ind w:left="400"/>
              <w:spacing w:after="0"/>
              <w:rPr>
                <w:sz w:val="20"/>
                <w:szCs w:val="20"/>
                <w:color w:val="auto"/>
              </w:rPr>
            </w:pPr>
            <w:r>
              <w:rPr>
                <w:rFonts w:ascii="Arial" w:cs="Arial" w:eastAsia="Arial" w:hAnsi="Arial"/>
                <w:sz w:val="14"/>
                <w:szCs w:val="14"/>
                <w:color w:val="auto"/>
              </w:rPr>
              <w:t>Toronto, Ontario M5V 3K1</w:t>
            </w:r>
          </w:p>
        </w:tc>
        <w:tc>
          <w:tcPr>
            <w:tcW w:w="1680" w:type="dxa"/>
            <w:vAlign w:val="bottom"/>
          </w:tcPr>
          <w:p>
            <w:pPr>
              <w:spacing w:after="0"/>
              <w:rPr>
                <w:sz w:val="14"/>
                <w:szCs w:val="14"/>
                <w:color w:val="auto"/>
              </w:rPr>
            </w:pPr>
          </w:p>
        </w:tc>
        <w:tc>
          <w:tcPr>
            <w:tcW w:w="3300" w:type="dxa"/>
            <w:vAlign w:val="bottom"/>
          </w:tcPr>
          <w:p>
            <w:pPr>
              <w:jc w:val="right"/>
              <w:ind w:right="267"/>
              <w:spacing w:after="0"/>
              <w:rPr>
                <w:sz w:val="20"/>
                <w:szCs w:val="20"/>
                <w:color w:val="auto"/>
              </w:rPr>
            </w:pPr>
            <w:r>
              <w:rPr>
                <w:rFonts w:ascii="Arial" w:cs="Arial" w:eastAsia="Arial" w:hAnsi="Arial"/>
                <w:sz w:val="14"/>
                <w:szCs w:val="14"/>
                <w:color w:val="auto"/>
              </w:rPr>
              <w:t>2,344,198</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0" w:type="dxa"/>
            <w:vAlign w:val="bottom"/>
            <w:shd w:val="clear" w:color="auto" w:fill="E5E5E5"/>
          </w:tcPr>
          <w:p>
            <w:pPr>
              <w:spacing w:after="0"/>
              <w:rPr>
                <w:sz w:val="13"/>
                <w:szCs w:val="13"/>
                <w:color w:val="auto"/>
              </w:rPr>
            </w:pPr>
          </w:p>
        </w:tc>
        <w:tc>
          <w:tcPr>
            <w:tcW w:w="4800" w:type="dxa"/>
            <w:vAlign w:val="bottom"/>
            <w:shd w:val="clear" w:color="auto" w:fill="E5E5E5"/>
          </w:tcPr>
          <w:p>
            <w:pPr>
              <w:ind w:left="400"/>
              <w:spacing w:after="0" w:line="159" w:lineRule="exact"/>
              <w:rPr>
                <w:sz w:val="20"/>
                <w:szCs w:val="20"/>
                <w:color w:val="auto"/>
              </w:rPr>
            </w:pPr>
            <w:r>
              <w:rPr>
                <w:rFonts w:ascii="Arial" w:cs="Arial" w:eastAsia="Arial" w:hAnsi="Arial"/>
                <w:sz w:val="14"/>
                <w:szCs w:val="14"/>
                <w:color w:val="auto"/>
              </w:rPr>
              <w:t>Hill Path Capital LP(6)</w:t>
            </w:r>
          </w:p>
        </w:tc>
        <w:tc>
          <w:tcPr>
            <w:tcW w:w="1680" w:type="dxa"/>
            <w:vAlign w:val="bottom"/>
            <w:shd w:val="clear" w:color="auto" w:fill="E5E5E5"/>
          </w:tcPr>
          <w:p>
            <w:pPr>
              <w:spacing w:after="0"/>
              <w:rPr>
                <w:sz w:val="13"/>
                <w:szCs w:val="13"/>
                <w:color w:val="auto"/>
              </w:rPr>
            </w:pPr>
          </w:p>
        </w:tc>
        <w:tc>
          <w:tcPr>
            <w:tcW w:w="3300" w:type="dxa"/>
            <w:vAlign w:val="bottom"/>
            <w:shd w:val="clear" w:color="auto" w:fill="E5E5E5"/>
          </w:tcPr>
          <w:p>
            <w:pPr>
              <w:spacing w:after="0"/>
              <w:rPr>
                <w:sz w:val="13"/>
                <w:szCs w:val="13"/>
                <w:color w:val="auto"/>
              </w:rPr>
            </w:pPr>
          </w:p>
        </w:tc>
        <w:tc>
          <w:tcPr>
            <w:tcW w:w="1180" w:type="dxa"/>
            <w:vAlign w:val="bottom"/>
            <w:shd w:val="clear" w:color="auto" w:fill="E5E5E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 w:type="dxa"/>
            <w:vAlign w:val="bottom"/>
            <w:shd w:val="clear" w:color="auto" w:fill="E5E5E5"/>
          </w:tcPr>
          <w:p>
            <w:pPr>
              <w:spacing w:after="0"/>
              <w:rPr>
                <w:sz w:val="14"/>
                <w:szCs w:val="14"/>
                <w:color w:val="auto"/>
              </w:rPr>
            </w:pPr>
          </w:p>
        </w:tc>
        <w:tc>
          <w:tcPr>
            <w:tcW w:w="4800" w:type="dxa"/>
            <w:vAlign w:val="bottom"/>
            <w:shd w:val="clear" w:color="auto" w:fill="E5E5E5"/>
          </w:tcPr>
          <w:p>
            <w:pPr>
              <w:ind w:left="400"/>
              <w:spacing w:after="0" w:line="170" w:lineRule="exact"/>
              <w:rPr>
                <w:sz w:val="20"/>
                <w:szCs w:val="20"/>
                <w:color w:val="auto"/>
              </w:rPr>
            </w:pPr>
            <w:r>
              <w:rPr>
                <w:rFonts w:ascii="Arial" w:cs="Arial" w:eastAsia="Arial" w:hAnsi="Arial"/>
                <w:sz w:val="12"/>
                <w:szCs w:val="12"/>
                <w:color w:val="auto"/>
              </w:rPr>
              <w:t>150 East 58</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32</w:t>
            </w:r>
            <w:r>
              <w:rPr>
                <w:rFonts w:ascii="Arial" w:cs="Arial" w:eastAsia="Arial" w:hAnsi="Arial"/>
                <w:sz w:val="19"/>
                <w:szCs w:val="19"/>
                <w:color w:val="auto"/>
                <w:vertAlign w:val="superscript"/>
              </w:rPr>
              <w:t>nd</w:t>
            </w:r>
            <w:r>
              <w:rPr>
                <w:rFonts w:ascii="Arial" w:cs="Arial" w:eastAsia="Arial" w:hAnsi="Arial"/>
                <w:sz w:val="12"/>
                <w:szCs w:val="12"/>
                <w:color w:val="auto"/>
              </w:rPr>
              <w:t xml:space="preserve"> Floor</w:t>
            </w:r>
          </w:p>
        </w:tc>
        <w:tc>
          <w:tcPr>
            <w:tcW w:w="1680" w:type="dxa"/>
            <w:vAlign w:val="bottom"/>
            <w:shd w:val="clear" w:color="auto" w:fill="E5E5E5"/>
          </w:tcPr>
          <w:p>
            <w:pPr>
              <w:spacing w:after="0"/>
              <w:rPr>
                <w:sz w:val="14"/>
                <w:szCs w:val="14"/>
                <w:color w:val="auto"/>
              </w:rPr>
            </w:pPr>
          </w:p>
        </w:tc>
        <w:tc>
          <w:tcPr>
            <w:tcW w:w="3300" w:type="dxa"/>
            <w:vAlign w:val="bottom"/>
            <w:shd w:val="clear" w:color="auto" w:fill="E5E5E5"/>
          </w:tcPr>
          <w:p>
            <w:pPr>
              <w:spacing w:after="0"/>
              <w:rPr>
                <w:sz w:val="14"/>
                <w:szCs w:val="14"/>
                <w:color w:val="auto"/>
              </w:rPr>
            </w:pPr>
          </w:p>
        </w:tc>
        <w:tc>
          <w:tcPr>
            <w:tcW w:w="1180" w:type="dxa"/>
            <w:vAlign w:val="bottom"/>
            <w:shd w:val="clear" w:color="auto" w:fill="E5E5E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shd w:val="clear" w:color="auto" w:fill="E5E5E5"/>
          </w:tcPr>
          <w:p>
            <w:pPr>
              <w:spacing w:after="0"/>
              <w:rPr>
                <w:sz w:val="14"/>
                <w:szCs w:val="14"/>
                <w:color w:val="auto"/>
              </w:rPr>
            </w:pPr>
          </w:p>
        </w:tc>
        <w:tc>
          <w:tcPr>
            <w:tcW w:w="4800" w:type="dxa"/>
            <w:vAlign w:val="bottom"/>
            <w:shd w:val="clear" w:color="auto" w:fill="E5E5E5"/>
          </w:tcPr>
          <w:p>
            <w:pPr>
              <w:ind w:left="400"/>
              <w:spacing w:after="0"/>
              <w:rPr>
                <w:sz w:val="20"/>
                <w:szCs w:val="20"/>
                <w:color w:val="auto"/>
              </w:rPr>
            </w:pPr>
            <w:r>
              <w:rPr>
                <w:rFonts w:ascii="Arial" w:cs="Arial" w:eastAsia="Arial" w:hAnsi="Arial"/>
                <w:sz w:val="14"/>
                <w:szCs w:val="14"/>
                <w:color w:val="auto"/>
              </w:rPr>
              <w:t>New York, NY 10155</w:t>
            </w:r>
          </w:p>
        </w:tc>
        <w:tc>
          <w:tcPr>
            <w:tcW w:w="1680" w:type="dxa"/>
            <w:vAlign w:val="bottom"/>
            <w:shd w:val="clear" w:color="auto" w:fill="E5E5E5"/>
          </w:tcPr>
          <w:p>
            <w:pPr>
              <w:spacing w:after="0"/>
              <w:rPr>
                <w:sz w:val="14"/>
                <w:szCs w:val="14"/>
                <w:color w:val="auto"/>
              </w:rPr>
            </w:pPr>
          </w:p>
        </w:tc>
        <w:tc>
          <w:tcPr>
            <w:tcW w:w="3300" w:type="dxa"/>
            <w:vAlign w:val="bottom"/>
            <w:shd w:val="clear" w:color="auto" w:fill="E5E5E5"/>
          </w:tcPr>
          <w:p>
            <w:pPr>
              <w:jc w:val="right"/>
              <w:ind w:right="267"/>
              <w:spacing w:after="0"/>
              <w:rPr>
                <w:sz w:val="20"/>
                <w:szCs w:val="20"/>
                <w:color w:val="auto"/>
              </w:rPr>
            </w:pPr>
            <w:r>
              <w:rPr>
                <w:rFonts w:ascii="Arial" w:cs="Arial" w:eastAsia="Arial" w:hAnsi="Arial"/>
                <w:sz w:val="14"/>
                <w:szCs w:val="14"/>
                <w:color w:val="auto"/>
              </w:rPr>
              <w:t>2,148,477</w:t>
            </w:r>
          </w:p>
        </w:tc>
        <w:tc>
          <w:tcPr>
            <w:tcW w:w="11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4800" w:type="dxa"/>
            <w:vAlign w:val="bottom"/>
          </w:tcPr>
          <w:p>
            <w:pPr>
              <w:ind w:left="40"/>
              <w:spacing w:after="0"/>
              <w:rPr>
                <w:sz w:val="20"/>
                <w:szCs w:val="20"/>
                <w:color w:val="auto"/>
              </w:rPr>
            </w:pPr>
            <w:r>
              <w:rPr>
                <w:rFonts w:ascii="Arial" w:cs="Arial" w:eastAsia="Arial" w:hAnsi="Arial"/>
                <w:sz w:val="14"/>
                <w:szCs w:val="14"/>
                <w:color w:val="auto"/>
              </w:rPr>
              <w:t>Directors</w:t>
            </w:r>
          </w:p>
        </w:tc>
        <w:tc>
          <w:tcPr>
            <w:tcW w:w="16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E5E5E5"/>
          </w:tcPr>
          <w:p>
            <w:pPr>
              <w:spacing w:after="0"/>
              <w:rPr>
                <w:sz w:val="14"/>
                <w:szCs w:val="14"/>
                <w:color w:val="auto"/>
              </w:rPr>
            </w:pPr>
          </w:p>
        </w:tc>
        <w:tc>
          <w:tcPr>
            <w:tcW w:w="4800" w:type="dxa"/>
            <w:vAlign w:val="bottom"/>
            <w:shd w:val="clear" w:color="auto" w:fill="E5E5E5"/>
          </w:tcPr>
          <w:p>
            <w:pPr>
              <w:ind w:left="400"/>
              <w:spacing w:after="0"/>
              <w:rPr>
                <w:sz w:val="20"/>
                <w:szCs w:val="20"/>
                <w:color w:val="auto"/>
              </w:rPr>
            </w:pPr>
            <w:r>
              <w:rPr>
                <w:rFonts w:ascii="Arial" w:cs="Arial" w:eastAsia="Arial" w:hAnsi="Arial"/>
                <w:sz w:val="14"/>
                <w:szCs w:val="14"/>
                <w:color w:val="auto"/>
              </w:rPr>
              <w:t>Stephen M. King(7)</w:t>
            </w:r>
          </w:p>
        </w:tc>
        <w:tc>
          <w:tcPr>
            <w:tcW w:w="1680" w:type="dxa"/>
            <w:vAlign w:val="bottom"/>
            <w:shd w:val="clear" w:color="auto" w:fill="E5E5E5"/>
          </w:tcPr>
          <w:p>
            <w:pPr>
              <w:spacing w:after="0"/>
              <w:rPr>
                <w:sz w:val="14"/>
                <w:szCs w:val="14"/>
                <w:color w:val="auto"/>
              </w:rPr>
            </w:pPr>
          </w:p>
        </w:tc>
        <w:tc>
          <w:tcPr>
            <w:tcW w:w="3300" w:type="dxa"/>
            <w:vAlign w:val="bottom"/>
            <w:shd w:val="clear" w:color="auto" w:fill="E5E5E5"/>
          </w:tcPr>
          <w:p>
            <w:pPr>
              <w:jc w:val="right"/>
              <w:ind w:right="267"/>
              <w:spacing w:after="0"/>
              <w:rPr>
                <w:sz w:val="20"/>
                <w:szCs w:val="20"/>
                <w:color w:val="auto"/>
              </w:rPr>
            </w:pPr>
            <w:r>
              <w:rPr>
                <w:rFonts w:ascii="Arial" w:cs="Arial" w:eastAsia="Arial" w:hAnsi="Arial"/>
                <w:sz w:val="14"/>
                <w:szCs w:val="14"/>
                <w:color w:val="auto"/>
              </w:rPr>
              <w:t>471,368</w:t>
            </w:r>
          </w:p>
        </w:tc>
        <w:tc>
          <w:tcPr>
            <w:tcW w:w="11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4800" w:type="dxa"/>
            <w:vAlign w:val="bottom"/>
          </w:tcPr>
          <w:p>
            <w:pPr>
              <w:ind w:left="400"/>
              <w:spacing w:after="0"/>
              <w:rPr>
                <w:sz w:val="20"/>
                <w:szCs w:val="20"/>
                <w:color w:val="auto"/>
              </w:rPr>
            </w:pPr>
            <w:r>
              <w:rPr>
                <w:rFonts w:ascii="Arial" w:cs="Arial" w:eastAsia="Arial" w:hAnsi="Arial"/>
                <w:sz w:val="14"/>
                <w:szCs w:val="14"/>
                <w:color w:val="auto"/>
              </w:rPr>
              <w:t>Victor L. Crawford</w:t>
            </w:r>
          </w:p>
        </w:tc>
        <w:tc>
          <w:tcPr>
            <w:tcW w:w="1680" w:type="dxa"/>
            <w:vAlign w:val="bottom"/>
          </w:tcPr>
          <w:p>
            <w:pPr>
              <w:spacing w:after="0"/>
              <w:rPr>
                <w:sz w:val="14"/>
                <w:szCs w:val="14"/>
                <w:color w:val="auto"/>
              </w:rPr>
            </w:pPr>
          </w:p>
        </w:tc>
        <w:tc>
          <w:tcPr>
            <w:tcW w:w="3300" w:type="dxa"/>
            <w:vAlign w:val="bottom"/>
          </w:tcPr>
          <w:p>
            <w:pPr>
              <w:jc w:val="right"/>
              <w:ind w:right="267"/>
              <w:spacing w:after="0"/>
              <w:rPr>
                <w:sz w:val="20"/>
                <w:szCs w:val="20"/>
                <w:color w:val="auto"/>
              </w:rPr>
            </w:pPr>
            <w:r>
              <w:rPr>
                <w:rFonts w:ascii="Arial" w:cs="Arial" w:eastAsia="Arial" w:hAnsi="Arial"/>
                <w:sz w:val="14"/>
                <w:szCs w:val="14"/>
                <w:color w:val="auto"/>
              </w:rPr>
              <w:t>8,905</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E5E5E5"/>
          </w:tcPr>
          <w:p>
            <w:pPr>
              <w:spacing w:after="0"/>
              <w:rPr>
                <w:sz w:val="14"/>
                <w:szCs w:val="14"/>
                <w:color w:val="auto"/>
              </w:rPr>
            </w:pPr>
          </w:p>
        </w:tc>
        <w:tc>
          <w:tcPr>
            <w:tcW w:w="4800" w:type="dxa"/>
            <w:vAlign w:val="bottom"/>
            <w:shd w:val="clear" w:color="auto" w:fill="E5E5E5"/>
          </w:tcPr>
          <w:p>
            <w:pPr>
              <w:ind w:left="400"/>
              <w:spacing w:after="0"/>
              <w:rPr>
                <w:sz w:val="20"/>
                <w:szCs w:val="20"/>
                <w:color w:val="auto"/>
              </w:rPr>
            </w:pPr>
            <w:r>
              <w:rPr>
                <w:rFonts w:ascii="Arial" w:cs="Arial" w:eastAsia="Arial" w:hAnsi="Arial"/>
                <w:sz w:val="14"/>
                <w:szCs w:val="14"/>
                <w:color w:val="auto"/>
              </w:rPr>
              <w:t>Hamish A. Dodds</w:t>
            </w:r>
          </w:p>
        </w:tc>
        <w:tc>
          <w:tcPr>
            <w:tcW w:w="1680" w:type="dxa"/>
            <w:vAlign w:val="bottom"/>
            <w:shd w:val="clear" w:color="auto" w:fill="E5E5E5"/>
          </w:tcPr>
          <w:p>
            <w:pPr>
              <w:spacing w:after="0"/>
              <w:rPr>
                <w:sz w:val="14"/>
                <w:szCs w:val="14"/>
                <w:color w:val="auto"/>
              </w:rPr>
            </w:pPr>
          </w:p>
        </w:tc>
        <w:tc>
          <w:tcPr>
            <w:tcW w:w="3300" w:type="dxa"/>
            <w:vAlign w:val="bottom"/>
            <w:shd w:val="clear" w:color="auto" w:fill="E5E5E5"/>
          </w:tcPr>
          <w:p>
            <w:pPr>
              <w:jc w:val="right"/>
              <w:ind w:right="267"/>
              <w:spacing w:after="0"/>
              <w:rPr>
                <w:sz w:val="20"/>
                <w:szCs w:val="20"/>
                <w:color w:val="auto"/>
              </w:rPr>
            </w:pPr>
            <w:r>
              <w:rPr>
                <w:rFonts w:ascii="Arial" w:cs="Arial" w:eastAsia="Arial" w:hAnsi="Arial"/>
                <w:sz w:val="14"/>
                <w:szCs w:val="14"/>
                <w:color w:val="auto"/>
              </w:rPr>
              <w:t>7,513</w:t>
            </w:r>
          </w:p>
        </w:tc>
        <w:tc>
          <w:tcPr>
            <w:tcW w:w="118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4800" w:type="dxa"/>
            <w:vAlign w:val="bottom"/>
          </w:tcPr>
          <w:p>
            <w:pPr>
              <w:ind w:left="400"/>
              <w:spacing w:after="0"/>
              <w:rPr>
                <w:sz w:val="20"/>
                <w:szCs w:val="20"/>
                <w:color w:val="auto"/>
              </w:rPr>
            </w:pPr>
            <w:r>
              <w:rPr>
                <w:rFonts w:ascii="Arial" w:cs="Arial" w:eastAsia="Arial" w:hAnsi="Arial"/>
                <w:sz w:val="14"/>
                <w:szCs w:val="14"/>
                <w:color w:val="auto"/>
              </w:rPr>
              <w:t>Michael J. Griffith(8)</w:t>
            </w:r>
          </w:p>
        </w:tc>
        <w:tc>
          <w:tcPr>
            <w:tcW w:w="1680" w:type="dxa"/>
            <w:vAlign w:val="bottom"/>
          </w:tcPr>
          <w:p>
            <w:pPr>
              <w:spacing w:after="0"/>
              <w:rPr>
                <w:sz w:val="14"/>
                <w:szCs w:val="14"/>
                <w:color w:val="auto"/>
              </w:rPr>
            </w:pPr>
          </w:p>
        </w:tc>
        <w:tc>
          <w:tcPr>
            <w:tcW w:w="3300" w:type="dxa"/>
            <w:vAlign w:val="bottom"/>
          </w:tcPr>
          <w:p>
            <w:pPr>
              <w:jc w:val="right"/>
              <w:ind w:right="267"/>
              <w:spacing w:after="0"/>
              <w:rPr>
                <w:sz w:val="20"/>
                <w:szCs w:val="20"/>
                <w:color w:val="auto"/>
              </w:rPr>
            </w:pPr>
            <w:r>
              <w:rPr>
                <w:rFonts w:ascii="Arial" w:cs="Arial" w:eastAsia="Arial" w:hAnsi="Arial"/>
                <w:sz w:val="14"/>
                <w:szCs w:val="14"/>
                <w:color w:val="auto"/>
              </w:rPr>
              <w:t>72,426</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E5E5E5"/>
          </w:tcPr>
          <w:p>
            <w:pPr>
              <w:spacing w:after="0"/>
              <w:rPr>
                <w:sz w:val="14"/>
                <w:szCs w:val="14"/>
                <w:color w:val="auto"/>
              </w:rPr>
            </w:pPr>
          </w:p>
        </w:tc>
        <w:tc>
          <w:tcPr>
            <w:tcW w:w="4800" w:type="dxa"/>
            <w:vAlign w:val="bottom"/>
            <w:shd w:val="clear" w:color="auto" w:fill="E5E5E5"/>
          </w:tcPr>
          <w:p>
            <w:pPr>
              <w:ind w:left="400"/>
              <w:spacing w:after="0"/>
              <w:rPr>
                <w:sz w:val="20"/>
                <w:szCs w:val="20"/>
                <w:color w:val="auto"/>
              </w:rPr>
            </w:pPr>
            <w:r>
              <w:rPr>
                <w:rFonts w:ascii="Arial" w:cs="Arial" w:eastAsia="Arial" w:hAnsi="Arial"/>
                <w:sz w:val="14"/>
                <w:szCs w:val="14"/>
                <w:color w:val="auto"/>
              </w:rPr>
              <w:t>Jonathan S. Halkyard(9)</w:t>
            </w:r>
          </w:p>
        </w:tc>
        <w:tc>
          <w:tcPr>
            <w:tcW w:w="1680" w:type="dxa"/>
            <w:vAlign w:val="bottom"/>
            <w:shd w:val="clear" w:color="auto" w:fill="E5E5E5"/>
          </w:tcPr>
          <w:p>
            <w:pPr>
              <w:spacing w:after="0"/>
              <w:rPr>
                <w:sz w:val="14"/>
                <w:szCs w:val="14"/>
                <w:color w:val="auto"/>
              </w:rPr>
            </w:pPr>
          </w:p>
        </w:tc>
        <w:tc>
          <w:tcPr>
            <w:tcW w:w="3300" w:type="dxa"/>
            <w:vAlign w:val="bottom"/>
            <w:shd w:val="clear" w:color="auto" w:fill="E5E5E5"/>
          </w:tcPr>
          <w:p>
            <w:pPr>
              <w:jc w:val="right"/>
              <w:ind w:right="267"/>
              <w:spacing w:after="0"/>
              <w:rPr>
                <w:sz w:val="20"/>
                <w:szCs w:val="20"/>
                <w:color w:val="auto"/>
              </w:rPr>
            </w:pPr>
            <w:r>
              <w:rPr>
                <w:rFonts w:ascii="Arial" w:cs="Arial" w:eastAsia="Arial" w:hAnsi="Arial"/>
                <w:sz w:val="14"/>
                <w:szCs w:val="14"/>
                <w:color w:val="auto"/>
              </w:rPr>
              <w:t>55,874</w:t>
            </w:r>
          </w:p>
        </w:tc>
        <w:tc>
          <w:tcPr>
            <w:tcW w:w="118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4800" w:type="dxa"/>
            <w:vAlign w:val="bottom"/>
          </w:tcPr>
          <w:p>
            <w:pPr>
              <w:ind w:left="400"/>
              <w:spacing w:after="0"/>
              <w:rPr>
                <w:sz w:val="20"/>
                <w:szCs w:val="20"/>
                <w:color w:val="auto"/>
              </w:rPr>
            </w:pPr>
            <w:r>
              <w:rPr>
                <w:rFonts w:ascii="Arial" w:cs="Arial" w:eastAsia="Arial" w:hAnsi="Arial"/>
                <w:sz w:val="14"/>
                <w:szCs w:val="14"/>
                <w:color w:val="auto"/>
              </w:rPr>
              <w:t>John C. Hockin(10)</w:t>
            </w:r>
          </w:p>
        </w:tc>
        <w:tc>
          <w:tcPr>
            <w:tcW w:w="1680" w:type="dxa"/>
            <w:vAlign w:val="bottom"/>
          </w:tcPr>
          <w:p>
            <w:pPr>
              <w:spacing w:after="0"/>
              <w:rPr>
                <w:sz w:val="14"/>
                <w:szCs w:val="14"/>
                <w:color w:val="auto"/>
              </w:rPr>
            </w:pPr>
          </w:p>
        </w:tc>
        <w:tc>
          <w:tcPr>
            <w:tcW w:w="3300" w:type="dxa"/>
            <w:vAlign w:val="bottom"/>
          </w:tcPr>
          <w:p>
            <w:pPr>
              <w:jc w:val="right"/>
              <w:ind w:right="267"/>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E5E5E5"/>
          </w:tcPr>
          <w:p>
            <w:pPr>
              <w:spacing w:after="0"/>
              <w:rPr>
                <w:sz w:val="14"/>
                <w:szCs w:val="14"/>
                <w:color w:val="auto"/>
              </w:rPr>
            </w:pPr>
          </w:p>
        </w:tc>
        <w:tc>
          <w:tcPr>
            <w:tcW w:w="4800" w:type="dxa"/>
            <w:vAlign w:val="bottom"/>
            <w:shd w:val="clear" w:color="auto" w:fill="E5E5E5"/>
          </w:tcPr>
          <w:p>
            <w:pPr>
              <w:ind w:left="400"/>
              <w:spacing w:after="0"/>
              <w:rPr>
                <w:sz w:val="20"/>
                <w:szCs w:val="20"/>
                <w:color w:val="auto"/>
              </w:rPr>
            </w:pPr>
            <w:r>
              <w:rPr>
                <w:rFonts w:ascii="Arial" w:cs="Arial" w:eastAsia="Arial" w:hAnsi="Arial"/>
                <w:sz w:val="14"/>
                <w:szCs w:val="14"/>
                <w:color w:val="auto"/>
              </w:rPr>
              <w:t>Brian A. Jenkins(11)</w:t>
            </w:r>
          </w:p>
        </w:tc>
        <w:tc>
          <w:tcPr>
            <w:tcW w:w="1680" w:type="dxa"/>
            <w:vAlign w:val="bottom"/>
            <w:shd w:val="clear" w:color="auto" w:fill="E5E5E5"/>
          </w:tcPr>
          <w:p>
            <w:pPr>
              <w:spacing w:after="0"/>
              <w:rPr>
                <w:sz w:val="14"/>
                <w:szCs w:val="14"/>
                <w:color w:val="auto"/>
              </w:rPr>
            </w:pPr>
          </w:p>
        </w:tc>
        <w:tc>
          <w:tcPr>
            <w:tcW w:w="3300" w:type="dxa"/>
            <w:vAlign w:val="bottom"/>
            <w:shd w:val="clear" w:color="auto" w:fill="E5E5E5"/>
          </w:tcPr>
          <w:p>
            <w:pPr>
              <w:jc w:val="right"/>
              <w:ind w:right="267"/>
              <w:spacing w:after="0"/>
              <w:rPr>
                <w:sz w:val="20"/>
                <w:szCs w:val="20"/>
                <w:color w:val="auto"/>
              </w:rPr>
            </w:pPr>
            <w:r>
              <w:rPr>
                <w:rFonts w:ascii="Arial" w:cs="Arial" w:eastAsia="Arial" w:hAnsi="Arial"/>
                <w:sz w:val="14"/>
                <w:szCs w:val="14"/>
                <w:color w:val="auto"/>
              </w:rPr>
              <w:t>280,025</w:t>
            </w:r>
          </w:p>
        </w:tc>
        <w:tc>
          <w:tcPr>
            <w:tcW w:w="118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4800" w:type="dxa"/>
            <w:vAlign w:val="bottom"/>
          </w:tcPr>
          <w:p>
            <w:pPr>
              <w:ind w:left="400"/>
              <w:spacing w:after="0"/>
              <w:rPr>
                <w:sz w:val="20"/>
                <w:szCs w:val="20"/>
                <w:color w:val="auto"/>
              </w:rPr>
            </w:pPr>
            <w:r>
              <w:rPr>
                <w:rFonts w:ascii="Arial" w:cs="Arial" w:eastAsia="Arial" w:hAnsi="Arial"/>
                <w:sz w:val="14"/>
                <w:szCs w:val="14"/>
                <w:color w:val="auto"/>
              </w:rPr>
              <w:t>Patricia H. Mueller(12)</w:t>
            </w:r>
          </w:p>
        </w:tc>
        <w:tc>
          <w:tcPr>
            <w:tcW w:w="1680" w:type="dxa"/>
            <w:vAlign w:val="bottom"/>
          </w:tcPr>
          <w:p>
            <w:pPr>
              <w:spacing w:after="0"/>
              <w:rPr>
                <w:sz w:val="14"/>
                <w:szCs w:val="14"/>
                <w:color w:val="auto"/>
              </w:rPr>
            </w:pPr>
          </w:p>
        </w:tc>
        <w:tc>
          <w:tcPr>
            <w:tcW w:w="3300" w:type="dxa"/>
            <w:vAlign w:val="bottom"/>
          </w:tcPr>
          <w:p>
            <w:pPr>
              <w:jc w:val="right"/>
              <w:ind w:right="267"/>
              <w:spacing w:after="0"/>
              <w:rPr>
                <w:sz w:val="20"/>
                <w:szCs w:val="20"/>
                <w:color w:val="auto"/>
              </w:rPr>
            </w:pPr>
            <w:r>
              <w:rPr>
                <w:rFonts w:ascii="Arial" w:cs="Arial" w:eastAsia="Arial" w:hAnsi="Arial"/>
                <w:sz w:val="14"/>
                <w:szCs w:val="14"/>
                <w:color w:val="auto"/>
              </w:rPr>
              <w:t>20,266</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E5E5E5"/>
          </w:tcPr>
          <w:p>
            <w:pPr>
              <w:spacing w:after="0"/>
              <w:rPr>
                <w:sz w:val="14"/>
                <w:szCs w:val="14"/>
                <w:color w:val="auto"/>
              </w:rPr>
            </w:pPr>
          </w:p>
        </w:tc>
        <w:tc>
          <w:tcPr>
            <w:tcW w:w="4800" w:type="dxa"/>
            <w:vAlign w:val="bottom"/>
            <w:shd w:val="clear" w:color="auto" w:fill="E5E5E5"/>
          </w:tcPr>
          <w:p>
            <w:pPr>
              <w:ind w:left="400"/>
              <w:spacing w:after="0"/>
              <w:rPr>
                <w:sz w:val="20"/>
                <w:szCs w:val="20"/>
                <w:color w:val="auto"/>
              </w:rPr>
            </w:pPr>
            <w:r>
              <w:rPr>
                <w:rFonts w:ascii="Arial" w:cs="Arial" w:eastAsia="Arial" w:hAnsi="Arial"/>
                <w:sz w:val="14"/>
                <w:szCs w:val="14"/>
                <w:color w:val="auto"/>
              </w:rPr>
              <w:t>Kevin M. Sheehan(13)</w:t>
            </w:r>
          </w:p>
        </w:tc>
        <w:tc>
          <w:tcPr>
            <w:tcW w:w="1680" w:type="dxa"/>
            <w:vAlign w:val="bottom"/>
            <w:shd w:val="clear" w:color="auto" w:fill="E5E5E5"/>
          </w:tcPr>
          <w:p>
            <w:pPr>
              <w:spacing w:after="0"/>
              <w:rPr>
                <w:sz w:val="14"/>
                <w:szCs w:val="14"/>
                <w:color w:val="auto"/>
              </w:rPr>
            </w:pPr>
          </w:p>
        </w:tc>
        <w:tc>
          <w:tcPr>
            <w:tcW w:w="3300" w:type="dxa"/>
            <w:vAlign w:val="bottom"/>
            <w:shd w:val="clear" w:color="auto" w:fill="E5E5E5"/>
          </w:tcPr>
          <w:p>
            <w:pPr>
              <w:jc w:val="right"/>
              <w:ind w:right="267"/>
              <w:spacing w:after="0"/>
              <w:rPr>
                <w:sz w:val="20"/>
                <w:szCs w:val="20"/>
                <w:color w:val="auto"/>
              </w:rPr>
            </w:pPr>
            <w:r>
              <w:rPr>
                <w:rFonts w:ascii="Arial" w:cs="Arial" w:eastAsia="Arial" w:hAnsi="Arial"/>
                <w:sz w:val="14"/>
                <w:szCs w:val="14"/>
                <w:color w:val="auto"/>
              </w:rPr>
              <w:t>104,239</w:t>
            </w:r>
          </w:p>
        </w:tc>
        <w:tc>
          <w:tcPr>
            <w:tcW w:w="118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4800" w:type="dxa"/>
            <w:vAlign w:val="bottom"/>
          </w:tcPr>
          <w:p>
            <w:pPr>
              <w:ind w:left="400"/>
              <w:spacing w:after="0"/>
              <w:rPr>
                <w:sz w:val="20"/>
                <w:szCs w:val="20"/>
                <w:color w:val="auto"/>
              </w:rPr>
            </w:pPr>
            <w:r>
              <w:rPr>
                <w:rFonts w:ascii="Arial" w:cs="Arial" w:eastAsia="Arial" w:hAnsi="Arial"/>
                <w:sz w:val="14"/>
                <w:szCs w:val="14"/>
                <w:color w:val="auto"/>
              </w:rPr>
              <w:t>Jennifer Storms(14)</w:t>
            </w:r>
          </w:p>
        </w:tc>
        <w:tc>
          <w:tcPr>
            <w:tcW w:w="1680" w:type="dxa"/>
            <w:vAlign w:val="bottom"/>
          </w:tcPr>
          <w:p>
            <w:pPr>
              <w:spacing w:after="0"/>
              <w:rPr>
                <w:sz w:val="14"/>
                <w:szCs w:val="14"/>
                <w:color w:val="auto"/>
              </w:rPr>
            </w:pPr>
          </w:p>
        </w:tc>
        <w:tc>
          <w:tcPr>
            <w:tcW w:w="3300" w:type="dxa"/>
            <w:vAlign w:val="bottom"/>
          </w:tcPr>
          <w:p>
            <w:pPr>
              <w:jc w:val="right"/>
              <w:ind w:right="267"/>
              <w:spacing w:after="0"/>
              <w:rPr>
                <w:sz w:val="20"/>
                <w:szCs w:val="20"/>
                <w:color w:val="auto"/>
              </w:rPr>
            </w:pPr>
            <w:r>
              <w:rPr>
                <w:rFonts w:ascii="Arial" w:cs="Arial" w:eastAsia="Arial" w:hAnsi="Arial"/>
                <w:sz w:val="14"/>
                <w:szCs w:val="14"/>
                <w:color w:val="auto"/>
              </w:rPr>
              <w:t>13,119</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E5E5E5"/>
          </w:tcPr>
          <w:p>
            <w:pPr>
              <w:spacing w:after="0"/>
              <w:rPr>
                <w:sz w:val="14"/>
                <w:szCs w:val="14"/>
                <w:color w:val="auto"/>
              </w:rPr>
            </w:pPr>
          </w:p>
        </w:tc>
        <w:tc>
          <w:tcPr>
            <w:tcW w:w="4800" w:type="dxa"/>
            <w:vAlign w:val="bottom"/>
            <w:shd w:val="clear" w:color="auto" w:fill="E5E5E5"/>
          </w:tcPr>
          <w:p>
            <w:pPr>
              <w:ind w:left="40"/>
              <w:spacing w:after="0"/>
              <w:rPr>
                <w:sz w:val="20"/>
                <w:szCs w:val="20"/>
                <w:color w:val="auto"/>
              </w:rPr>
            </w:pPr>
            <w:r>
              <w:rPr>
                <w:rFonts w:ascii="Arial" w:cs="Arial" w:eastAsia="Arial" w:hAnsi="Arial"/>
                <w:sz w:val="14"/>
                <w:szCs w:val="14"/>
                <w:color w:val="auto"/>
              </w:rPr>
              <w:t>Named Executive Officers(15)</w:t>
            </w:r>
          </w:p>
        </w:tc>
        <w:tc>
          <w:tcPr>
            <w:tcW w:w="1680" w:type="dxa"/>
            <w:vAlign w:val="bottom"/>
            <w:shd w:val="clear" w:color="auto" w:fill="E5E5E5"/>
          </w:tcPr>
          <w:p>
            <w:pPr>
              <w:spacing w:after="0"/>
              <w:rPr>
                <w:sz w:val="14"/>
                <w:szCs w:val="14"/>
                <w:color w:val="auto"/>
              </w:rPr>
            </w:pPr>
          </w:p>
        </w:tc>
        <w:tc>
          <w:tcPr>
            <w:tcW w:w="3300" w:type="dxa"/>
            <w:vAlign w:val="bottom"/>
            <w:shd w:val="clear" w:color="auto" w:fill="E5E5E5"/>
          </w:tcPr>
          <w:p>
            <w:pPr>
              <w:spacing w:after="0"/>
              <w:rPr>
                <w:sz w:val="14"/>
                <w:szCs w:val="14"/>
                <w:color w:val="auto"/>
              </w:rPr>
            </w:pPr>
          </w:p>
        </w:tc>
        <w:tc>
          <w:tcPr>
            <w:tcW w:w="1180" w:type="dxa"/>
            <w:vAlign w:val="bottom"/>
            <w:shd w:val="clear" w:color="auto" w:fill="E5E5E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4800" w:type="dxa"/>
            <w:vAlign w:val="bottom"/>
          </w:tcPr>
          <w:p>
            <w:pPr>
              <w:ind w:left="400"/>
              <w:spacing w:after="0"/>
              <w:rPr>
                <w:sz w:val="20"/>
                <w:szCs w:val="20"/>
                <w:color w:val="auto"/>
              </w:rPr>
            </w:pPr>
            <w:r>
              <w:rPr>
                <w:rFonts w:ascii="Arial" w:cs="Arial" w:eastAsia="Arial" w:hAnsi="Arial"/>
                <w:sz w:val="14"/>
                <w:szCs w:val="14"/>
                <w:color w:val="auto"/>
              </w:rPr>
              <w:t>Joe DeProspero(16)</w:t>
            </w:r>
          </w:p>
        </w:tc>
        <w:tc>
          <w:tcPr>
            <w:tcW w:w="1680" w:type="dxa"/>
            <w:vAlign w:val="bottom"/>
          </w:tcPr>
          <w:p>
            <w:pPr>
              <w:spacing w:after="0"/>
              <w:rPr>
                <w:sz w:val="14"/>
                <w:szCs w:val="14"/>
                <w:color w:val="auto"/>
              </w:rPr>
            </w:pPr>
          </w:p>
        </w:tc>
        <w:tc>
          <w:tcPr>
            <w:tcW w:w="3300" w:type="dxa"/>
            <w:vAlign w:val="bottom"/>
          </w:tcPr>
          <w:p>
            <w:pPr>
              <w:jc w:val="right"/>
              <w:ind w:right="267"/>
              <w:spacing w:after="0"/>
              <w:rPr>
                <w:sz w:val="20"/>
                <w:szCs w:val="20"/>
                <w:color w:val="auto"/>
              </w:rPr>
            </w:pPr>
            <w:r>
              <w:rPr>
                <w:rFonts w:ascii="Arial" w:cs="Arial" w:eastAsia="Arial" w:hAnsi="Arial"/>
                <w:sz w:val="14"/>
                <w:szCs w:val="14"/>
                <w:color w:val="auto"/>
              </w:rPr>
              <w:t>37,971</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E5E5E5"/>
          </w:tcPr>
          <w:p>
            <w:pPr>
              <w:spacing w:after="0"/>
              <w:rPr>
                <w:sz w:val="14"/>
                <w:szCs w:val="14"/>
                <w:color w:val="auto"/>
              </w:rPr>
            </w:pPr>
          </w:p>
        </w:tc>
        <w:tc>
          <w:tcPr>
            <w:tcW w:w="4800" w:type="dxa"/>
            <w:vAlign w:val="bottom"/>
            <w:shd w:val="clear" w:color="auto" w:fill="E5E5E5"/>
          </w:tcPr>
          <w:p>
            <w:pPr>
              <w:ind w:left="400"/>
              <w:spacing w:after="0"/>
              <w:rPr>
                <w:sz w:val="20"/>
                <w:szCs w:val="20"/>
                <w:color w:val="auto"/>
              </w:rPr>
            </w:pPr>
            <w:r>
              <w:rPr>
                <w:rFonts w:ascii="Arial" w:cs="Arial" w:eastAsia="Arial" w:hAnsi="Arial"/>
                <w:sz w:val="14"/>
                <w:szCs w:val="14"/>
                <w:color w:val="auto"/>
              </w:rPr>
              <w:t>Sean Gleason(17)</w:t>
            </w:r>
          </w:p>
        </w:tc>
        <w:tc>
          <w:tcPr>
            <w:tcW w:w="1680" w:type="dxa"/>
            <w:vAlign w:val="bottom"/>
            <w:shd w:val="clear" w:color="auto" w:fill="E5E5E5"/>
          </w:tcPr>
          <w:p>
            <w:pPr>
              <w:spacing w:after="0"/>
              <w:rPr>
                <w:sz w:val="14"/>
                <w:szCs w:val="14"/>
                <w:color w:val="auto"/>
              </w:rPr>
            </w:pPr>
          </w:p>
        </w:tc>
        <w:tc>
          <w:tcPr>
            <w:tcW w:w="3300" w:type="dxa"/>
            <w:vAlign w:val="bottom"/>
            <w:shd w:val="clear" w:color="auto" w:fill="E5E5E5"/>
          </w:tcPr>
          <w:p>
            <w:pPr>
              <w:jc w:val="right"/>
              <w:ind w:right="267"/>
              <w:spacing w:after="0"/>
              <w:rPr>
                <w:sz w:val="20"/>
                <w:szCs w:val="20"/>
                <w:color w:val="auto"/>
              </w:rPr>
            </w:pPr>
            <w:r>
              <w:rPr>
                <w:rFonts w:ascii="Arial" w:cs="Arial" w:eastAsia="Arial" w:hAnsi="Arial"/>
                <w:sz w:val="14"/>
                <w:szCs w:val="14"/>
                <w:color w:val="auto"/>
              </w:rPr>
              <w:t>84,866</w:t>
            </w:r>
          </w:p>
        </w:tc>
        <w:tc>
          <w:tcPr>
            <w:tcW w:w="118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4800" w:type="dxa"/>
            <w:vAlign w:val="bottom"/>
          </w:tcPr>
          <w:p>
            <w:pPr>
              <w:ind w:left="400"/>
              <w:spacing w:after="0"/>
              <w:rPr>
                <w:sz w:val="20"/>
                <w:szCs w:val="20"/>
                <w:color w:val="auto"/>
              </w:rPr>
            </w:pPr>
            <w:r>
              <w:rPr>
                <w:rFonts w:ascii="Arial" w:cs="Arial" w:eastAsia="Arial" w:hAnsi="Arial"/>
                <w:sz w:val="14"/>
                <w:szCs w:val="14"/>
                <w:color w:val="auto"/>
              </w:rPr>
              <w:t>Margo L. Manning(18)</w:t>
            </w:r>
          </w:p>
        </w:tc>
        <w:tc>
          <w:tcPr>
            <w:tcW w:w="1680" w:type="dxa"/>
            <w:vAlign w:val="bottom"/>
          </w:tcPr>
          <w:p>
            <w:pPr>
              <w:spacing w:after="0"/>
              <w:rPr>
                <w:sz w:val="14"/>
                <w:szCs w:val="14"/>
                <w:color w:val="auto"/>
              </w:rPr>
            </w:pPr>
          </w:p>
        </w:tc>
        <w:tc>
          <w:tcPr>
            <w:tcW w:w="3300" w:type="dxa"/>
            <w:vAlign w:val="bottom"/>
          </w:tcPr>
          <w:p>
            <w:pPr>
              <w:jc w:val="right"/>
              <w:ind w:right="267"/>
              <w:spacing w:after="0"/>
              <w:rPr>
                <w:sz w:val="20"/>
                <w:szCs w:val="20"/>
                <w:color w:val="auto"/>
              </w:rPr>
            </w:pPr>
            <w:r>
              <w:rPr>
                <w:rFonts w:ascii="Arial" w:cs="Arial" w:eastAsia="Arial" w:hAnsi="Arial"/>
                <w:sz w:val="14"/>
                <w:szCs w:val="14"/>
                <w:color w:val="auto"/>
              </w:rPr>
              <w:t>95,307</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E5E5E5"/>
          </w:tcPr>
          <w:p>
            <w:pPr>
              <w:spacing w:after="0"/>
              <w:rPr>
                <w:sz w:val="14"/>
                <w:szCs w:val="14"/>
                <w:color w:val="auto"/>
              </w:rPr>
            </w:pPr>
          </w:p>
        </w:tc>
        <w:tc>
          <w:tcPr>
            <w:tcW w:w="4800" w:type="dxa"/>
            <w:vAlign w:val="bottom"/>
            <w:shd w:val="clear" w:color="auto" w:fill="E5E5E5"/>
          </w:tcPr>
          <w:p>
            <w:pPr>
              <w:ind w:left="400"/>
              <w:spacing w:after="0"/>
              <w:rPr>
                <w:sz w:val="20"/>
                <w:szCs w:val="20"/>
                <w:color w:val="auto"/>
              </w:rPr>
            </w:pPr>
            <w:r>
              <w:rPr>
                <w:rFonts w:ascii="Arial" w:cs="Arial" w:eastAsia="Arial" w:hAnsi="Arial"/>
                <w:sz w:val="14"/>
                <w:szCs w:val="14"/>
                <w:color w:val="auto"/>
              </w:rPr>
              <w:t>John B. Mulleady(19)</w:t>
            </w:r>
          </w:p>
        </w:tc>
        <w:tc>
          <w:tcPr>
            <w:tcW w:w="1680" w:type="dxa"/>
            <w:vAlign w:val="bottom"/>
            <w:shd w:val="clear" w:color="auto" w:fill="E5E5E5"/>
          </w:tcPr>
          <w:p>
            <w:pPr>
              <w:spacing w:after="0"/>
              <w:rPr>
                <w:sz w:val="14"/>
                <w:szCs w:val="14"/>
                <w:color w:val="auto"/>
              </w:rPr>
            </w:pPr>
          </w:p>
        </w:tc>
        <w:tc>
          <w:tcPr>
            <w:tcW w:w="3300" w:type="dxa"/>
            <w:vAlign w:val="bottom"/>
            <w:shd w:val="clear" w:color="auto" w:fill="E5E5E5"/>
          </w:tcPr>
          <w:p>
            <w:pPr>
              <w:jc w:val="right"/>
              <w:ind w:right="267"/>
              <w:spacing w:after="0"/>
              <w:rPr>
                <w:sz w:val="20"/>
                <w:szCs w:val="20"/>
                <w:color w:val="auto"/>
              </w:rPr>
            </w:pPr>
            <w:r>
              <w:rPr>
                <w:rFonts w:ascii="Arial" w:cs="Arial" w:eastAsia="Arial" w:hAnsi="Arial"/>
                <w:sz w:val="14"/>
                <w:szCs w:val="14"/>
                <w:color w:val="auto"/>
              </w:rPr>
              <w:t>124,218</w:t>
            </w:r>
          </w:p>
        </w:tc>
        <w:tc>
          <w:tcPr>
            <w:tcW w:w="118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Borders>
              <w:bottom w:val="single" w:sz="8" w:color="003B71"/>
            </w:tcBorders>
          </w:tcPr>
          <w:p>
            <w:pPr>
              <w:spacing w:after="0"/>
              <w:rPr>
                <w:sz w:val="14"/>
                <w:szCs w:val="14"/>
                <w:color w:val="auto"/>
              </w:rPr>
            </w:pPr>
          </w:p>
        </w:tc>
        <w:tc>
          <w:tcPr>
            <w:tcW w:w="4800" w:type="dxa"/>
            <w:vAlign w:val="bottom"/>
            <w:tcBorders>
              <w:bottom w:val="single" w:sz="8" w:color="003B71"/>
            </w:tcBorders>
          </w:tcPr>
          <w:p>
            <w:pPr>
              <w:ind w:left="20"/>
              <w:spacing w:after="0"/>
              <w:rPr>
                <w:sz w:val="20"/>
                <w:szCs w:val="20"/>
                <w:color w:val="auto"/>
              </w:rPr>
            </w:pPr>
            <w:r>
              <w:rPr>
                <w:rFonts w:ascii="Arial" w:cs="Arial" w:eastAsia="Arial" w:hAnsi="Arial"/>
                <w:sz w:val="14"/>
                <w:szCs w:val="14"/>
                <w:color w:val="auto"/>
              </w:rPr>
              <w:t>All Executive Officers and Directors as a Group (19 Persons)(20)</w:t>
            </w:r>
          </w:p>
        </w:tc>
        <w:tc>
          <w:tcPr>
            <w:tcW w:w="1680" w:type="dxa"/>
            <w:vAlign w:val="bottom"/>
            <w:tcBorders>
              <w:bottom w:val="single" w:sz="8" w:color="003B71"/>
            </w:tcBorders>
          </w:tcPr>
          <w:p>
            <w:pPr>
              <w:spacing w:after="0"/>
              <w:rPr>
                <w:sz w:val="14"/>
                <w:szCs w:val="14"/>
                <w:color w:val="auto"/>
              </w:rPr>
            </w:pPr>
          </w:p>
        </w:tc>
        <w:tc>
          <w:tcPr>
            <w:tcW w:w="3300" w:type="dxa"/>
            <w:vAlign w:val="bottom"/>
            <w:tcBorders>
              <w:bottom w:val="single" w:sz="8" w:color="003B71"/>
            </w:tcBorders>
          </w:tcPr>
          <w:p>
            <w:pPr>
              <w:jc w:val="right"/>
              <w:ind w:right="267"/>
              <w:spacing w:after="0"/>
              <w:rPr>
                <w:sz w:val="20"/>
                <w:szCs w:val="20"/>
                <w:color w:val="auto"/>
              </w:rPr>
            </w:pPr>
            <w:r>
              <w:rPr>
                <w:rFonts w:ascii="Arial" w:cs="Arial" w:eastAsia="Arial" w:hAnsi="Arial"/>
                <w:sz w:val="14"/>
                <w:szCs w:val="14"/>
                <w:color w:val="auto"/>
              </w:rPr>
              <w:t>1,424,095</w:t>
            </w:r>
          </w:p>
        </w:tc>
        <w:tc>
          <w:tcPr>
            <w:tcW w:w="1180" w:type="dxa"/>
            <w:vAlign w:val="bottom"/>
            <w:tcBorders>
              <w:bottom w:val="single" w:sz="8" w:color="003B71"/>
            </w:tcBorders>
          </w:tcPr>
          <w:p>
            <w:pPr>
              <w:jc w:val="right"/>
              <w:ind w:right="108"/>
              <w:spacing w:after="0"/>
              <w:rPr>
                <w:sz w:val="20"/>
                <w:szCs w:val="20"/>
                <w:color w:val="auto"/>
              </w:rPr>
            </w:pPr>
            <w:r>
              <w:rPr>
                <w:rFonts w:ascii="Arial" w:cs="Arial" w:eastAsia="Arial" w:hAnsi="Arial"/>
                <w:sz w:val="14"/>
                <w:szCs w:val="14"/>
                <w:color w:val="auto"/>
              </w:rPr>
              <w:t>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60" w:type="dxa"/>
            <w:vAlign w:val="bottom"/>
          </w:tcPr>
          <w:p>
            <w:pPr>
              <w:spacing w:after="0"/>
              <w:rPr>
                <w:sz w:val="20"/>
                <w:szCs w:val="20"/>
                <w:color w:val="auto"/>
              </w:rPr>
            </w:pPr>
            <w:r>
              <w:rPr>
                <w:rFonts w:ascii="Arial" w:cs="Arial" w:eastAsia="Arial" w:hAnsi="Arial"/>
                <w:sz w:val="14"/>
                <w:szCs w:val="14"/>
                <w:color w:val="auto"/>
                <w:w w:val="72"/>
              </w:rPr>
              <w:t>*</w:t>
            </w:r>
          </w:p>
        </w:tc>
        <w:tc>
          <w:tcPr>
            <w:tcW w:w="4800" w:type="dxa"/>
            <w:vAlign w:val="bottom"/>
          </w:tcPr>
          <w:p>
            <w:pPr>
              <w:ind w:left="360"/>
              <w:spacing w:after="0"/>
              <w:rPr>
                <w:sz w:val="20"/>
                <w:szCs w:val="20"/>
                <w:color w:val="auto"/>
              </w:rPr>
            </w:pPr>
            <w:r>
              <w:rPr>
                <w:rFonts w:ascii="Arial" w:cs="Arial" w:eastAsia="Arial" w:hAnsi="Arial"/>
                <w:sz w:val="14"/>
                <w:szCs w:val="14"/>
                <w:color w:val="auto"/>
              </w:rPr>
              <w:t>Less than 1%.</w:t>
            </w:r>
          </w:p>
        </w:tc>
        <w:tc>
          <w:tcPr>
            <w:tcW w:w="168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4860" w:type="dxa"/>
            <w:vAlign w:val="bottom"/>
            <w:tcBorders>
              <w:bottom w:val="single" w:sz="8" w:color="003B71"/>
            </w:tcBorders>
            <w:gridSpan w:val="2"/>
          </w:tcPr>
          <w:p>
            <w:pPr>
              <w:spacing w:after="0"/>
              <w:rPr>
                <w:sz w:val="11"/>
                <w:szCs w:val="11"/>
                <w:color w:val="auto"/>
              </w:rPr>
            </w:pPr>
          </w:p>
        </w:tc>
        <w:tc>
          <w:tcPr>
            <w:tcW w:w="1680" w:type="dxa"/>
            <w:vAlign w:val="bottom"/>
            <w:tcBorders>
              <w:bottom w:val="single" w:sz="8" w:color="003B71"/>
            </w:tcBorders>
          </w:tcPr>
          <w:p>
            <w:pPr>
              <w:spacing w:after="0"/>
              <w:rPr>
                <w:sz w:val="11"/>
                <w:szCs w:val="11"/>
                <w:color w:val="auto"/>
              </w:rPr>
            </w:pPr>
          </w:p>
        </w:tc>
        <w:tc>
          <w:tcPr>
            <w:tcW w:w="4480" w:type="dxa"/>
            <w:vAlign w:val="bottom"/>
            <w:tcBorders>
              <w:bottom w:val="single" w:sz="8" w:color="003B71"/>
            </w:tcBorders>
            <w:gridSpan w:val="2"/>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4860" w:type="dxa"/>
            <w:vAlign w:val="bottom"/>
            <w:gridSpan w:val="2"/>
          </w:tcPr>
          <w:p>
            <w:pPr>
              <w:spacing w:after="0"/>
              <w:rPr>
                <w:sz w:val="20"/>
                <w:szCs w:val="20"/>
                <w:color w:val="auto"/>
              </w:rPr>
            </w:pPr>
            <w:r>
              <w:rPr>
                <w:rFonts w:ascii="Arial" w:cs="Arial" w:eastAsia="Arial" w:hAnsi="Arial"/>
                <w:sz w:val="18"/>
                <w:szCs w:val="18"/>
                <w:b w:val="1"/>
                <w:bCs w:val="1"/>
                <w:color w:val="003B71"/>
              </w:rPr>
              <w:t>Dave &amp; Buster’s Entertainment, Inc.</w:t>
            </w:r>
          </w:p>
        </w:tc>
        <w:tc>
          <w:tcPr>
            <w:tcW w:w="1680" w:type="dxa"/>
            <w:vAlign w:val="bottom"/>
          </w:tcPr>
          <w:p>
            <w:pPr>
              <w:jc w:val="right"/>
              <w:ind w:right="730"/>
              <w:spacing w:after="0"/>
              <w:rPr>
                <w:sz w:val="20"/>
                <w:szCs w:val="20"/>
                <w:color w:val="auto"/>
              </w:rPr>
            </w:pPr>
            <w:r>
              <w:rPr>
                <w:rFonts w:ascii="Arial" w:cs="Arial" w:eastAsia="Arial" w:hAnsi="Arial"/>
                <w:sz w:val="18"/>
                <w:szCs w:val="18"/>
                <w:b w:val="1"/>
                <w:bCs w:val="1"/>
                <w:color w:val="4C4C4C"/>
              </w:rPr>
              <w:t>26</w:t>
            </w:r>
          </w:p>
        </w:tc>
        <w:tc>
          <w:tcPr>
            <w:tcW w:w="4480" w:type="dxa"/>
            <w:vAlign w:val="bottom"/>
            <w:gridSpan w:val="2"/>
          </w:tcPr>
          <w:p>
            <w:pPr>
              <w:jc w:val="right"/>
              <w:spacing w:after="0"/>
              <w:rPr>
                <w:sz w:val="20"/>
                <w:szCs w:val="20"/>
                <w:color w:val="auto"/>
              </w:rPr>
            </w:pP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540" w:right="20" w:hanging="424"/>
        <w:spacing w:after="0" w:line="253"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information contained in Schedule 13G/A dated December 31, 2019, filed on February 4, 2020. The Schedule 13G/A reported that BlackRock, Inc. owned and had sole dispositive power over 4,781,086 shares of common stock and had sole voting power over 4,722,837 shares of common stock.</w:t>
      </w:r>
    </w:p>
    <w:p>
      <w:pPr>
        <w:spacing w:after="0" w:line="66" w:lineRule="exact"/>
        <w:rPr>
          <w:rFonts w:ascii="Arial" w:cs="Arial" w:eastAsia="Arial" w:hAnsi="Arial"/>
          <w:sz w:val="16"/>
          <w:szCs w:val="16"/>
          <w:color w:val="auto"/>
        </w:rPr>
      </w:pPr>
    </w:p>
    <w:p>
      <w:pPr>
        <w:jc w:val="both"/>
        <w:ind w:left="540" w:right="20" w:hanging="424"/>
        <w:spacing w:after="0" w:line="253"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information contained in Schedule 13G/A dated December 31, 2019, filed on February 11, 2020. The Schedule 13G/A reported that The Vanguard Group owned and had sole dispositive power over 3,622,042 shares of common stock, sole voting power over 65,084 shares of common stock, shared voting power over 9,400 shares of common stock and shared dispositive power over 70,277 shares of common stock.</w:t>
      </w:r>
    </w:p>
    <w:p>
      <w:pPr>
        <w:spacing w:after="0" w:line="66" w:lineRule="exact"/>
        <w:rPr>
          <w:rFonts w:ascii="Arial" w:cs="Arial" w:eastAsia="Arial" w:hAnsi="Arial"/>
          <w:sz w:val="16"/>
          <w:szCs w:val="16"/>
          <w:color w:val="auto"/>
        </w:rPr>
      </w:pPr>
    </w:p>
    <w:p>
      <w:pPr>
        <w:jc w:val="both"/>
        <w:ind w:left="540" w:right="20" w:hanging="424"/>
        <w:spacing w:after="0" w:line="248"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information contained in Schedule 13D/A dated March 2, 2020, filed on March 4, 2020. The Schedule 13D/A reported that KKR Dragon Aggregator L.P. (“Dragon”), KKR Dragon GP LLC, Powell Investors II Limited Partnership (“Powell”), KKR Special Situations Fund II Limited, KKR Special Situations (EEA) Fund II L.P., KKR Associates Special Situations (EEA) II Limited, KKR Associates Special Situations (Offshore) II L.P., KKR Special Situations (Offshore) II Limited, KKR Financial Holdings LLC, KKR Credit Fund Advisors LLC, KKR Credit Advisors (US) LLC, Kohlberg Kravis Roberts &amp; Co., L.P., KKR &amp; Co. GP LLC, KKR Holdco LLC, KKR Group Partnership L.P., KKR Group Holdings Corp., KKR &amp; Co., Inc., KKR Management LLP, Henry R. Kravis, and George R. Roberts are collectively the “KKR Reporting Persons” thereunder. The KKR Reporting Persons owned and had sole voting and dispositive power over 2,525,800 shares of common stock, including 1,612,492 shares of common stock held directly by Dragon and 913,308 shares of common stock held directly by Powell, and no shared voting or dispositive power over shares of common stock. The KKR Reporting Person or their affiliates have additional economic exposures to 1,345,493 shares of common stock.</w:t>
      </w:r>
    </w:p>
    <w:p>
      <w:pPr>
        <w:spacing w:after="0" w:line="70" w:lineRule="exact"/>
        <w:rPr>
          <w:rFonts w:ascii="Arial" w:cs="Arial" w:eastAsia="Arial" w:hAnsi="Arial"/>
          <w:sz w:val="16"/>
          <w:szCs w:val="16"/>
          <w:color w:val="auto"/>
        </w:rPr>
      </w:pPr>
    </w:p>
    <w:p>
      <w:pPr>
        <w:jc w:val="both"/>
        <w:ind w:left="540" w:right="20" w:hanging="424"/>
        <w:spacing w:after="0" w:line="253"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information contained in Schedule 13G dated April 14, 2020, filed on April 23, 2020. The Schedule 13G reported that Morgan Stanley owned and had shared dispositive power over 2,413,493 shares of common stock and had shared voting power over 2,401,897 shares of common stock.</w:t>
      </w:r>
    </w:p>
    <w:p>
      <w:pPr>
        <w:spacing w:after="0" w:line="66" w:lineRule="exact"/>
        <w:rPr>
          <w:rFonts w:ascii="Arial" w:cs="Arial" w:eastAsia="Arial" w:hAnsi="Arial"/>
          <w:sz w:val="16"/>
          <w:szCs w:val="16"/>
          <w:color w:val="auto"/>
        </w:rPr>
      </w:pPr>
    </w:p>
    <w:p>
      <w:pPr>
        <w:jc w:val="both"/>
        <w:ind w:left="540" w:right="20" w:hanging="424"/>
        <w:spacing w:after="0" w:line="253"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information contained in Schedule 13G/A dated December 31, 2019, filed on February 13, 2020. The Schedule 13G/A reported that Mackenzie Financial Corporation owned and had sole dispositive power over 2,344,198 shares of common stock and sole voting power over 2,344,198 shares of common stock.</w:t>
      </w:r>
    </w:p>
    <w:p>
      <w:pPr>
        <w:spacing w:after="0" w:line="66" w:lineRule="exact"/>
        <w:rPr>
          <w:rFonts w:ascii="Arial" w:cs="Arial" w:eastAsia="Arial" w:hAnsi="Arial"/>
          <w:sz w:val="16"/>
          <w:szCs w:val="16"/>
          <w:color w:val="auto"/>
        </w:rPr>
      </w:pPr>
    </w:p>
    <w:p>
      <w:pPr>
        <w:jc w:val="both"/>
        <w:ind w:left="540" w:right="20" w:hanging="424"/>
        <w:spacing w:after="0" w:line="250"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Hill Path Capital Partners LP (“HPCP”), Hill Path Capital Co-Investment Partners LP (“HPCCP”), Hill Path Capital Partners GP LLC, Hill Path Investment Holdings LLC, Hill Path Capital LP, Hill Path Holdings LLC, and Scott I. Ross are collectively the “HP Reporting Persons” thereunder. The HP Reporting Persons owned and had sole voting and dispositive power over 2,148,477 shares of common stock, including 2,095,246 shares of common stock held directly by HPCP and 52,231 shares of common stock held by HPCCP, and no shared voting or dispositive power over shares of common stock.</w:t>
      </w:r>
    </w:p>
    <w:p>
      <w:pPr>
        <w:spacing w:after="0" w:line="67" w:lineRule="exact"/>
        <w:rPr>
          <w:rFonts w:ascii="Arial" w:cs="Arial" w:eastAsia="Arial" w:hAnsi="Arial"/>
          <w:sz w:val="16"/>
          <w:szCs w:val="16"/>
          <w:color w:val="auto"/>
        </w:rPr>
      </w:pPr>
    </w:p>
    <w:p>
      <w:pPr>
        <w:jc w:val="both"/>
        <w:ind w:left="540" w:right="20" w:hanging="424"/>
        <w:spacing w:after="0" w:line="250"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Shares reflected in the table include 396,266 shares issuable pursuant to outstanding stock options held by Mr. King that are exercisable within 60 days of April 9, 2020. Shares reflected in the table also include 18,346 stock options held by the Stephen and Shauna King Investment Partnership LP (the “Investment Partnership”) that are exercisable within 60 days of April 9, 2020. Stephen and Shauna King Investment Partnership GenPar LLC (“GenPar”) is the general partner of the Investment Partnership. Mr. King is the sole member of GenPar and has sole voting and investment power over all of the shares owned by the Investment Partnership.</w:t>
      </w:r>
    </w:p>
    <w:p>
      <w:pPr>
        <w:spacing w:after="0" w:line="67" w:lineRule="exact"/>
        <w:rPr>
          <w:rFonts w:ascii="Arial" w:cs="Arial" w:eastAsia="Arial" w:hAnsi="Arial"/>
          <w:sz w:val="16"/>
          <w:szCs w:val="16"/>
          <w:color w:val="auto"/>
        </w:rPr>
      </w:pPr>
    </w:p>
    <w:p>
      <w:pPr>
        <w:jc w:val="both"/>
        <w:ind w:left="540" w:hanging="424"/>
        <w:spacing w:after="0" w:line="252"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Shares reflected in the table include 20,796 shares owned by Mr. Griffith and 17,948 shares owned by The 2014 Griffith Family Trust dated October 20, 2014 (the “Family Trust”). Currently, Mr. Griffith has sole voting and investment power over all of the shares owned by the Family Trust. Shares reflected in the table also include 33,682 shares issuable pursuant to outstanding stock options held by Mr. Griffith, all of which are fully vested.</w:t>
      </w:r>
    </w:p>
    <w:p>
      <w:pPr>
        <w:spacing w:after="0" w:line="257" w:lineRule="exact"/>
        <w:rPr>
          <w:rFonts w:ascii="Arial" w:cs="Arial" w:eastAsia="Arial" w:hAnsi="Arial"/>
          <w:sz w:val="16"/>
          <w:szCs w:val="16"/>
          <w:color w:val="auto"/>
        </w:rPr>
      </w:pPr>
    </w:p>
    <w:p>
      <w:pPr>
        <w:ind w:left="540" w:right="20" w:hanging="424"/>
        <w:spacing w:after="0" w:line="246"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Shares reflected in the table include 33,682 shares issuable pursuant to outstanding stock options held by Mr. Halkyard, all of which are fully vested.</w:t>
      </w:r>
    </w:p>
    <w:p>
      <w:pPr>
        <w:spacing w:after="0" w:line="189" w:lineRule="exact"/>
        <w:rPr>
          <w:rFonts w:ascii="Arial" w:cs="Arial" w:eastAsia="Arial" w:hAnsi="Arial"/>
          <w:sz w:val="16"/>
          <w:szCs w:val="16"/>
          <w:color w:val="auto"/>
        </w:rPr>
      </w:pPr>
    </w:p>
    <w:p>
      <w:pPr>
        <w:ind w:left="540" w:hanging="424"/>
        <w:spacing w:after="0"/>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Mr. Hockin joined the board in early-May 2020 and held no shares in the Company.</w:t>
      </w:r>
    </w:p>
    <w:p>
      <w:pPr>
        <w:spacing w:after="0" w:line="86" w:lineRule="exact"/>
        <w:rPr>
          <w:rFonts w:ascii="Arial" w:cs="Arial" w:eastAsia="Arial" w:hAnsi="Arial"/>
          <w:sz w:val="16"/>
          <w:szCs w:val="16"/>
          <w:color w:val="auto"/>
        </w:rPr>
      </w:pPr>
    </w:p>
    <w:p>
      <w:pPr>
        <w:jc w:val="both"/>
        <w:ind w:left="540" w:hanging="424"/>
        <w:spacing w:after="0" w:line="250"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Shares reflected in the table include 185,241 shares issuable pursuant to outstanding stock options held by Mr. Jenkins that are exercisable within 60 days of April 9, 2020. Shares reflected in the table also include 38,808 stock options held by LTD Partner LP (the “Jenkins Partnership”) that are exercisable within 60 days of April 9, 2020. LTD Partners GenPar LLC (the “Jenkins GenPar”) is the general partner of the Jenkins Partnership. Currently, Mr. Jenkins is the sole member of the Jenkins GenPar and has sole voting and investment power over all the options held by the Jenkins Partnership.</w:t>
      </w:r>
    </w:p>
    <w:p>
      <w:pPr>
        <w:spacing w:after="0" w:line="67" w:lineRule="exact"/>
        <w:rPr>
          <w:rFonts w:ascii="Arial" w:cs="Arial" w:eastAsia="Arial" w:hAnsi="Arial"/>
          <w:sz w:val="16"/>
          <w:szCs w:val="16"/>
          <w:color w:val="auto"/>
        </w:rPr>
      </w:pPr>
    </w:p>
    <w:p>
      <w:pPr>
        <w:ind w:left="540" w:hanging="424"/>
        <w:spacing w:after="0"/>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Shares reflected in the table include 9,549 shares issuable pursuant to outstanding stock options held by Ms. Mueller, all of which are fully vested.</w:t>
      </w:r>
    </w:p>
    <w:p>
      <w:pPr>
        <w:spacing w:after="0" w:line="86" w:lineRule="exact"/>
        <w:rPr>
          <w:rFonts w:ascii="Arial" w:cs="Arial" w:eastAsia="Arial" w:hAnsi="Arial"/>
          <w:sz w:val="16"/>
          <w:szCs w:val="16"/>
          <w:color w:val="auto"/>
        </w:rPr>
      </w:pPr>
    </w:p>
    <w:p>
      <w:pPr>
        <w:ind w:left="540" w:right="20" w:hanging="424"/>
        <w:spacing w:after="0" w:line="250"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Shares reflected in the table include 33,682 shares issuable pursuant to outstanding stock options held by Mr. Sheehan, all of which are fully vested.</w:t>
      </w:r>
    </w:p>
    <w:p>
      <w:pPr>
        <w:spacing w:after="0" w:line="267" w:lineRule="exact"/>
        <w:rPr>
          <w:rFonts w:ascii="Arial" w:cs="Arial" w:eastAsia="Arial" w:hAnsi="Arial"/>
          <w:sz w:val="16"/>
          <w:szCs w:val="16"/>
          <w:color w:val="auto"/>
        </w:rPr>
      </w:pPr>
    </w:p>
    <w:p>
      <w:pPr>
        <w:ind w:left="540" w:hanging="424"/>
        <w:spacing w:after="0"/>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Shares reflected in the table include 4,224 shares issuable pursuant to outstanding stock options held by Ms. Storms, all of which are fully vested.</w:t>
      </w:r>
    </w:p>
    <w:p>
      <w:pPr>
        <w:spacing w:after="0" w:line="86" w:lineRule="exact"/>
        <w:rPr>
          <w:rFonts w:ascii="Arial" w:cs="Arial" w:eastAsia="Arial" w:hAnsi="Arial"/>
          <w:sz w:val="16"/>
          <w:szCs w:val="16"/>
          <w:color w:val="auto"/>
        </w:rPr>
      </w:pPr>
    </w:p>
    <w:p>
      <w:pPr>
        <w:ind w:left="540" w:hanging="424"/>
        <w:spacing w:after="0"/>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addition to Messrs. Jenkins and King who each serve as a director.</w:t>
      </w:r>
    </w:p>
    <w:p>
      <w:pPr>
        <w:spacing w:after="0" w:line="8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Shares reflected in the table include 23,287 shares issuable pursuant to outstanding stock options held by Mr. DeProspero that are exercisable within 60 days of April 9, 2020.</w:t>
      </w:r>
    </w:p>
    <w:p>
      <w:pPr>
        <w:spacing w:after="0" w:line="60"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Shares reflected in the table include 63,541 shares issuable pursuant to outstanding stock options held by Mr. Gleason that are exercisable within 60 days of April 9, 2020.</w:t>
      </w:r>
    </w:p>
    <w:p>
      <w:pPr>
        <w:spacing w:after="0" w:line="60"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Shares reflected in the table include 82,417 shares issuable pursuant to outstanding stock options held by Ms. Manning that are exercisable within 60 days of April 9, 2020.</w:t>
      </w:r>
    </w:p>
    <w:p>
      <w:pPr>
        <w:spacing w:after="0" w:line="11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27</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540" w:right="20" w:hanging="424"/>
        <w:spacing w:after="0" w:line="260" w:lineRule="auto"/>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Shares reflected in the table include 110,399 shares issuable pursuant to outstanding stock options held by Mr. Mulleady that are exercisable within 60 days of April 9, 2020.</w:t>
      </w:r>
    </w:p>
    <w:p>
      <w:pPr>
        <w:spacing w:after="0" w:line="60" w:lineRule="exact"/>
        <w:rPr>
          <w:rFonts w:ascii="Arial" w:cs="Arial" w:eastAsia="Arial" w:hAnsi="Arial"/>
          <w:sz w:val="16"/>
          <w:szCs w:val="16"/>
          <w:color w:val="auto"/>
        </w:rPr>
      </w:pPr>
    </w:p>
    <w:p>
      <w:pPr>
        <w:jc w:val="both"/>
        <w:ind w:left="540" w:right="20" w:hanging="424"/>
        <w:spacing w:after="0" w:line="253" w:lineRule="auto"/>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Shares reflected in the table include a total of 1,092,774 shares issuable pursuant to outstanding stock options held by our Executive Officers and Directors as a group that are exercisable within 60 days of April 9, 2020. The holdings of Mr. Gleason are not included in this number as he departed the Company on April 30, 2020.</w:t>
      </w:r>
    </w:p>
    <w:p>
      <w:pPr>
        <w:spacing w:after="0" w:line="122"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28</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ind w:left="3440"/>
        <w:spacing w:after="0"/>
        <w:rPr>
          <w:sz w:val="20"/>
          <w:szCs w:val="20"/>
          <w:color w:val="auto"/>
        </w:rPr>
      </w:pPr>
      <w:r>
        <w:rPr>
          <w:rFonts w:ascii="Arial" w:cs="Arial" w:eastAsia="Arial" w:hAnsi="Arial"/>
          <w:sz w:val="39"/>
          <w:szCs w:val="39"/>
          <w:color w:val="003B71"/>
        </w:rPr>
        <w:t>EXECUTIVE OFFICERS</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furnishing below certain biographical information about our executive officers.</w:t>
      </w:r>
    </w:p>
    <w:p>
      <w:pPr>
        <w:sectPr>
          <w:pgSz w:w="11900" w:h="16838" w:orient="portrait"/>
          <w:cols w:equalWidth="0" w:num="1">
            <w:col w:w="11140"/>
          </w:cols>
          <w:pgMar w:left="320" w:top="459" w:right="439" w:bottom="1440" w:gutter="0" w:footer="0" w:header="0"/>
        </w:sectPr>
      </w:pPr>
    </w:p>
    <w:p>
      <w:pPr>
        <w:spacing w:after="0" w:line="23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Kevin Bachus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Dave &amp; Buster’s Since: 2012</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Age: 51</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Food &amp; Beverage Experience: </w:t>
      </w:r>
      <w:r>
        <w:rPr>
          <w:rFonts w:ascii="Arial" w:cs="Arial" w:eastAsia="Arial" w:hAnsi="Arial"/>
          <w:sz w:val="16"/>
          <w:szCs w:val="16"/>
          <w:color w:val="auto"/>
        </w:rPr>
        <w:t>7 yrs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Entertainment Experience: </w:t>
      </w:r>
      <w:r>
        <w:rPr>
          <w:rFonts w:ascii="Arial" w:cs="Arial" w:eastAsia="Arial" w:hAnsi="Arial"/>
          <w:sz w:val="16"/>
          <w:szCs w:val="16"/>
          <w:color w:val="auto"/>
        </w:rPr>
        <w:t>22 yrs</w:t>
      </w:r>
    </w:p>
    <w:p>
      <w:pPr>
        <w:spacing w:after="0" w:line="24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Current Position:</w:t>
      </w:r>
    </w:p>
    <w:p>
      <w:pPr>
        <w:spacing w:after="0" w:line="16" w:lineRule="exact"/>
        <w:rPr>
          <w:sz w:val="20"/>
          <w:szCs w:val="20"/>
          <w:color w:val="auto"/>
        </w:rPr>
      </w:pPr>
    </w:p>
    <w:p>
      <w:pPr>
        <w:ind w:left="440" w:hanging="162"/>
        <w:spacing w:after="0" w:line="260" w:lineRule="auto"/>
        <w:rPr>
          <w:sz w:val="20"/>
          <w:szCs w:val="20"/>
          <w:color w:val="auto"/>
        </w:rPr>
      </w:pPr>
      <w:r>
        <w:rPr>
          <w:rFonts w:ascii="Arial" w:cs="Arial" w:eastAsia="Arial" w:hAnsi="Arial"/>
          <w:sz w:val="16"/>
          <w:szCs w:val="16"/>
          <w:color w:val="auto"/>
        </w:rPr>
        <w:t>– Senior Vice President of Entertainment and Games Strategy since November 2012.</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Prior Business Experience:</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Bebo, Inc</w:t>
      </w:r>
      <w:r>
        <w:rPr>
          <w:rFonts w:ascii="Arial" w:cs="Arial" w:eastAsia="Arial" w:hAnsi="Arial"/>
          <w:sz w:val="16"/>
          <w:szCs w:val="16"/>
          <w:color w:val="auto"/>
        </w:rPr>
        <w:t>., an international social networking site:</w:t>
      </w:r>
    </w:p>
    <w:p>
      <w:pPr>
        <w:spacing w:after="0" w:line="5" w:lineRule="exact"/>
        <w:rPr>
          <w:sz w:val="20"/>
          <w:szCs w:val="20"/>
          <w:color w:val="auto"/>
        </w:rPr>
      </w:pPr>
    </w:p>
    <w:p>
      <w:pPr>
        <w:ind w:left="560" w:hanging="125"/>
        <w:spacing w:after="0"/>
        <w:tabs>
          <w:tab w:leader="none" w:pos="560" w:val="left"/>
        </w:tabs>
        <w:numPr>
          <w:ilvl w:val="1"/>
          <w:numId w:val="78"/>
        </w:numPr>
        <w:rPr>
          <w:rFonts w:ascii="Arial" w:cs="Arial" w:eastAsia="Arial" w:hAnsi="Arial"/>
          <w:sz w:val="16"/>
          <w:szCs w:val="16"/>
          <w:color w:val="003B71"/>
        </w:rPr>
      </w:pPr>
      <w:r>
        <w:rPr>
          <w:rFonts w:ascii="Arial" w:cs="Arial" w:eastAsia="Arial" w:hAnsi="Arial"/>
          <w:sz w:val="16"/>
          <w:szCs w:val="16"/>
          <w:color w:val="auto"/>
        </w:rPr>
        <w:t>Chief Product Officer (2010-2012)</w:t>
      </w:r>
    </w:p>
    <w:p>
      <w:pPr>
        <w:spacing w:after="0" w:line="5" w:lineRule="exact"/>
        <w:rPr>
          <w:rFonts w:ascii="Arial" w:cs="Arial" w:eastAsia="Arial" w:hAnsi="Arial"/>
          <w:sz w:val="16"/>
          <w:szCs w:val="16"/>
          <w:color w:val="003B71"/>
        </w:rPr>
      </w:pPr>
    </w:p>
    <w:p>
      <w:pPr>
        <w:ind w:left="280"/>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IMO Entertainment</w:t>
      </w:r>
      <w:r>
        <w:rPr>
          <w:rFonts w:ascii="Arial" w:cs="Arial" w:eastAsia="Arial" w:hAnsi="Arial"/>
          <w:sz w:val="16"/>
          <w:szCs w:val="16"/>
          <w:color w:val="auto"/>
        </w:rPr>
        <w:t>, a social networking services company:</w:t>
      </w:r>
    </w:p>
    <w:p>
      <w:pPr>
        <w:spacing w:after="0" w:line="5" w:lineRule="exact"/>
        <w:rPr>
          <w:rFonts w:ascii="Arial" w:cs="Arial" w:eastAsia="Arial" w:hAnsi="Arial"/>
          <w:sz w:val="16"/>
          <w:szCs w:val="16"/>
          <w:color w:val="003B71"/>
        </w:rPr>
      </w:pPr>
    </w:p>
    <w:p>
      <w:pPr>
        <w:ind w:left="560" w:hanging="125"/>
        <w:spacing w:after="0"/>
        <w:tabs>
          <w:tab w:leader="none" w:pos="560" w:val="left"/>
        </w:tabs>
        <w:numPr>
          <w:ilvl w:val="1"/>
          <w:numId w:val="78"/>
        </w:numPr>
        <w:rPr>
          <w:rFonts w:ascii="Arial" w:cs="Arial" w:eastAsia="Arial" w:hAnsi="Arial"/>
          <w:sz w:val="16"/>
          <w:szCs w:val="16"/>
          <w:color w:val="003B71"/>
        </w:rPr>
      </w:pPr>
      <w:r>
        <w:rPr>
          <w:rFonts w:ascii="Arial" w:cs="Arial" w:eastAsia="Arial" w:hAnsi="Arial"/>
          <w:sz w:val="16"/>
          <w:szCs w:val="16"/>
          <w:color w:val="auto"/>
        </w:rPr>
        <w:t>EVP and Chief Product Officer (2009-2010)</w:t>
      </w:r>
    </w:p>
    <w:p>
      <w:pPr>
        <w:spacing w:after="0" w:line="5" w:lineRule="exact"/>
        <w:rPr>
          <w:rFonts w:ascii="Arial" w:cs="Arial" w:eastAsia="Arial" w:hAnsi="Arial"/>
          <w:sz w:val="16"/>
          <w:szCs w:val="16"/>
          <w:color w:val="003B71"/>
        </w:rPr>
      </w:pPr>
    </w:p>
    <w:p>
      <w:pPr>
        <w:ind w:left="440" w:hanging="162"/>
        <w:spacing w:after="0" w:line="246" w:lineRule="auto"/>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Virrata Games, Inc./Play Day TV</w:t>
      </w:r>
      <w:r>
        <w:rPr>
          <w:rFonts w:ascii="Arial" w:cs="Arial" w:eastAsia="Arial" w:hAnsi="Arial"/>
          <w:sz w:val="16"/>
          <w:szCs w:val="16"/>
          <w:color w:val="auto"/>
        </w:rPr>
        <w:t>, an on-demand tv channel offering family-friendly video games:</w:t>
      </w:r>
    </w:p>
    <w:p>
      <w:pPr>
        <w:ind w:left="560" w:hanging="125"/>
        <w:spacing w:after="0"/>
        <w:tabs>
          <w:tab w:leader="none" w:pos="560" w:val="left"/>
        </w:tabs>
        <w:numPr>
          <w:ilvl w:val="1"/>
          <w:numId w:val="78"/>
        </w:numPr>
        <w:rPr>
          <w:rFonts w:ascii="Arial" w:cs="Arial" w:eastAsia="Arial" w:hAnsi="Arial"/>
          <w:sz w:val="16"/>
          <w:szCs w:val="16"/>
          <w:color w:val="003B71"/>
        </w:rPr>
      </w:pPr>
      <w:r>
        <w:rPr>
          <w:rFonts w:ascii="Arial" w:cs="Arial" w:eastAsia="Arial" w:hAnsi="Arial"/>
          <w:sz w:val="16"/>
          <w:szCs w:val="16"/>
          <w:color w:val="auto"/>
        </w:rPr>
        <w:t>SVP and Chief Architect (2008-2009)</w:t>
      </w:r>
    </w:p>
    <w:p>
      <w:pPr>
        <w:spacing w:after="0" w:line="5" w:lineRule="exact"/>
        <w:rPr>
          <w:rFonts w:ascii="Arial" w:cs="Arial" w:eastAsia="Arial" w:hAnsi="Arial"/>
          <w:sz w:val="16"/>
          <w:szCs w:val="16"/>
          <w:color w:val="003B71"/>
        </w:rPr>
      </w:pPr>
    </w:p>
    <w:p>
      <w:pPr>
        <w:ind w:left="280"/>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Uprising Studios</w:t>
      </w:r>
      <w:r>
        <w:rPr>
          <w:rFonts w:ascii="Arial" w:cs="Arial" w:eastAsia="Arial" w:hAnsi="Arial"/>
          <w:sz w:val="16"/>
          <w:szCs w:val="16"/>
          <w:color w:val="auto"/>
        </w:rPr>
        <w:t>, a software gaming company:</w:t>
      </w:r>
    </w:p>
    <w:p>
      <w:pPr>
        <w:spacing w:after="0" w:line="5" w:lineRule="exact"/>
        <w:rPr>
          <w:rFonts w:ascii="Arial" w:cs="Arial" w:eastAsia="Arial" w:hAnsi="Arial"/>
          <w:sz w:val="16"/>
          <w:szCs w:val="16"/>
          <w:color w:val="003B71"/>
        </w:rPr>
      </w:pPr>
    </w:p>
    <w:p>
      <w:pPr>
        <w:ind w:left="560" w:hanging="125"/>
        <w:spacing w:after="0"/>
        <w:tabs>
          <w:tab w:leader="none" w:pos="560" w:val="left"/>
        </w:tabs>
        <w:numPr>
          <w:ilvl w:val="1"/>
          <w:numId w:val="78"/>
        </w:numPr>
        <w:rPr>
          <w:rFonts w:ascii="Arial" w:cs="Arial" w:eastAsia="Arial" w:hAnsi="Arial"/>
          <w:sz w:val="16"/>
          <w:szCs w:val="16"/>
          <w:color w:val="003B71"/>
        </w:rPr>
      </w:pPr>
      <w:r>
        <w:rPr>
          <w:rFonts w:ascii="Arial" w:cs="Arial" w:eastAsia="Arial" w:hAnsi="Arial"/>
          <w:sz w:val="16"/>
          <w:szCs w:val="16"/>
          <w:color w:val="auto"/>
        </w:rPr>
        <w:t>CEO (2006-2008)</w:t>
      </w:r>
    </w:p>
    <w:p>
      <w:pPr>
        <w:spacing w:after="0" w:line="5" w:lineRule="exact"/>
        <w:rPr>
          <w:rFonts w:ascii="Arial" w:cs="Arial" w:eastAsia="Arial" w:hAnsi="Arial"/>
          <w:sz w:val="16"/>
          <w:szCs w:val="16"/>
          <w:color w:val="003B71"/>
        </w:rPr>
      </w:pPr>
    </w:p>
    <w:p>
      <w:pPr>
        <w:ind w:left="280"/>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Nival Interactive, Inc.</w:t>
      </w:r>
      <w:r>
        <w:rPr>
          <w:rFonts w:ascii="Arial" w:cs="Arial" w:eastAsia="Arial" w:hAnsi="Arial"/>
          <w:sz w:val="16"/>
          <w:szCs w:val="16"/>
          <w:color w:val="auto"/>
        </w:rPr>
        <w:t>, an European video game developer:</w:t>
      </w:r>
    </w:p>
    <w:p>
      <w:pPr>
        <w:spacing w:after="0" w:line="5" w:lineRule="exact"/>
        <w:rPr>
          <w:rFonts w:ascii="Arial" w:cs="Arial" w:eastAsia="Arial" w:hAnsi="Arial"/>
          <w:sz w:val="16"/>
          <w:szCs w:val="16"/>
          <w:color w:val="003B71"/>
        </w:rPr>
      </w:pPr>
    </w:p>
    <w:p>
      <w:pPr>
        <w:ind w:left="560" w:hanging="125"/>
        <w:spacing w:after="0"/>
        <w:tabs>
          <w:tab w:leader="none" w:pos="560" w:val="left"/>
        </w:tabs>
        <w:numPr>
          <w:ilvl w:val="1"/>
          <w:numId w:val="78"/>
        </w:numPr>
        <w:rPr>
          <w:rFonts w:ascii="Arial" w:cs="Arial" w:eastAsia="Arial" w:hAnsi="Arial"/>
          <w:sz w:val="16"/>
          <w:szCs w:val="16"/>
          <w:color w:val="003B71"/>
        </w:rPr>
      </w:pPr>
      <w:r>
        <w:rPr>
          <w:rFonts w:ascii="Arial" w:cs="Arial" w:eastAsia="Arial" w:hAnsi="Arial"/>
          <w:sz w:val="16"/>
          <w:szCs w:val="16"/>
          <w:color w:val="auto"/>
        </w:rPr>
        <w:t>CEO (2005-2006)</w:t>
      </w:r>
    </w:p>
    <w:p>
      <w:pPr>
        <w:spacing w:after="0" w:line="5" w:lineRule="exact"/>
        <w:rPr>
          <w:rFonts w:ascii="Arial" w:cs="Arial" w:eastAsia="Arial" w:hAnsi="Arial"/>
          <w:sz w:val="16"/>
          <w:szCs w:val="16"/>
          <w:color w:val="003B71"/>
        </w:rPr>
      </w:pPr>
    </w:p>
    <w:p>
      <w:pPr>
        <w:ind w:left="280"/>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Infinium Labs, Inc</w:t>
      </w:r>
      <w:r>
        <w:rPr>
          <w:rFonts w:ascii="Arial" w:cs="Arial" w:eastAsia="Arial" w:hAnsi="Arial"/>
          <w:sz w:val="16"/>
          <w:szCs w:val="16"/>
          <w:color w:val="auto"/>
        </w:rPr>
        <w:t>., a web technology company:</w:t>
      </w:r>
    </w:p>
    <w:p>
      <w:pPr>
        <w:spacing w:after="0" w:line="5" w:lineRule="exact"/>
        <w:rPr>
          <w:rFonts w:ascii="Arial" w:cs="Arial" w:eastAsia="Arial" w:hAnsi="Arial"/>
          <w:sz w:val="16"/>
          <w:szCs w:val="16"/>
          <w:color w:val="003B71"/>
        </w:rPr>
      </w:pPr>
    </w:p>
    <w:p>
      <w:pPr>
        <w:ind w:left="560" w:hanging="125"/>
        <w:spacing w:after="0"/>
        <w:tabs>
          <w:tab w:leader="none" w:pos="560" w:val="left"/>
        </w:tabs>
        <w:numPr>
          <w:ilvl w:val="1"/>
          <w:numId w:val="78"/>
        </w:numPr>
        <w:rPr>
          <w:rFonts w:ascii="Arial" w:cs="Arial" w:eastAsia="Arial" w:hAnsi="Arial"/>
          <w:sz w:val="16"/>
          <w:szCs w:val="16"/>
          <w:color w:val="003B71"/>
        </w:rPr>
      </w:pPr>
      <w:r>
        <w:rPr>
          <w:rFonts w:ascii="Arial" w:cs="Arial" w:eastAsia="Arial" w:hAnsi="Arial"/>
          <w:sz w:val="16"/>
          <w:szCs w:val="16"/>
          <w:color w:val="auto"/>
        </w:rPr>
        <w:t>CEO and President (2004-2005)</w:t>
      </w:r>
    </w:p>
    <w:p>
      <w:pPr>
        <w:spacing w:after="0" w:line="5" w:lineRule="exact"/>
        <w:rPr>
          <w:rFonts w:ascii="Arial" w:cs="Arial" w:eastAsia="Arial" w:hAnsi="Arial"/>
          <w:sz w:val="16"/>
          <w:szCs w:val="16"/>
          <w:color w:val="003B71"/>
        </w:rPr>
      </w:pPr>
    </w:p>
    <w:p>
      <w:pPr>
        <w:ind w:left="440" w:hanging="162"/>
        <w:spacing w:after="0" w:line="246" w:lineRule="auto"/>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Capital Entertainment Group, Inc</w:t>
      </w:r>
      <w:r>
        <w:rPr>
          <w:rFonts w:ascii="Arial" w:cs="Arial" w:eastAsia="Arial" w:hAnsi="Arial"/>
          <w:sz w:val="16"/>
          <w:szCs w:val="16"/>
          <w:color w:val="auto"/>
        </w:rPr>
        <w:t>., an innovative development “incubation” company:</w:t>
      </w:r>
    </w:p>
    <w:p>
      <w:pPr>
        <w:ind w:left="560" w:hanging="125"/>
        <w:spacing w:after="0"/>
        <w:tabs>
          <w:tab w:leader="none" w:pos="560" w:val="left"/>
        </w:tabs>
        <w:numPr>
          <w:ilvl w:val="1"/>
          <w:numId w:val="78"/>
        </w:numPr>
        <w:rPr>
          <w:rFonts w:ascii="Arial" w:cs="Arial" w:eastAsia="Arial" w:hAnsi="Arial"/>
          <w:sz w:val="16"/>
          <w:szCs w:val="16"/>
          <w:color w:val="003B71"/>
        </w:rPr>
      </w:pPr>
      <w:r>
        <w:rPr>
          <w:rFonts w:ascii="Arial" w:cs="Arial" w:eastAsia="Arial" w:hAnsi="Arial"/>
          <w:sz w:val="16"/>
          <w:szCs w:val="16"/>
          <w:color w:val="auto"/>
        </w:rPr>
        <w:t>VP of Publishing (2001-2003)</w:t>
      </w:r>
    </w:p>
    <w:p>
      <w:pPr>
        <w:spacing w:after="0" w:line="5" w:lineRule="exact"/>
        <w:rPr>
          <w:rFonts w:ascii="Arial" w:cs="Arial" w:eastAsia="Arial" w:hAnsi="Arial"/>
          <w:sz w:val="16"/>
          <w:szCs w:val="16"/>
          <w:color w:val="003B71"/>
        </w:rPr>
      </w:pPr>
    </w:p>
    <w:p>
      <w:pPr>
        <w:ind w:left="280"/>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Microsoft Corporation</w:t>
      </w:r>
      <w:r>
        <w:rPr>
          <w:rFonts w:ascii="Arial" w:cs="Arial" w:eastAsia="Arial" w:hAnsi="Arial"/>
          <w:sz w:val="16"/>
          <w:szCs w:val="16"/>
          <w:color w:val="auto"/>
        </w:rPr>
        <w:t>, a multinational technology company:</w:t>
      </w:r>
    </w:p>
    <w:p>
      <w:pPr>
        <w:spacing w:after="0" w:line="5" w:lineRule="exact"/>
        <w:rPr>
          <w:rFonts w:ascii="Arial" w:cs="Arial" w:eastAsia="Arial" w:hAnsi="Arial"/>
          <w:sz w:val="16"/>
          <w:szCs w:val="16"/>
          <w:color w:val="003B71"/>
        </w:rPr>
      </w:pPr>
    </w:p>
    <w:p>
      <w:pPr>
        <w:ind w:left="560" w:hanging="125"/>
        <w:spacing w:after="0"/>
        <w:tabs>
          <w:tab w:leader="none" w:pos="560" w:val="left"/>
        </w:tabs>
        <w:numPr>
          <w:ilvl w:val="1"/>
          <w:numId w:val="78"/>
        </w:numPr>
        <w:rPr>
          <w:rFonts w:ascii="Arial" w:cs="Arial" w:eastAsia="Arial" w:hAnsi="Arial"/>
          <w:sz w:val="16"/>
          <w:szCs w:val="16"/>
          <w:color w:val="003B71"/>
        </w:rPr>
      </w:pPr>
      <w:r>
        <w:rPr>
          <w:rFonts w:ascii="Arial" w:cs="Arial" w:eastAsia="Arial" w:hAnsi="Arial"/>
          <w:sz w:val="16"/>
          <w:szCs w:val="16"/>
          <w:color w:val="auto"/>
        </w:rPr>
        <w:t>Director of Third Party Relations-Xbox (1999-2001)</w:t>
      </w:r>
    </w:p>
    <w:p>
      <w:pPr>
        <w:spacing w:after="0" w:line="5" w:lineRule="exact"/>
        <w:rPr>
          <w:rFonts w:ascii="Arial" w:cs="Arial" w:eastAsia="Arial" w:hAnsi="Arial"/>
          <w:sz w:val="16"/>
          <w:szCs w:val="16"/>
          <w:color w:val="003B71"/>
        </w:rPr>
      </w:pPr>
    </w:p>
    <w:p>
      <w:pPr>
        <w:ind w:left="560" w:hanging="125"/>
        <w:spacing w:after="0"/>
        <w:tabs>
          <w:tab w:leader="none" w:pos="560" w:val="left"/>
        </w:tabs>
        <w:numPr>
          <w:ilvl w:val="1"/>
          <w:numId w:val="78"/>
        </w:numPr>
        <w:rPr>
          <w:rFonts w:ascii="Arial" w:cs="Arial" w:eastAsia="Arial" w:hAnsi="Arial"/>
          <w:sz w:val="16"/>
          <w:szCs w:val="16"/>
          <w:color w:val="003B71"/>
        </w:rPr>
      </w:pPr>
      <w:r>
        <w:rPr>
          <w:rFonts w:ascii="Arial" w:cs="Arial" w:eastAsia="Arial" w:hAnsi="Arial"/>
          <w:sz w:val="16"/>
          <w:szCs w:val="16"/>
          <w:color w:val="auto"/>
        </w:rPr>
        <w:t>Group Product Manager-DirectX (1997-1999)</w:t>
      </w:r>
    </w:p>
    <w:p>
      <w:pPr>
        <w:spacing w:after="0" w:line="6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Education:</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B.A. Cinema/Television Production, University of Southern California</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Scott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-113030</wp:posOffset>
            </wp:positionV>
            <wp:extent cx="7003415" cy="40887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03415" cy="4088765"/>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Dave &amp; Buster’s Since: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Age: 53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Food &amp; Beverage Experience: </w:t>
      </w:r>
      <w:r>
        <w:rPr>
          <w:rFonts w:ascii="Arial" w:cs="Arial" w:eastAsia="Arial" w:hAnsi="Arial"/>
          <w:sz w:val="16"/>
          <w:szCs w:val="16"/>
          <w:color w:val="auto"/>
        </w:rPr>
        <w:t>1 yr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Entertainment Experience: </w:t>
      </w:r>
      <w:r>
        <w:rPr>
          <w:rFonts w:ascii="Arial" w:cs="Arial" w:eastAsia="Arial" w:hAnsi="Arial"/>
          <w:sz w:val="16"/>
          <w:szCs w:val="16"/>
          <w:color w:val="auto"/>
        </w:rPr>
        <w:t>1 yr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Position: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 Senior Vice President and Chief Financial Officer since May 2019.</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Business Experience: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Hibbet Sports, Inc</w:t>
      </w:r>
      <w:r>
        <w:rPr>
          <w:rFonts w:ascii="Arial" w:cs="Arial" w:eastAsia="Arial" w:hAnsi="Arial"/>
          <w:sz w:val="16"/>
          <w:szCs w:val="16"/>
          <w:color w:val="auto"/>
        </w:rPr>
        <w:t>., a regional sporting goods company:</w:t>
      </w:r>
    </w:p>
    <w:p>
      <w:pPr>
        <w:spacing w:after="0" w:line="5" w:lineRule="exact"/>
        <w:rPr>
          <w:sz w:val="20"/>
          <w:szCs w:val="20"/>
          <w:color w:val="auto"/>
        </w:rPr>
      </w:pPr>
    </w:p>
    <w:p>
      <w:pPr>
        <w:ind w:left="280" w:hanging="113"/>
        <w:spacing w:after="0"/>
        <w:tabs>
          <w:tab w:leader="none" w:pos="280" w:val="left"/>
        </w:tabs>
        <w:numPr>
          <w:ilvl w:val="1"/>
          <w:numId w:val="79"/>
        </w:numPr>
        <w:rPr>
          <w:rFonts w:ascii="Arial" w:cs="Arial" w:eastAsia="Arial" w:hAnsi="Arial"/>
          <w:sz w:val="16"/>
          <w:szCs w:val="16"/>
          <w:color w:val="003B71"/>
        </w:rPr>
      </w:pPr>
      <w:r>
        <w:rPr>
          <w:rFonts w:ascii="Arial" w:cs="Arial" w:eastAsia="Arial" w:hAnsi="Arial"/>
          <w:sz w:val="16"/>
          <w:szCs w:val="16"/>
          <w:color w:val="auto"/>
        </w:rPr>
        <w:t>SVP and CFO (2012-2019)</w:t>
      </w:r>
    </w:p>
    <w:p>
      <w:pPr>
        <w:spacing w:after="0" w:line="5" w:lineRule="exact"/>
        <w:rPr>
          <w:rFonts w:ascii="Arial" w:cs="Arial" w:eastAsia="Arial" w:hAnsi="Arial"/>
          <w:sz w:val="16"/>
          <w:szCs w:val="16"/>
          <w:color w:val="003B71"/>
        </w:rPr>
      </w:pPr>
    </w:p>
    <w:p>
      <w:pPr>
        <w:spacing w:after="0"/>
        <w:rPr>
          <w:rFonts w:ascii="Arial" w:cs="Arial" w:eastAsia="Arial" w:hAnsi="Arial"/>
          <w:sz w:val="16"/>
          <w:szCs w:val="16"/>
          <w:color w:val="003B71"/>
        </w:rPr>
      </w:pPr>
      <w:r>
        <w:rPr>
          <w:rFonts w:ascii="Arial" w:cs="Arial" w:eastAsia="Arial" w:hAnsi="Arial"/>
          <w:sz w:val="16"/>
          <w:szCs w:val="16"/>
          <w:i w:val="1"/>
          <w:iCs w:val="1"/>
          <w:color w:val="auto"/>
        </w:rPr>
        <w:t>– The Home Depot, Inc.:</w:t>
      </w:r>
    </w:p>
    <w:p>
      <w:pPr>
        <w:spacing w:after="0" w:line="5" w:lineRule="exact"/>
        <w:rPr>
          <w:rFonts w:ascii="Arial" w:cs="Arial" w:eastAsia="Arial" w:hAnsi="Arial"/>
          <w:sz w:val="16"/>
          <w:szCs w:val="16"/>
          <w:color w:val="003B71"/>
        </w:rPr>
      </w:pPr>
    </w:p>
    <w:p>
      <w:pPr>
        <w:ind w:left="320" w:right="260" w:hanging="153"/>
        <w:spacing w:after="0" w:line="260" w:lineRule="auto"/>
        <w:tabs>
          <w:tab w:leader="none" w:pos="279" w:val="left"/>
        </w:tabs>
        <w:numPr>
          <w:ilvl w:val="1"/>
          <w:numId w:val="79"/>
        </w:numPr>
        <w:rPr>
          <w:rFonts w:ascii="Arial" w:cs="Arial" w:eastAsia="Arial" w:hAnsi="Arial"/>
          <w:sz w:val="16"/>
          <w:szCs w:val="16"/>
          <w:color w:val="003B71"/>
        </w:rPr>
      </w:pPr>
      <w:r>
        <w:rPr>
          <w:rFonts w:ascii="Arial" w:cs="Arial" w:eastAsia="Arial" w:hAnsi="Arial"/>
          <w:sz w:val="16"/>
          <w:szCs w:val="16"/>
          <w:color w:val="auto"/>
        </w:rPr>
        <w:t>Multiple positions, including, Division CFO – Northern Division (2003-2012)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 B.S. Accounting and Finance, University of Miami, Ohio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M.B.A. Emory University – Goizueta Business School</w:t>
      </w:r>
    </w:p>
    <w:p>
      <w:pPr>
        <w:spacing w:after="0" w:line="169" w:lineRule="exact"/>
        <w:rPr>
          <w:sz w:val="20"/>
          <w:szCs w:val="20"/>
          <w:color w:val="auto"/>
        </w:rPr>
      </w:pPr>
    </w:p>
    <w:p>
      <w:pPr>
        <w:sectPr>
          <w:pgSz w:w="11900" w:h="16838" w:orient="portrait"/>
          <w:cols w:equalWidth="0" w:num="2">
            <w:col w:w="5380" w:space="320"/>
            <w:col w:w="5440"/>
          </w:cols>
          <w:pgMar w:left="320" w:top="459" w:right="439" w:bottom="1440" w:gutter="0" w:footer="0" w:header="0"/>
          <w:type w:val="continuous"/>
        </w:sect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29</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Brandon Coleman III</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Dave &amp; Buster’s Since: 2020</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Age: 37</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Food &amp; Beverage Experience: </w:t>
      </w:r>
      <w:r>
        <w:rPr>
          <w:rFonts w:ascii="Arial" w:cs="Arial" w:eastAsia="Arial" w:hAnsi="Arial"/>
          <w:sz w:val="16"/>
          <w:szCs w:val="16"/>
          <w:color w:val="auto"/>
        </w:rPr>
        <w:t>10 yrs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Entertainment Experience: </w:t>
      </w:r>
      <w:r>
        <w:rPr>
          <w:rFonts w:ascii="Arial" w:cs="Arial" w:eastAsia="Arial" w:hAnsi="Arial"/>
          <w:sz w:val="16"/>
          <w:szCs w:val="16"/>
          <w:color w:val="auto"/>
        </w:rPr>
        <w:t>&lt;1 yr</w:t>
      </w:r>
    </w:p>
    <w:p>
      <w:pPr>
        <w:spacing w:after="0" w:line="24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Current Position:</w:t>
      </w:r>
    </w:p>
    <w:p>
      <w:pPr>
        <w:spacing w:after="0" w:line="16" w:lineRule="exact"/>
        <w:rPr>
          <w:sz w:val="20"/>
          <w:szCs w:val="20"/>
          <w:color w:val="auto"/>
        </w:rPr>
      </w:pPr>
    </w:p>
    <w:p>
      <w:pPr>
        <w:ind w:left="440" w:right="20" w:hanging="162"/>
        <w:spacing w:after="0" w:line="260" w:lineRule="auto"/>
        <w:rPr>
          <w:sz w:val="20"/>
          <w:szCs w:val="20"/>
          <w:color w:val="auto"/>
        </w:rPr>
      </w:pPr>
      <w:r>
        <w:rPr>
          <w:rFonts w:ascii="Arial" w:cs="Arial" w:eastAsia="Arial" w:hAnsi="Arial"/>
          <w:sz w:val="16"/>
          <w:szCs w:val="16"/>
          <w:color w:val="auto"/>
        </w:rPr>
        <w:t>– Senior Vice President and Chief Marketing Officer since February 2020.</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Prior Business Experience:</w:t>
      </w:r>
    </w:p>
    <w:p>
      <w:pPr>
        <w:spacing w:after="0" w:line="16" w:lineRule="exact"/>
        <w:rPr>
          <w:sz w:val="20"/>
          <w:szCs w:val="20"/>
          <w:color w:val="auto"/>
        </w:rPr>
      </w:pPr>
    </w:p>
    <w:p>
      <w:pPr>
        <w:ind w:left="440" w:right="20" w:hanging="162"/>
        <w:spacing w:after="0" w:line="246"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Del Frisco’s Restaurant Group</w:t>
      </w:r>
      <w:r>
        <w:rPr>
          <w:rFonts w:ascii="Arial" w:cs="Arial" w:eastAsia="Arial" w:hAnsi="Arial"/>
          <w:sz w:val="16"/>
          <w:szCs w:val="16"/>
          <w:color w:val="auto"/>
        </w:rPr>
        <w:t>, an American multi-brand restaurant company focused on steaks:</w:t>
      </w:r>
    </w:p>
    <w:p>
      <w:pPr>
        <w:ind w:left="600" w:right="20" w:hanging="165"/>
        <w:spacing w:after="0" w:line="246" w:lineRule="auto"/>
        <w:tabs>
          <w:tab w:leader="none" w:pos="559" w:val="left"/>
        </w:tabs>
        <w:numPr>
          <w:ilvl w:val="1"/>
          <w:numId w:val="82"/>
        </w:numPr>
        <w:rPr>
          <w:rFonts w:ascii="Arial" w:cs="Arial" w:eastAsia="Arial" w:hAnsi="Arial"/>
          <w:sz w:val="16"/>
          <w:szCs w:val="16"/>
          <w:color w:val="003B71"/>
        </w:rPr>
      </w:pPr>
      <w:r>
        <w:rPr>
          <w:rFonts w:ascii="Arial" w:cs="Arial" w:eastAsia="Arial" w:hAnsi="Arial"/>
          <w:sz w:val="16"/>
          <w:szCs w:val="16"/>
          <w:color w:val="auto"/>
        </w:rPr>
        <w:t>Various positions, including President of Del Frisco’s Grille (Aug 2017-Nov 2019) and CMO (Dec 2016-Oct 2017)</w:t>
      </w:r>
    </w:p>
    <w:p>
      <w:pPr>
        <w:ind w:left="440" w:hanging="162"/>
        <w:spacing w:after="0" w:line="246" w:lineRule="auto"/>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Brava Partners</w:t>
      </w:r>
      <w:r>
        <w:rPr>
          <w:rFonts w:ascii="Arial" w:cs="Arial" w:eastAsia="Arial" w:hAnsi="Arial"/>
          <w:sz w:val="16"/>
          <w:szCs w:val="16"/>
          <w:color w:val="auto"/>
        </w:rPr>
        <w:t>, a consulting group focused on brand strategies and planning:</w:t>
      </w:r>
    </w:p>
    <w:p>
      <w:pPr>
        <w:ind w:left="560" w:hanging="125"/>
        <w:spacing w:after="0"/>
        <w:tabs>
          <w:tab w:leader="none" w:pos="560" w:val="left"/>
        </w:tabs>
        <w:numPr>
          <w:ilvl w:val="1"/>
          <w:numId w:val="82"/>
        </w:numPr>
        <w:rPr>
          <w:rFonts w:ascii="Arial" w:cs="Arial" w:eastAsia="Arial" w:hAnsi="Arial"/>
          <w:sz w:val="16"/>
          <w:szCs w:val="16"/>
          <w:color w:val="003B71"/>
        </w:rPr>
      </w:pPr>
      <w:r>
        <w:rPr>
          <w:rFonts w:ascii="Arial" w:cs="Arial" w:eastAsia="Arial" w:hAnsi="Arial"/>
          <w:sz w:val="16"/>
          <w:szCs w:val="16"/>
          <w:color w:val="auto"/>
        </w:rPr>
        <w:t>CEO and Management Consultant (Jul 2013-Dec 2016)</w:t>
      </w:r>
    </w:p>
    <w:p>
      <w:pPr>
        <w:spacing w:after="0" w:line="5" w:lineRule="exact"/>
        <w:rPr>
          <w:rFonts w:ascii="Arial" w:cs="Arial" w:eastAsia="Arial" w:hAnsi="Arial"/>
          <w:sz w:val="16"/>
          <w:szCs w:val="16"/>
          <w:color w:val="003B71"/>
        </w:rPr>
      </w:pPr>
    </w:p>
    <w:p>
      <w:pPr>
        <w:ind w:left="440" w:hanging="162"/>
        <w:spacing w:after="0" w:line="246" w:lineRule="auto"/>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Snapfinger, Inc.</w:t>
      </w:r>
      <w:r>
        <w:rPr>
          <w:rFonts w:ascii="Arial" w:cs="Arial" w:eastAsia="Arial" w:hAnsi="Arial"/>
          <w:sz w:val="16"/>
          <w:szCs w:val="16"/>
          <w:color w:val="auto"/>
        </w:rPr>
        <w:t>, a start-up company focused on mobile app food ordering:</w:t>
      </w:r>
    </w:p>
    <w:p>
      <w:pPr>
        <w:ind w:left="560" w:hanging="125"/>
        <w:spacing w:after="0"/>
        <w:tabs>
          <w:tab w:leader="none" w:pos="560" w:val="left"/>
        </w:tabs>
        <w:numPr>
          <w:ilvl w:val="1"/>
          <w:numId w:val="82"/>
        </w:numPr>
        <w:rPr>
          <w:rFonts w:ascii="Arial" w:cs="Arial" w:eastAsia="Arial" w:hAnsi="Arial"/>
          <w:sz w:val="16"/>
          <w:szCs w:val="16"/>
          <w:color w:val="003B71"/>
        </w:rPr>
      </w:pPr>
      <w:r>
        <w:rPr>
          <w:rFonts w:ascii="Arial" w:cs="Arial" w:eastAsia="Arial" w:hAnsi="Arial"/>
          <w:sz w:val="16"/>
          <w:szCs w:val="16"/>
          <w:color w:val="auto"/>
        </w:rPr>
        <w:t>CMO (2013)</w:t>
      </w:r>
    </w:p>
    <w:p>
      <w:pPr>
        <w:spacing w:after="0" w:line="5" w:lineRule="exact"/>
        <w:rPr>
          <w:rFonts w:ascii="Arial" w:cs="Arial" w:eastAsia="Arial" w:hAnsi="Arial"/>
          <w:sz w:val="16"/>
          <w:szCs w:val="16"/>
          <w:color w:val="003B71"/>
        </w:rPr>
      </w:pPr>
    </w:p>
    <w:p>
      <w:pPr>
        <w:ind w:left="280"/>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Romano’s Macaroni Grill,</w:t>
      </w:r>
      <w:r>
        <w:rPr>
          <w:rFonts w:ascii="Arial" w:cs="Arial" w:eastAsia="Arial" w:hAnsi="Arial"/>
          <w:sz w:val="16"/>
          <w:szCs w:val="16"/>
          <w:color w:val="auto"/>
        </w:rPr>
        <w:t xml:space="preserve"> an American casual dining brand:</w:t>
      </w:r>
    </w:p>
    <w:p>
      <w:pPr>
        <w:spacing w:after="0" w:line="5" w:lineRule="exact"/>
        <w:rPr>
          <w:rFonts w:ascii="Arial" w:cs="Arial" w:eastAsia="Arial" w:hAnsi="Arial"/>
          <w:sz w:val="16"/>
          <w:szCs w:val="16"/>
          <w:color w:val="003B71"/>
        </w:rPr>
      </w:pPr>
    </w:p>
    <w:p>
      <w:pPr>
        <w:ind w:left="560" w:hanging="125"/>
        <w:spacing w:after="0"/>
        <w:tabs>
          <w:tab w:leader="none" w:pos="560" w:val="left"/>
        </w:tabs>
        <w:numPr>
          <w:ilvl w:val="1"/>
          <w:numId w:val="82"/>
        </w:numPr>
        <w:rPr>
          <w:rFonts w:ascii="Arial" w:cs="Arial" w:eastAsia="Arial" w:hAnsi="Arial"/>
          <w:sz w:val="16"/>
          <w:szCs w:val="16"/>
          <w:color w:val="003B71"/>
        </w:rPr>
      </w:pPr>
      <w:r>
        <w:rPr>
          <w:rFonts w:ascii="Arial" w:cs="Arial" w:eastAsia="Arial" w:hAnsi="Arial"/>
          <w:sz w:val="16"/>
          <w:szCs w:val="16"/>
          <w:color w:val="auto"/>
        </w:rPr>
        <w:t>CMO (2010-2013)</w:t>
      </w:r>
    </w:p>
    <w:p>
      <w:pPr>
        <w:spacing w:after="0" w:line="5" w:lineRule="exact"/>
        <w:rPr>
          <w:rFonts w:ascii="Arial" w:cs="Arial" w:eastAsia="Arial" w:hAnsi="Arial"/>
          <w:sz w:val="16"/>
          <w:szCs w:val="16"/>
          <w:color w:val="003B71"/>
        </w:rPr>
      </w:pPr>
    </w:p>
    <w:p>
      <w:pPr>
        <w:ind w:left="280"/>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Restaurants Unlimited, Inc.,</w:t>
      </w:r>
      <w:r>
        <w:rPr>
          <w:rFonts w:ascii="Arial" w:cs="Arial" w:eastAsia="Arial" w:hAnsi="Arial"/>
          <w:sz w:val="16"/>
          <w:szCs w:val="16"/>
          <w:color w:val="auto"/>
        </w:rPr>
        <w:t xml:space="preserve"> a multi-concept restaurant co.:</w:t>
      </w:r>
    </w:p>
    <w:p>
      <w:pPr>
        <w:spacing w:after="0" w:line="5" w:lineRule="exact"/>
        <w:rPr>
          <w:rFonts w:ascii="Arial" w:cs="Arial" w:eastAsia="Arial" w:hAnsi="Arial"/>
          <w:sz w:val="16"/>
          <w:szCs w:val="16"/>
          <w:color w:val="003B71"/>
        </w:rPr>
      </w:pPr>
    </w:p>
    <w:p>
      <w:pPr>
        <w:ind w:left="560" w:hanging="125"/>
        <w:spacing w:after="0"/>
        <w:tabs>
          <w:tab w:leader="none" w:pos="560" w:val="left"/>
        </w:tabs>
        <w:numPr>
          <w:ilvl w:val="1"/>
          <w:numId w:val="82"/>
        </w:numPr>
        <w:rPr>
          <w:rFonts w:ascii="Arial" w:cs="Arial" w:eastAsia="Arial" w:hAnsi="Arial"/>
          <w:sz w:val="16"/>
          <w:szCs w:val="16"/>
          <w:color w:val="003B71"/>
        </w:rPr>
      </w:pPr>
      <w:r>
        <w:rPr>
          <w:rFonts w:ascii="Arial" w:cs="Arial" w:eastAsia="Arial" w:hAnsi="Arial"/>
          <w:sz w:val="16"/>
          <w:szCs w:val="16"/>
          <w:color w:val="auto"/>
        </w:rPr>
        <w:t>VP of Marketing (2009-2010)</w:t>
      </w:r>
    </w:p>
    <w:p>
      <w:pPr>
        <w:spacing w:after="0" w:line="5" w:lineRule="exact"/>
        <w:rPr>
          <w:rFonts w:ascii="Arial" w:cs="Arial" w:eastAsia="Arial" w:hAnsi="Arial"/>
          <w:sz w:val="16"/>
          <w:szCs w:val="16"/>
          <w:color w:val="003B71"/>
        </w:rPr>
      </w:pPr>
    </w:p>
    <w:p>
      <w:pPr>
        <w:ind w:left="280"/>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Carino’s Italian Grill,</w:t>
      </w:r>
      <w:r>
        <w:rPr>
          <w:rFonts w:ascii="Arial" w:cs="Arial" w:eastAsia="Arial" w:hAnsi="Arial"/>
          <w:sz w:val="16"/>
          <w:szCs w:val="16"/>
          <w:color w:val="auto"/>
        </w:rPr>
        <w:t xml:space="preserve"> a multi-national Italian casual dining brand:</w:t>
      </w:r>
    </w:p>
    <w:p>
      <w:pPr>
        <w:spacing w:after="0" w:line="5" w:lineRule="exact"/>
        <w:rPr>
          <w:rFonts w:ascii="Arial" w:cs="Arial" w:eastAsia="Arial" w:hAnsi="Arial"/>
          <w:sz w:val="16"/>
          <w:szCs w:val="16"/>
          <w:color w:val="003B71"/>
        </w:rPr>
      </w:pPr>
    </w:p>
    <w:p>
      <w:pPr>
        <w:ind w:left="560" w:hanging="125"/>
        <w:spacing w:after="0"/>
        <w:tabs>
          <w:tab w:leader="none" w:pos="560" w:val="left"/>
        </w:tabs>
        <w:numPr>
          <w:ilvl w:val="1"/>
          <w:numId w:val="82"/>
        </w:numPr>
        <w:rPr>
          <w:rFonts w:ascii="Arial" w:cs="Arial" w:eastAsia="Arial" w:hAnsi="Arial"/>
          <w:sz w:val="16"/>
          <w:szCs w:val="16"/>
          <w:color w:val="003B71"/>
        </w:rPr>
      </w:pPr>
      <w:r>
        <w:rPr>
          <w:rFonts w:ascii="Arial" w:cs="Arial" w:eastAsia="Arial" w:hAnsi="Arial"/>
          <w:sz w:val="16"/>
          <w:szCs w:val="16"/>
          <w:color w:val="auto"/>
        </w:rPr>
        <w:t>Director of Marketing (2006-2008)</w:t>
      </w:r>
    </w:p>
    <w:p>
      <w:pPr>
        <w:spacing w:after="0" w:line="6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Education:</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B.B.A. Marketing, Texas A&amp;M University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Robert W. Edmund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-653415</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-113030</wp:posOffset>
            </wp:positionV>
            <wp:extent cx="7003415" cy="37287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03415" cy="372872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Dave &amp; Buster’s Since: 2018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Age: 45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Food &amp; Beverage Experience: </w:t>
      </w:r>
      <w:r>
        <w:rPr>
          <w:rFonts w:ascii="Arial" w:cs="Arial" w:eastAsia="Arial" w:hAnsi="Arial"/>
          <w:sz w:val="16"/>
          <w:szCs w:val="16"/>
          <w:color w:val="auto"/>
        </w:rPr>
        <w:t>2 yrs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Entertainment Experience: </w:t>
      </w:r>
      <w:r>
        <w:rPr>
          <w:rFonts w:ascii="Arial" w:cs="Arial" w:eastAsia="Arial" w:hAnsi="Arial"/>
          <w:sz w:val="16"/>
          <w:szCs w:val="16"/>
          <w:color w:val="auto"/>
        </w:rPr>
        <w:t>2 yrs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Position:</w:t>
      </w:r>
    </w:p>
    <w:p>
      <w:pPr>
        <w:spacing w:after="0" w:line="16" w:lineRule="exact"/>
        <w:rPr>
          <w:sz w:val="20"/>
          <w:szCs w:val="20"/>
          <w:color w:val="auto"/>
        </w:rPr>
      </w:pPr>
    </w:p>
    <w:p>
      <w:pPr>
        <w:ind w:left="160" w:right="260" w:hanging="162"/>
        <w:spacing w:after="0" w:line="260" w:lineRule="auto"/>
        <w:rPr>
          <w:sz w:val="20"/>
          <w:szCs w:val="20"/>
          <w:color w:val="auto"/>
        </w:rPr>
      </w:pPr>
      <w:r>
        <w:rPr>
          <w:rFonts w:ascii="Arial" w:cs="Arial" w:eastAsia="Arial" w:hAnsi="Arial"/>
          <w:sz w:val="16"/>
          <w:szCs w:val="16"/>
          <w:color w:val="auto"/>
        </w:rPr>
        <w:t>– General Counsel, Secretary and SVP of Human Resources since October 2018.</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Business Experience:</w:t>
      </w:r>
    </w:p>
    <w:p>
      <w:pPr>
        <w:spacing w:after="0" w:line="16" w:lineRule="exact"/>
        <w:rPr>
          <w:sz w:val="20"/>
          <w:szCs w:val="20"/>
          <w:color w:val="auto"/>
        </w:rPr>
      </w:pPr>
    </w:p>
    <w:p>
      <w:pPr>
        <w:ind w:left="160" w:right="260" w:hanging="162"/>
        <w:spacing w:after="0" w:line="246"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KForce Inc</w:t>
      </w:r>
      <w:r>
        <w:rPr>
          <w:rFonts w:ascii="Arial" w:cs="Arial" w:eastAsia="Arial" w:hAnsi="Arial"/>
          <w:sz w:val="16"/>
          <w:szCs w:val="16"/>
          <w:color w:val="auto"/>
        </w:rPr>
        <w:t>., a publicly traded professional staffing and solutions firm focused on technology and accounting &amp; financial services:</w:t>
      </w:r>
    </w:p>
    <w:p>
      <w:pPr>
        <w:ind w:left="320" w:right="260" w:hanging="153"/>
        <w:spacing w:after="0" w:line="246" w:lineRule="auto"/>
        <w:tabs>
          <w:tab w:leader="none" w:pos="279" w:val="left"/>
        </w:tabs>
        <w:numPr>
          <w:ilvl w:val="1"/>
          <w:numId w:val="84"/>
        </w:numPr>
        <w:rPr>
          <w:rFonts w:ascii="Arial" w:cs="Arial" w:eastAsia="Arial" w:hAnsi="Arial"/>
          <w:sz w:val="16"/>
          <w:szCs w:val="16"/>
          <w:color w:val="003B71"/>
        </w:rPr>
      </w:pPr>
      <w:r>
        <w:rPr>
          <w:rFonts w:ascii="Arial" w:cs="Arial" w:eastAsia="Arial" w:hAnsi="Arial"/>
          <w:sz w:val="16"/>
          <w:szCs w:val="16"/>
          <w:color w:val="auto"/>
        </w:rPr>
        <w:t>Various positions, including Chief Talent, Legal &amp; Risk Officer (Feb 2014-Oct 2018)</w:t>
      </w:r>
    </w:p>
    <w:p>
      <w:pPr>
        <w:ind w:left="160" w:right="260" w:hanging="162"/>
        <w:spacing w:after="0" w:line="246" w:lineRule="auto"/>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PetSmart, Inc</w:t>
      </w:r>
      <w:r>
        <w:rPr>
          <w:rFonts w:ascii="Arial" w:cs="Arial" w:eastAsia="Arial" w:hAnsi="Arial"/>
          <w:sz w:val="16"/>
          <w:szCs w:val="16"/>
          <w:color w:val="auto"/>
        </w:rPr>
        <w:t>., a leading pet animal products and services retail chain:</w:t>
      </w:r>
    </w:p>
    <w:p>
      <w:pPr>
        <w:spacing w:after="0" w:line="189" w:lineRule="exact"/>
        <w:rPr>
          <w:rFonts w:ascii="Arial" w:cs="Arial" w:eastAsia="Arial" w:hAnsi="Arial"/>
          <w:sz w:val="16"/>
          <w:szCs w:val="16"/>
          <w:color w:val="003B71"/>
        </w:rPr>
      </w:pPr>
    </w:p>
    <w:p>
      <w:pPr>
        <w:ind w:left="320" w:right="260" w:hanging="153"/>
        <w:spacing w:after="0" w:line="246" w:lineRule="auto"/>
        <w:tabs>
          <w:tab w:leader="none" w:pos="279" w:val="left"/>
        </w:tabs>
        <w:numPr>
          <w:ilvl w:val="1"/>
          <w:numId w:val="84"/>
        </w:numPr>
        <w:rPr>
          <w:rFonts w:ascii="Arial" w:cs="Arial" w:eastAsia="Arial" w:hAnsi="Arial"/>
          <w:sz w:val="16"/>
          <w:szCs w:val="16"/>
          <w:color w:val="003B71"/>
        </w:rPr>
      </w:pPr>
      <w:r>
        <w:rPr>
          <w:rFonts w:ascii="Arial" w:cs="Arial" w:eastAsia="Arial" w:hAnsi="Arial"/>
          <w:sz w:val="16"/>
          <w:szCs w:val="16"/>
          <w:color w:val="auto"/>
        </w:rPr>
        <w:t>Various positions, including VP, Legal – Business Operations (2009-Feb 2014)</w:t>
      </w:r>
    </w:p>
    <w:p>
      <w:pPr>
        <w:ind w:left="160" w:right="260" w:hanging="162"/>
        <w:spacing w:after="0" w:line="253" w:lineRule="auto"/>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Ohio Business Roundtable</w:t>
      </w:r>
      <w:r>
        <w:rPr>
          <w:rFonts w:ascii="Arial" w:cs="Arial" w:eastAsia="Arial" w:hAnsi="Arial"/>
          <w:sz w:val="16"/>
          <w:szCs w:val="16"/>
          <w:color w:val="auto"/>
        </w:rPr>
        <w:t>, an independent, non-partisan organization of Ohio-based CEOs focused on bettering Ohio’s business climate:</w:t>
      </w:r>
    </w:p>
    <w:p>
      <w:pPr>
        <w:spacing w:after="0" w:line="179" w:lineRule="exact"/>
        <w:rPr>
          <w:rFonts w:ascii="Arial" w:cs="Arial" w:eastAsia="Arial" w:hAnsi="Arial"/>
          <w:sz w:val="16"/>
          <w:szCs w:val="16"/>
          <w:color w:val="003B71"/>
        </w:rPr>
      </w:pPr>
    </w:p>
    <w:p>
      <w:pPr>
        <w:ind w:left="280" w:hanging="113"/>
        <w:spacing w:after="0"/>
        <w:tabs>
          <w:tab w:leader="none" w:pos="280" w:val="left"/>
        </w:tabs>
        <w:numPr>
          <w:ilvl w:val="1"/>
          <w:numId w:val="84"/>
        </w:numPr>
        <w:rPr>
          <w:rFonts w:ascii="Arial" w:cs="Arial" w:eastAsia="Arial" w:hAnsi="Arial"/>
          <w:sz w:val="16"/>
          <w:szCs w:val="16"/>
          <w:color w:val="003B71"/>
        </w:rPr>
      </w:pPr>
      <w:r>
        <w:rPr>
          <w:rFonts w:ascii="Arial" w:cs="Arial" w:eastAsia="Arial" w:hAnsi="Arial"/>
          <w:sz w:val="16"/>
          <w:szCs w:val="16"/>
          <w:color w:val="auto"/>
        </w:rPr>
        <w:t>Director of Policy and General Counsel (2008-2009)</w:t>
      </w:r>
    </w:p>
    <w:p>
      <w:pPr>
        <w:spacing w:after="0" w:line="5" w:lineRule="exact"/>
        <w:rPr>
          <w:rFonts w:ascii="Arial" w:cs="Arial" w:eastAsia="Arial" w:hAnsi="Arial"/>
          <w:sz w:val="16"/>
          <w:szCs w:val="16"/>
          <w:color w:val="003B71"/>
        </w:rPr>
      </w:pPr>
    </w:p>
    <w:p>
      <w:pPr>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Porter Wright Morris &amp; Arthur LLP</w:t>
      </w:r>
      <w:r>
        <w:rPr>
          <w:rFonts w:ascii="Arial" w:cs="Arial" w:eastAsia="Arial" w:hAnsi="Arial"/>
          <w:sz w:val="16"/>
          <w:szCs w:val="16"/>
          <w:color w:val="auto"/>
        </w:rPr>
        <w:t>., a multi-state full-service law firm:</w:t>
      </w:r>
    </w:p>
    <w:p>
      <w:pPr>
        <w:spacing w:after="0" w:line="5" w:lineRule="exact"/>
        <w:rPr>
          <w:rFonts w:ascii="Arial" w:cs="Arial" w:eastAsia="Arial" w:hAnsi="Arial"/>
          <w:sz w:val="16"/>
          <w:szCs w:val="16"/>
          <w:color w:val="003B71"/>
        </w:rPr>
      </w:pPr>
    </w:p>
    <w:p>
      <w:pPr>
        <w:ind w:left="280" w:hanging="113"/>
        <w:spacing w:after="0"/>
        <w:tabs>
          <w:tab w:leader="none" w:pos="280" w:val="left"/>
        </w:tabs>
        <w:numPr>
          <w:ilvl w:val="1"/>
          <w:numId w:val="84"/>
        </w:numPr>
        <w:rPr>
          <w:rFonts w:ascii="Arial" w:cs="Arial" w:eastAsia="Arial" w:hAnsi="Arial"/>
          <w:sz w:val="16"/>
          <w:szCs w:val="16"/>
          <w:color w:val="003B71"/>
        </w:rPr>
      </w:pPr>
      <w:r>
        <w:rPr>
          <w:rFonts w:ascii="Arial" w:cs="Arial" w:eastAsia="Arial" w:hAnsi="Arial"/>
          <w:sz w:val="16"/>
          <w:szCs w:val="16"/>
          <w:color w:val="auto"/>
        </w:rPr>
        <w:t>Various positions, including Partner (2004-2008)</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 B.A. Political Science &amp; Philosophy, The Ohio State University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J.D. Harvard Law School</w:t>
      </w:r>
    </w:p>
    <w:p>
      <w:pPr>
        <w:spacing w:after="0" w:line="169" w:lineRule="exact"/>
        <w:rPr>
          <w:sz w:val="20"/>
          <w:szCs w:val="20"/>
          <w:color w:val="auto"/>
        </w:rPr>
      </w:pPr>
    </w:p>
    <w:p>
      <w:pPr>
        <w:sectPr>
          <w:pgSz w:w="11900" w:h="16838" w:orient="portrait"/>
          <w:cols w:equalWidth="0" w:num="2">
            <w:col w:w="5400" w:space="300"/>
            <w:col w:w="5440"/>
          </w:cols>
          <w:pgMar w:left="320" w:top="459" w:right="439" w:bottom="1440" w:gutter="0" w:footer="0" w:header="0"/>
        </w:sect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30</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JP Hurtado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8890" cy="27514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2751455"/>
                    </a:xfrm>
                    <a:prstGeom prst="rect">
                      <a:avLst/>
                    </a:prstGeom>
                    <a:noFill/>
                  </pic:spPr>
                </pic:pic>
              </a:graphicData>
            </a:graphic>
          </wp:anchor>
        </w:drawing>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Dave &amp; Buster’s Since: 2018</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Age: 43</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Food &amp; Beverage Experience: </w:t>
      </w:r>
      <w:r>
        <w:rPr>
          <w:rFonts w:ascii="Arial" w:cs="Arial" w:eastAsia="Arial" w:hAnsi="Arial"/>
          <w:sz w:val="16"/>
          <w:szCs w:val="16"/>
          <w:color w:val="auto"/>
        </w:rPr>
        <w:t>16 yrs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Entertainment Experience: </w:t>
      </w:r>
      <w:r>
        <w:rPr>
          <w:rFonts w:ascii="Arial" w:cs="Arial" w:eastAsia="Arial" w:hAnsi="Arial"/>
          <w:sz w:val="16"/>
          <w:szCs w:val="16"/>
          <w:color w:val="auto"/>
        </w:rPr>
        <w:t>16 yrs</w:t>
      </w:r>
    </w:p>
    <w:p>
      <w:pPr>
        <w:spacing w:after="0" w:line="24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Current Position:</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Senior Vice President and Chief Information Officer since May 2019.</w:t>
      </w:r>
    </w:p>
    <w:p>
      <w:pPr>
        <w:spacing w:after="0" w:line="24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Prior Business Experience:</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Dave &amp; Buster’s Entertainment, Inc.</w:t>
      </w:r>
      <w:r>
        <w:rPr>
          <w:rFonts w:ascii="Arial" w:cs="Arial" w:eastAsia="Arial" w:hAnsi="Arial"/>
          <w:sz w:val="16"/>
          <w:szCs w:val="16"/>
          <w:color w:val="auto"/>
        </w:rPr>
        <w:t>:</w:t>
      </w:r>
    </w:p>
    <w:p>
      <w:pPr>
        <w:spacing w:after="0" w:line="5" w:lineRule="exact"/>
        <w:rPr>
          <w:sz w:val="20"/>
          <w:szCs w:val="20"/>
          <w:color w:val="auto"/>
        </w:rPr>
      </w:pPr>
    </w:p>
    <w:p>
      <w:pPr>
        <w:ind w:left="560" w:hanging="125"/>
        <w:spacing w:after="0"/>
        <w:tabs>
          <w:tab w:leader="none" w:pos="560" w:val="left"/>
        </w:tabs>
        <w:numPr>
          <w:ilvl w:val="1"/>
          <w:numId w:val="86"/>
        </w:numPr>
        <w:rPr>
          <w:rFonts w:ascii="Arial" w:cs="Arial" w:eastAsia="Arial" w:hAnsi="Arial"/>
          <w:sz w:val="16"/>
          <w:szCs w:val="16"/>
          <w:color w:val="003B71"/>
        </w:rPr>
      </w:pPr>
      <w:r>
        <w:rPr>
          <w:rFonts w:ascii="Arial" w:cs="Arial" w:eastAsia="Arial" w:hAnsi="Arial"/>
          <w:sz w:val="16"/>
          <w:szCs w:val="16"/>
          <w:color w:val="auto"/>
        </w:rPr>
        <w:t>VP and CIO (May 2018-May 2019)</w:t>
      </w:r>
    </w:p>
    <w:p>
      <w:pPr>
        <w:spacing w:after="0" w:line="5" w:lineRule="exact"/>
        <w:rPr>
          <w:rFonts w:ascii="Arial" w:cs="Arial" w:eastAsia="Arial" w:hAnsi="Arial"/>
          <w:sz w:val="16"/>
          <w:szCs w:val="16"/>
          <w:color w:val="003B71"/>
        </w:rPr>
      </w:pPr>
    </w:p>
    <w:p>
      <w:pPr>
        <w:ind w:left="280"/>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Royal Caribbean Cruises, Ltd.,</w:t>
      </w:r>
      <w:r>
        <w:rPr>
          <w:rFonts w:ascii="Arial" w:cs="Arial" w:eastAsia="Arial" w:hAnsi="Arial"/>
          <w:sz w:val="16"/>
          <w:szCs w:val="16"/>
          <w:color w:val="auto"/>
        </w:rPr>
        <w:t xml:space="preserve"> a leading global cruise line operator:</w:t>
      </w:r>
    </w:p>
    <w:p>
      <w:pPr>
        <w:spacing w:after="0" w:line="5" w:lineRule="exact"/>
        <w:rPr>
          <w:rFonts w:ascii="Arial" w:cs="Arial" w:eastAsia="Arial" w:hAnsi="Arial"/>
          <w:sz w:val="16"/>
          <w:szCs w:val="16"/>
          <w:color w:val="003B71"/>
        </w:rPr>
      </w:pPr>
    </w:p>
    <w:p>
      <w:pPr>
        <w:jc w:val="both"/>
        <w:ind w:left="600" w:hanging="165"/>
        <w:spacing w:after="0" w:line="253" w:lineRule="auto"/>
        <w:tabs>
          <w:tab w:leader="none" w:pos="559" w:val="left"/>
        </w:tabs>
        <w:numPr>
          <w:ilvl w:val="1"/>
          <w:numId w:val="86"/>
        </w:numPr>
        <w:rPr>
          <w:rFonts w:ascii="Arial" w:cs="Arial" w:eastAsia="Arial" w:hAnsi="Arial"/>
          <w:sz w:val="16"/>
          <w:szCs w:val="16"/>
          <w:color w:val="003B71"/>
        </w:rPr>
      </w:pPr>
      <w:r>
        <w:rPr>
          <w:rFonts w:ascii="Arial" w:cs="Arial" w:eastAsia="Arial" w:hAnsi="Arial"/>
          <w:sz w:val="16"/>
          <w:szCs w:val="16"/>
          <w:color w:val="auto"/>
        </w:rPr>
        <w:t>Multiple positions (2004-2018), including, AVP, Shipboard Technology (2016-2018) and AVP, Asia Information Technology (2014-2018)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Education:</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B.A. Decision &amp; Information Sciences, University of Florida</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FFFFF"/>
        </w:rPr>
        <w:t>Michael J. Metzinger</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Dave &amp; Buster’s Since: 2005</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Age: 63</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Food &amp; Beverage Experience: </w:t>
      </w:r>
      <w:r>
        <w:rPr>
          <w:rFonts w:ascii="Arial" w:cs="Arial" w:eastAsia="Arial" w:hAnsi="Arial"/>
          <w:sz w:val="16"/>
          <w:szCs w:val="16"/>
          <w:color w:val="auto"/>
        </w:rPr>
        <w:t>33 yrs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Entertainment Experience: </w:t>
      </w:r>
      <w:r>
        <w:rPr>
          <w:rFonts w:ascii="Arial" w:cs="Arial" w:eastAsia="Arial" w:hAnsi="Arial"/>
          <w:sz w:val="16"/>
          <w:szCs w:val="16"/>
          <w:color w:val="auto"/>
        </w:rPr>
        <w:t>14 yrs</w:t>
      </w:r>
    </w:p>
    <w:p>
      <w:pPr>
        <w:spacing w:after="0" w:line="24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Current Position:</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Vice President-Accounting and Controller since January 2005.</w:t>
      </w:r>
    </w:p>
    <w:p>
      <w:pPr>
        <w:spacing w:after="0" w:line="24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Prior Business Experience:</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Carlson Restaurants Worldwide, Inc.:</w:t>
      </w:r>
    </w:p>
    <w:p>
      <w:pPr>
        <w:spacing w:after="0" w:line="5" w:lineRule="exact"/>
        <w:rPr>
          <w:sz w:val="20"/>
          <w:szCs w:val="20"/>
          <w:color w:val="auto"/>
        </w:rPr>
      </w:pPr>
    </w:p>
    <w:p>
      <w:pPr>
        <w:ind w:left="600" w:right="20" w:hanging="165"/>
        <w:spacing w:after="0" w:line="260" w:lineRule="auto"/>
        <w:tabs>
          <w:tab w:leader="none" w:pos="559" w:val="left"/>
        </w:tabs>
        <w:numPr>
          <w:ilvl w:val="1"/>
          <w:numId w:val="87"/>
        </w:numPr>
        <w:rPr>
          <w:rFonts w:ascii="Arial" w:cs="Arial" w:eastAsia="Arial" w:hAnsi="Arial"/>
          <w:sz w:val="16"/>
          <w:szCs w:val="16"/>
          <w:color w:val="003B71"/>
        </w:rPr>
      </w:pPr>
      <w:r>
        <w:rPr>
          <w:rFonts w:ascii="Arial" w:cs="Arial" w:eastAsia="Arial" w:hAnsi="Arial"/>
          <w:sz w:val="16"/>
          <w:szCs w:val="16"/>
          <w:color w:val="auto"/>
        </w:rPr>
        <w:t>Various positions, including, Executive Director-Financial Reporting (1986-2005)</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Education:</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B.B.A. Accounting and Finance, University of Texas at Austin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Margo L.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-653415</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-113030</wp:posOffset>
            </wp:positionV>
            <wp:extent cx="7003415" cy="28803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03415" cy="288036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Dave &amp; Buster’s Since: 1991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Age: 55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Food &amp; Beverage Experience: </w:t>
      </w:r>
      <w:r>
        <w:rPr>
          <w:rFonts w:ascii="Arial" w:cs="Arial" w:eastAsia="Arial" w:hAnsi="Arial"/>
          <w:sz w:val="16"/>
          <w:szCs w:val="16"/>
          <w:color w:val="auto"/>
        </w:rPr>
        <w:t>28 yrs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Entertainment Experience: </w:t>
      </w:r>
      <w:r>
        <w:rPr>
          <w:rFonts w:ascii="Arial" w:cs="Arial" w:eastAsia="Arial" w:hAnsi="Arial"/>
          <w:sz w:val="16"/>
          <w:szCs w:val="16"/>
          <w:color w:val="auto"/>
        </w:rPr>
        <w:t>28 yrs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Position:</w:t>
      </w:r>
    </w:p>
    <w:p>
      <w:pPr>
        <w:spacing w:after="0" w:line="16" w:lineRule="exact"/>
        <w:rPr>
          <w:sz w:val="20"/>
          <w:szCs w:val="20"/>
          <w:color w:val="auto"/>
        </w:rPr>
      </w:pPr>
    </w:p>
    <w:p>
      <w:pPr>
        <w:ind w:left="160" w:right="260" w:hanging="162"/>
        <w:spacing w:after="0" w:line="260" w:lineRule="auto"/>
        <w:rPr>
          <w:sz w:val="20"/>
          <w:szCs w:val="20"/>
          <w:color w:val="auto"/>
        </w:rPr>
      </w:pPr>
      <w:r>
        <w:rPr>
          <w:rFonts w:ascii="Arial" w:cs="Arial" w:eastAsia="Arial" w:hAnsi="Arial"/>
          <w:sz w:val="16"/>
          <w:szCs w:val="16"/>
          <w:color w:val="auto"/>
        </w:rPr>
        <w:t>– Senior Vice President and Chief Operating Officer since December 2016.</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Business Experience: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Dave &amp; Buster’s Entertainment, Inc.:</w:t>
      </w:r>
    </w:p>
    <w:p>
      <w:pPr>
        <w:spacing w:after="0" w:line="5" w:lineRule="exact"/>
        <w:rPr>
          <w:sz w:val="20"/>
          <w:szCs w:val="20"/>
          <w:color w:val="auto"/>
        </w:rPr>
      </w:pPr>
    </w:p>
    <w:p>
      <w:pPr>
        <w:ind w:left="280" w:hanging="113"/>
        <w:spacing w:after="0"/>
        <w:tabs>
          <w:tab w:leader="none" w:pos="280" w:val="left"/>
        </w:tabs>
        <w:numPr>
          <w:ilvl w:val="1"/>
          <w:numId w:val="89"/>
        </w:numPr>
        <w:rPr>
          <w:rFonts w:ascii="Arial" w:cs="Arial" w:eastAsia="Arial" w:hAnsi="Arial"/>
          <w:sz w:val="16"/>
          <w:szCs w:val="16"/>
          <w:color w:val="003B71"/>
        </w:rPr>
      </w:pPr>
      <w:r>
        <w:rPr>
          <w:rFonts w:ascii="Arial" w:cs="Arial" w:eastAsia="Arial" w:hAnsi="Arial"/>
          <w:sz w:val="16"/>
          <w:szCs w:val="16"/>
          <w:color w:val="auto"/>
        </w:rPr>
        <w:t>SVP of Human Resources (November 2010-December 2016)</w:t>
      </w:r>
    </w:p>
    <w:p>
      <w:pPr>
        <w:spacing w:after="0" w:line="5" w:lineRule="exact"/>
        <w:rPr>
          <w:rFonts w:ascii="Arial" w:cs="Arial" w:eastAsia="Arial" w:hAnsi="Arial"/>
          <w:sz w:val="16"/>
          <w:szCs w:val="16"/>
          <w:color w:val="003B71"/>
        </w:rPr>
      </w:pPr>
    </w:p>
    <w:p>
      <w:pPr>
        <w:ind w:left="320" w:right="260" w:hanging="153"/>
        <w:spacing w:after="0" w:line="246" w:lineRule="auto"/>
        <w:tabs>
          <w:tab w:leader="none" w:pos="279" w:val="left"/>
        </w:tabs>
        <w:numPr>
          <w:ilvl w:val="1"/>
          <w:numId w:val="89"/>
        </w:numPr>
        <w:rPr>
          <w:rFonts w:ascii="Arial" w:cs="Arial" w:eastAsia="Arial" w:hAnsi="Arial"/>
          <w:sz w:val="16"/>
          <w:szCs w:val="16"/>
          <w:color w:val="003B71"/>
        </w:rPr>
      </w:pPr>
      <w:r>
        <w:rPr>
          <w:rFonts w:ascii="Arial" w:cs="Arial" w:eastAsia="Arial" w:hAnsi="Arial"/>
          <w:sz w:val="16"/>
          <w:szCs w:val="16"/>
          <w:color w:val="auto"/>
        </w:rPr>
        <w:t>SVP of Training and Special Events (September 2006-November 2010)</w:t>
      </w:r>
    </w:p>
    <w:p>
      <w:pPr>
        <w:ind w:left="280" w:hanging="113"/>
        <w:spacing w:after="0"/>
        <w:tabs>
          <w:tab w:leader="none" w:pos="280" w:val="left"/>
        </w:tabs>
        <w:numPr>
          <w:ilvl w:val="1"/>
          <w:numId w:val="89"/>
        </w:numPr>
        <w:rPr>
          <w:rFonts w:ascii="Arial" w:cs="Arial" w:eastAsia="Arial" w:hAnsi="Arial"/>
          <w:sz w:val="16"/>
          <w:szCs w:val="16"/>
          <w:color w:val="003B71"/>
        </w:rPr>
      </w:pPr>
      <w:r>
        <w:rPr>
          <w:rFonts w:ascii="Arial" w:cs="Arial" w:eastAsia="Arial" w:hAnsi="Arial"/>
          <w:sz w:val="16"/>
          <w:szCs w:val="16"/>
          <w:color w:val="auto"/>
        </w:rPr>
        <w:t>VP of Training and Sales (June 2005-September 2006)</w:t>
      </w:r>
    </w:p>
    <w:p>
      <w:pPr>
        <w:spacing w:after="0" w:line="5" w:lineRule="exact"/>
        <w:rPr>
          <w:rFonts w:ascii="Arial" w:cs="Arial" w:eastAsia="Arial" w:hAnsi="Arial"/>
          <w:sz w:val="16"/>
          <w:szCs w:val="16"/>
          <w:color w:val="003B71"/>
        </w:rPr>
      </w:pPr>
    </w:p>
    <w:p>
      <w:pPr>
        <w:ind w:left="280" w:hanging="113"/>
        <w:spacing w:after="0"/>
        <w:tabs>
          <w:tab w:leader="none" w:pos="280" w:val="left"/>
        </w:tabs>
        <w:numPr>
          <w:ilvl w:val="1"/>
          <w:numId w:val="89"/>
        </w:numPr>
        <w:rPr>
          <w:rFonts w:ascii="Arial" w:cs="Arial" w:eastAsia="Arial" w:hAnsi="Arial"/>
          <w:sz w:val="16"/>
          <w:szCs w:val="16"/>
          <w:color w:val="003B71"/>
        </w:rPr>
      </w:pPr>
      <w:r>
        <w:rPr>
          <w:rFonts w:ascii="Arial" w:cs="Arial" w:eastAsia="Arial" w:hAnsi="Arial"/>
          <w:sz w:val="16"/>
          <w:szCs w:val="16"/>
          <w:color w:val="auto"/>
        </w:rPr>
        <w:t>VP of Management Development (September 2001-June 2005)</w:t>
      </w:r>
    </w:p>
    <w:p>
      <w:pPr>
        <w:spacing w:after="0" w:line="5" w:lineRule="exact"/>
        <w:rPr>
          <w:rFonts w:ascii="Arial" w:cs="Arial" w:eastAsia="Arial" w:hAnsi="Arial"/>
          <w:sz w:val="16"/>
          <w:szCs w:val="16"/>
          <w:color w:val="003B71"/>
        </w:rPr>
      </w:pPr>
    </w:p>
    <w:p>
      <w:pPr>
        <w:spacing w:after="0"/>
        <w:rPr>
          <w:rFonts w:ascii="Arial" w:cs="Arial" w:eastAsia="Arial" w:hAnsi="Arial"/>
          <w:sz w:val="16"/>
          <w:szCs w:val="16"/>
          <w:color w:val="003B71"/>
        </w:rPr>
      </w:pPr>
      <w:r>
        <w:rPr>
          <w:rFonts w:ascii="Arial" w:cs="Arial" w:eastAsia="Arial" w:hAnsi="Arial"/>
          <w:sz w:val="16"/>
          <w:szCs w:val="16"/>
          <w:i w:val="1"/>
          <w:iCs w:val="1"/>
          <w:color w:val="auto"/>
        </w:rPr>
        <w:t>– Dave &amp; Buster’s Entertainment, Inc. and predecessor companies:</w:t>
      </w:r>
    </w:p>
    <w:p>
      <w:pPr>
        <w:spacing w:after="0" w:line="5" w:lineRule="exact"/>
        <w:rPr>
          <w:rFonts w:ascii="Arial" w:cs="Arial" w:eastAsia="Arial" w:hAnsi="Arial"/>
          <w:sz w:val="16"/>
          <w:szCs w:val="16"/>
          <w:color w:val="003B71"/>
        </w:rPr>
      </w:pPr>
    </w:p>
    <w:p>
      <w:pPr>
        <w:ind w:left="280" w:hanging="113"/>
        <w:spacing w:after="0"/>
        <w:tabs>
          <w:tab w:leader="none" w:pos="280" w:val="left"/>
        </w:tabs>
        <w:numPr>
          <w:ilvl w:val="1"/>
          <w:numId w:val="89"/>
        </w:numPr>
        <w:rPr>
          <w:rFonts w:ascii="Arial" w:cs="Arial" w:eastAsia="Arial" w:hAnsi="Arial"/>
          <w:sz w:val="16"/>
          <w:szCs w:val="16"/>
          <w:color w:val="003B71"/>
        </w:rPr>
      </w:pPr>
      <w:r>
        <w:rPr>
          <w:rFonts w:ascii="Arial" w:cs="Arial" w:eastAsia="Arial" w:hAnsi="Arial"/>
          <w:sz w:val="16"/>
          <w:szCs w:val="16"/>
          <w:color w:val="auto"/>
        </w:rPr>
        <w:t>AVP of Team Development (December 1999-September 2001)</w:t>
      </w:r>
    </w:p>
    <w:p>
      <w:pPr>
        <w:spacing w:after="0" w:line="5" w:lineRule="exact"/>
        <w:rPr>
          <w:rFonts w:ascii="Arial" w:cs="Arial" w:eastAsia="Arial" w:hAnsi="Arial"/>
          <w:sz w:val="16"/>
          <w:szCs w:val="16"/>
          <w:color w:val="003B71"/>
        </w:rPr>
      </w:pPr>
    </w:p>
    <w:p>
      <w:pPr>
        <w:ind w:left="280" w:hanging="113"/>
        <w:spacing w:after="0"/>
        <w:tabs>
          <w:tab w:leader="none" w:pos="280" w:val="left"/>
        </w:tabs>
        <w:numPr>
          <w:ilvl w:val="1"/>
          <w:numId w:val="89"/>
        </w:numPr>
        <w:rPr>
          <w:rFonts w:ascii="Arial" w:cs="Arial" w:eastAsia="Arial" w:hAnsi="Arial"/>
          <w:sz w:val="16"/>
          <w:szCs w:val="16"/>
          <w:color w:val="003B71"/>
        </w:rPr>
      </w:pPr>
      <w:r>
        <w:rPr>
          <w:rFonts w:ascii="Arial" w:cs="Arial" w:eastAsia="Arial" w:hAnsi="Arial"/>
          <w:sz w:val="16"/>
          <w:szCs w:val="16"/>
          <w:color w:val="auto"/>
        </w:rPr>
        <w:t>Various capacities with increasing responsibilities (1991-1999)</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 B.A. Advertising &amp; Marketing, Southern Methodist University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M.H.M. University of Houston</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John Mulleady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-112395</wp:posOffset>
            </wp:positionV>
            <wp:extent cx="7003415" cy="27603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03415" cy="276034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Dave &amp; Buster’s Since: 2012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Age: 59</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Food &amp; Beverage Experience: </w:t>
      </w:r>
      <w:r>
        <w:rPr>
          <w:rFonts w:ascii="Arial" w:cs="Arial" w:eastAsia="Arial" w:hAnsi="Arial"/>
          <w:sz w:val="16"/>
          <w:szCs w:val="16"/>
          <w:color w:val="auto"/>
        </w:rPr>
        <w:t>7 yrs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Entertainment Experience: </w:t>
      </w:r>
      <w:r>
        <w:rPr>
          <w:rFonts w:ascii="Arial" w:cs="Arial" w:eastAsia="Arial" w:hAnsi="Arial"/>
          <w:sz w:val="16"/>
          <w:szCs w:val="16"/>
          <w:color w:val="auto"/>
        </w:rPr>
        <w:t>7 yrs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Position:</w:t>
      </w:r>
    </w:p>
    <w:p>
      <w:pPr>
        <w:spacing w:after="0" w:line="16" w:lineRule="exact"/>
        <w:rPr>
          <w:sz w:val="20"/>
          <w:szCs w:val="20"/>
          <w:color w:val="auto"/>
        </w:rPr>
      </w:pPr>
    </w:p>
    <w:p>
      <w:pPr>
        <w:ind w:left="160" w:right="260" w:hanging="162"/>
        <w:spacing w:after="0" w:line="260" w:lineRule="auto"/>
        <w:rPr>
          <w:sz w:val="20"/>
          <w:szCs w:val="20"/>
          <w:color w:val="auto"/>
        </w:rPr>
      </w:pPr>
      <w:r>
        <w:rPr>
          <w:rFonts w:ascii="Arial" w:cs="Arial" w:eastAsia="Arial" w:hAnsi="Arial"/>
          <w:sz w:val="16"/>
          <w:szCs w:val="16"/>
          <w:color w:val="auto"/>
        </w:rPr>
        <w:t>– Senior Vice President of Real Estate and Development since April 2012.</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Business Experience:</w:t>
      </w:r>
    </w:p>
    <w:p>
      <w:pPr>
        <w:spacing w:after="0" w:line="16" w:lineRule="exact"/>
        <w:rPr>
          <w:sz w:val="20"/>
          <w:szCs w:val="20"/>
          <w:color w:val="auto"/>
        </w:rPr>
      </w:pPr>
    </w:p>
    <w:p>
      <w:pPr>
        <w:ind w:left="160" w:right="260" w:hanging="162"/>
        <w:spacing w:after="0" w:line="246"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BJ’s Wholesale Club</w:t>
      </w:r>
      <w:r>
        <w:rPr>
          <w:rFonts w:ascii="Arial" w:cs="Arial" w:eastAsia="Arial" w:hAnsi="Arial"/>
          <w:sz w:val="16"/>
          <w:szCs w:val="16"/>
          <w:color w:val="auto"/>
        </w:rPr>
        <w:t>, a leading operator of warehouse clubs in the eastern United States:</w:t>
      </w:r>
    </w:p>
    <w:p>
      <w:pPr>
        <w:ind w:left="280" w:hanging="113"/>
        <w:spacing w:after="0"/>
        <w:tabs>
          <w:tab w:leader="none" w:pos="280" w:val="left"/>
        </w:tabs>
        <w:numPr>
          <w:ilvl w:val="1"/>
          <w:numId w:val="92"/>
        </w:numPr>
        <w:rPr>
          <w:rFonts w:ascii="Arial" w:cs="Arial" w:eastAsia="Arial" w:hAnsi="Arial"/>
          <w:sz w:val="16"/>
          <w:szCs w:val="16"/>
          <w:color w:val="003B71"/>
        </w:rPr>
      </w:pPr>
      <w:r>
        <w:rPr>
          <w:rFonts w:ascii="Arial" w:cs="Arial" w:eastAsia="Arial" w:hAnsi="Arial"/>
          <w:sz w:val="16"/>
          <w:szCs w:val="16"/>
          <w:color w:val="auto"/>
        </w:rPr>
        <w:t>SVP, Director of Real Estate (2008-2012)</w:t>
      </w:r>
    </w:p>
    <w:p>
      <w:pPr>
        <w:spacing w:after="0" w:line="5" w:lineRule="exact"/>
        <w:rPr>
          <w:rFonts w:ascii="Arial" w:cs="Arial" w:eastAsia="Arial" w:hAnsi="Arial"/>
          <w:sz w:val="16"/>
          <w:szCs w:val="16"/>
          <w:color w:val="003B71"/>
        </w:rPr>
      </w:pPr>
    </w:p>
    <w:p>
      <w:pPr>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Circuit City Stores, Inc</w:t>
      </w:r>
      <w:r>
        <w:rPr>
          <w:rFonts w:ascii="Arial" w:cs="Arial" w:eastAsia="Arial" w:hAnsi="Arial"/>
          <w:sz w:val="16"/>
          <w:szCs w:val="16"/>
          <w:color w:val="auto"/>
        </w:rPr>
        <w:t>., a consumer electronics retailer:</w:t>
      </w:r>
    </w:p>
    <w:p>
      <w:pPr>
        <w:spacing w:after="0" w:line="5" w:lineRule="exact"/>
        <w:rPr>
          <w:rFonts w:ascii="Arial" w:cs="Arial" w:eastAsia="Arial" w:hAnsi="Arial"/>
          <w:sz w:val="16"/>
          <w:szCs w:val="16"/>
          <w:color w:val="003B71"/>
        </w:rPr>
      </w:pPr>
    </w:p>
    <w:p>
      <w:pPr>
        <w:ind w:left="280" w:hanging="113"/>
        <w:spacing w:after="0"/>
        <w:tabs>
          <w:tab w:leader="none" w:pos="280" w:val="left"/>
        </w:tabs>
        <w:numPr>
          <w:ilvl w:val="1"/>
          <w:numId w:val="92"/>
        </w:numPr>
        <w:rPr>
          <w:rFonts w:ascii="Arial" w:cs="Arial" w:eastAsia="Arial" w:hAnsi="Arial"/>
          <w:sz w:val="16"/>
          <w:szCs w:val="16"/>
          <w:color w:val="003B71"/>
        </w:rPr>
      </w:pPr>
      <w:r>
        <w:rPr>
          <w:rFonts w:ascii="Arial" w:cs="Arial" w:eastAsia="Arial" w:hAnsi="Arial"/>
          <w:sz w:val="16"/>
          <w:szCs w:val="16"/>
          <w:color w:val="auto"/>
        </w:rPr>
        <w:t>VP of Real Estate (2006-2008)</w:t>
      </w:r>
    </w:p>
    <w:p>
      <w:pPr>
        <w:spacing w:after="0" w:line="5" w:lineRule="exact"/>
        <w:rPr>
          <w:rFonts w:ascii="Arial" w:cs="Arial" w:eastAsia="Arial" w:hAnsi="Arial"/>
          <w:sz w:val="16"/>
          <w:szCs w:val="16"/>
          <w:color w:val="003B71"/>
        </w:rPr>
      </w:pPr>
    </w:p>
    <w:p>
      <w:pPr>
        <w:spacing w:after="0"/>
        <w:rPr>
          <w:rFonts w:ascii="Arial" w:cs="Arial" w:eastAsia="Arial" w:hAnsi="Arial"/>
          <w:sz w:val="16"/>
          <w:szCs w:val="16"/>
          <w:color w:val="003B71"/>
        </w:rPr>
      </w:pPr>
      <w:r>
        <w:rPr>
          <w:rFonts w:ascii="Arial" w:cs="Arial" w:eastAsia="Arial" w:hAnsi="Arial"/>
          <w:sz w:val="16"/>
          <w:szCs w:val="16"/>
          <w:i w:val="1"/>
          <w:iCs w:val="1"/>
          <w:color w:val="auto"/>
        </w:rPr>
        <w:t>– The Home Depot, Inc.:</w:t>
      </w:r>
    </w:p>
    <w:p>
      <w:pPr>
        <w:spacing w:after="0" w:line="5" w:lineRule="exact"/>
        <w:rPr>
          <w:rFonts w:ascii="Arial" w:cs="Arial" w:eastAsia="Arial" w:hAnsi="Arial"/>
          <w:sz w:val="16"/>
          <w:szCs w:val="16"/>
          <w:color w:val="003B71"/>
        </w:rPr>
      </w:pPr>
    </w:p>
    <w:p>
      <w:pPr>
        <w:ind w:left="280" w:hanging="113"/>
        <w:spacing w:after="0"/>
        <w:tabs>
          <w:tab w:leader="none" w:pos="280" w:val="left"/>
        </w:tabs>
        <w:numPr>
          <w:ilvl w:val="1"/>
          <w:numId w:val="92"/>
        </w:numPr>
        <w:rPr>
          <w:rFonts w:ascii="Arial" w:cs="Arial" w:eastAsia="Arial" w:hAnsi="Arial"/>
          <w:sz w:val="16"/>
          <w:szCs w:val="16"/>
          <w:color w:val="003B71"/>
        </w:rPr>
      </w:pPr>
      <w:r>
        <w:rPr>
          <w:rFonts w:ascii="Arial" w:cs="Arial" w:eastAsia="Arial" w:hAnsi="Arial"/>
          <w:sz w:val="16"/>
          <w:szCs w:val="16"/>
          <w:color w:val="auto"/>
        </w:rPr>
        <w:t>Director of Construction (1999-2006)</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16" w:lineRule="exact"/>
        <w:rPr>
          <w:sz w:val="20"/>
          <w:szCs w:val="20"/>
          <w:color w:val="auto"/>
        </w:rPr>
      </w:pPr>
    </w:p>
    <w:p>
      <w:pPr>
        <w:ind w:left="160" w:right="260" w:hanging="162"/>
        <w:spacing w:after="0" w:line="246" w:lineRule="auto"/>
        <w:rPr>
          <w:sz w:val="20"/>
          <w:szCs w:val="20"/>
          <w:color w:val="auto"/>
        </w:rPr>
      </w:pPr>
      <w:r>
        <w:rPr>
          <w:rFonts w:ascii="Arial" w:cs="Arial" w:eastAsia="Arial" w:hAnsi="Arial"/>
          <w:sz w:val="16"/>
          <w:szCs w:val="16"/>
          <w:color w:val="auto"/>
        </w:rPr>
        <w:t>– B.S. Civil Engineering and B.S. Management Engineering, University of the Pacific</w:t>
      </w:r>
    </w:p>
    <w:p>
      <w:pPr>
        <w:spacing w:after="0"/>
        <w:rPr>
          <w:sz w:val="20"/>
          <w:szCs w:val="20"/>
          <w:color w:val="auto"/>
        </w:rPr>
      </w:pPr>
      <w:r>
        <w:rPr>
          <w:rFonts w:ascii="Arial" w:cs="Arial" w:eastAsia="Arial" w:hAnsi="Arial"/>
          <w:sz w:val="16"/>
          <w:szCs w:val="16"/>
          <w:color w:val="auto"/>
        </w:rPr>
        <w:t>– M.S. Construction Management, University of California, Berkeley</w:t>
      </w:r>
    </w:p>
    <w:p>
      <w:pPr>
        <w:spacing w:after="0" w:line="169" w:lineRule="exact"/>
        <w:rPr>
          <w:sz w:val="20"/>
          <w:szCs w:val="20"/>
          <w:color w:val="auto"/>
        </w:rPr>
      </w:pPr>
    </w:p>
    <w:p>
      <w:pPr>
        <w:sectPr>
          <w:pgSz w:w="11900" w:h="16838" w:orient="portrait"/>
          <w:cols w:equalWidth="0" w:num="2">
            <w:col w:w="5400" w:space="300"/>
            <w:col w:w="5440"/>
          </w:cols>
          <w:pgMar w:left="320" w:top="459" w:right="439" w:bottom="1440" w:gutter="0" w:footer="0" w:header="0"/>
        </w:sect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31</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39"/>
          <w:szCs w:val="39"/>
          <w:color w:val="003B71"/>
        </w:rPr>
        <w:t>EXECUTIVE COMPENSATION</w:t>
      </w:r>
    </w:p>
    <w:p>
      <w:pPr>
        <w:sectPr>
          <w:pgSz w:w="11900" w:h="16838" w:orient="portrait"/>
          <w:cols w:equalWidth="0" w:num="1">
            <w:col w:w="11140"/>
          </w:cols>
          <w:pgMar w:left="320" w:top="459" w:right="439" w:bottom="1440" w:gutter="0" w:footer="0" w:header="0"/>
        </w:sect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25400</wp:posOffset>
            </wp:positionV>
            <wp:extent cx="44488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7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Compensation Committee of our Board of Directors is responsible for establishing our compensation philosophy and ensuring each element of our compensation program encourages high levels of performance among the executive officers and positions the Company for growth. The Compensation Committee ensures our compensation program is fair, competitive, and closely aligns the interests of our executive officers with both the Company’s short- and long-term business objectives and the interests of our shareholders. Through a strategic combination of base pay, cash-based short-term incentive plans, and a cash- and equity-based long-term incentive plan, our Compensation Committee strives to reward executive officers for meeting certain strategic objectives and increasing shareholder value.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-101600</wp:posOffset>
            </wp:positionV>
            <wp:extent cx="2392045" cy="15170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392045" cy="15170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Quick Navigation</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00" w:type="dxa"/>
            <w:vAlign w:val="bottom"/>
            <w:gridSpan w:val="5"/>
          </w:tcPr>
          <w:p>
            <w:pPr>
              <w:spacing w:after="0"/>
              <w:rPr>
                <w:rFonts w:ascii="Arial" w:cs="Arial" w:eastAsia="Arial" w:hAnsi="Arial"/>
                <w:sz w:val="14"/>
                <w:szCs w:val="14"/>
                <w:color w:val="003B71"/>
              </w:rPr>
            </w:pPr>
            <w:r>
              <w:rPr>
                <w:rFonts w:ascii="Arial" w:cs="Arial" w:eastAsia="Arial" w:hAnsi="Arial"/>
                <w:sz w:val="14"/>
                <w:szCs w:val="14"/>
                <w:color w:val="003B71"/>
              </w:rPr>
              <w:t xml:space="preserve">• </w:t>
            </w:r>
            <w:hyperlink w:anchor="page39">
              <w:r>
                <w:rPr>
                  <w:rFonts w:ascii="Arial" w:cs="Arial" w:eastAsia="Arial" w:hAnsi="Arial"/>
                  <w:sz w:val="14"/>
                  <w:szCs w:val="14"/>
                  <w:u w:val="single" w:color="auto"/>
                  <w:color w:val="0000EE"/>
                </w:rPr>
                <w:t>Compensation Discussion and Analysis</w:t>
              </w:r>
            </w:hyperlink>
          </w:p>
        </w:tc>
        <w:tc>
          <w:tcPr>
            <w:tcW w:w="520" w:type="dxa"/>
            <w:vAlign w:val="bottom"/>
          </w:tcPr>
          <w:p>
            <w:pPr>
              <w:ind w:left="200"/>
              <w:spacing w:after="0"/>
              <w:rPr>
                <w:sz w:val="20"/>
                <w:szCs w:val="20"/>
                <w:color w:val="auto"/>
              </w:rPr>
            </w:pPr>
            <w:r>
              <w:rPr>
                <w:rFonts w:ascii="Arial" w:cs="Arial" w:eastAsia="Arial" w:hAnsi="Arial"/>
                <w:sz w:val="14"/>
                <w:szCs w:val="14"/>
                <w:color w:val="auto"/>
                <w:w w:val="91"/>
              </w:rPr>
              <w:t>P. 32</w:t>
            </w:r>
          </w:p>
        </w:tc>
        <w:tc>
          <w:tcPr>
            <w:tcW w:w="0" w:type="dxa"/>
            <w:vAlign w:val="bottom"/>
          </w:tcPr>
          <w:p>
            <w:pPr>
              <w:spacing w:after="0"/>
              <w:rPr>
                <w:sz w:val="1"/>
                <w:szCs w:val="1"/>
                <w:color w:val="auto"/>
              </w:rPr>
            </w:pPr>
          </w:p>
        </w:tc>
      </w:tr>
      <w:tr>
        <w:trPr>
          <w:trHeight w:val="229"/>
        </w:trPr>
        <w:tc>
          <w:tcPr>
            <w:tcW w:w="2900" w:type="dxa"/>
            <w:vAlign w:val="bottom"/>
            <w:gridSpan w:val="5"/>
          </w:tcPr>
          <w:p>
            <w:pPr>
              <w:spacing w:after="0"/>
              <w:rPr>
                <w:rFonts w:ascii="Arial" w:cs="Arial" w:eastAsia="Arial" w:hAnsi="Arial"/>
                <w:sz w:val="14"/>
                <w:szCs w:val="14"/>
                <w:color w:val="003B71"/>
              </w:rPr>
            </w:pPr>
            <w:r>
              <w:rPr>
                <w:rFonts w:ascii="Arial" w:cs="Arial" w:eastAsia="Arial" w:hAnsi="Arial"/>
                <w:sz w:val="14"/>
                <w:szCs w:val="14"/>
                <w:color w:val="003B71"/>
              </w:rPr>
              <w:t xml:space="preserve">• </w:t>
            </w:r>
            <w:hyperlink w:anchor="page40">
              <w:r>
                <w:rPr>
                  <w:rFonts w:ascii="Arial" w:cs="Arial" w:eastAsia="Arial" w:hAnsi="Arial"/>
                  <w:sz w:val="14"/>
                  <w:szCs w:val="14"/>
                  <w:u w:val="single" w:color="auto"/>
                  <w:color w:val="0000EE"/>
                </w:rPr>
                <w:t>Compensation Practices</w:t>
              </w:r>
            </w:hyperlink>
          </w:p>
        </w:tc>
        <w:tc>
          <w:tcPr>
            <w:tcW w:w="520" w:type="dxa"/>
            <w:vAlign w:val="bottom"/>
          </w:tcPr>
          <w:p>
            <w:pPr>
              <w:ind w:left="200"/>
              <w:spacing w:after="0"/>
              <w:rPr>
                <w:sz w:val="20"/>
                <w:szCs w:val="20"/>
                <w:color w:val="auto"/>
              </w:rPr>
            </w:pPr>
            <w:r>
              <w:rPr>
                <w:rFonts w:ascii="Arial" w:cs="Arial" w:eastAsia="Arial" w:hAnsi="Arial"/>
                <w:sz w:val="14"/>
                <w:szCs w:val="14"/>
                <w:color w:val="auto"/>
                <w:w w:val="91"/>
              </w:rPr>
              <w:t>P. 33</w:t>
            </w:r>
          </w:p>
        </w:tc>
        <w:tc>
          <w:tcPr>
            <w:tcW w:w="0" w:type="dxa"/>
            <w:vAlign w:val="bottom"/>
          </w:tcPr>
          <w:p>
            <w:pPr>
              <w:spacing w:after="0"/>
              <w:rPr>
                <w:sz w:val="1"/>
                <w:szCs w:val="1"/>
                <w:color w:val="auto"/>
              </w:rPr>
            </w:pPr>
          </w:p>
        </w:tc>
      </w:tr>
      <w:tr>
        <w:trPr>
          <w:trHeight w:val="230"/>
        </w:trPr>
        <w:tc>
          <w:tcPr>
            <w:tcW w:w="2900" w:type="dxa"/>
            <w:vAlign w:val="bottom"/>
            <w:gridSpan w:val="5"/>
          </w:tcPr>
          <w:p>
            <w:pPr>
              <w:spacing w:after="0"/>
              <w:rPr>
                <w:rFonts w:ascii="Arial" w:cs="Arial" w:eastAsia="Arial" w:hAnsi="Arial"/>
                <w:sz w:val="14"/>
                <w:szCs w:val="14"/>
                <w:color w:val="003B71"/>
              </w:rPr>
            </w:pPr>
            <w:r>
              <w:rPr>
                <w:rFonts w:ascii="Arial" w:cs="Arial" w:eastAsia="Arial" w:hAnsi="Arial"/>
                <w:sz w:val="14"/>
                <w:szCs w:val="14"/>
                <w:color w:val="003B71"/>
              </w:rPr>
              <w:t xml:space="preserve">• </w:t>
            </w:r>
            <w:hyperlink w:anchor="page43">
              <w:r>
                <w:rPr>
                  <w:rFonts w:ascii="Arial" w:cs="Arial" w:eastAsia="Arial" w:hAnsi="Arial"/>
                  <w:sz w:val="14"/>
                  <w:szCs w:val="14"/>
                  <w:u w:val="single" w:color="auto"/>
                  <w:color w:val="0000EE"/>
                </w:rPr>
                <w:t>Elements of Compensation</w:t>
              </w:r>
            </w:hyperlink>
          </w:p>
        </w:tc>
        <w:tc>
          <w:tcPr>
            <w:tcW w:w="520" w:type="dxa"/>
            <w:vAlign w:val="bottom"/>
          </w:tcPr>
          <w:p>
            <w:pPr>
              <w:ind w:left="200"/>
              <w:spacing w:after="0"/>
              <w:rPr>
                <w:sz w:val="20"/>
                <w:szCs w:val="20"/>
                <w:color w:val="auto"/>
              </w:rPr>
            </w:pPr>
            <w:r>
              <w:rPr>
                <w:rFonts w:ascii="Arial" w:cs="Arial" w:eastAsia="Arial" w:hAnsi="Arial"/>
                <w:sz w:val="14"/>
                <w:szCs w:val="14"/>
                <w:color w:val="auto"/>
                <w:w w:val="91"/>
              </w:rPr>
              <w:t>P. 36</w:t>
            </w:r>
          </w:p>
        </w:tc>
        <w:tc>
          <w:tcPr>
            <w:tcW w:w="0" w:type="dxa"/>
            <w:vAlign w:val="bottom"/>
          </w:tcPr>
          <w:p>
            <w:pPr>
              <w:spacing w:after="0"/>
              <w:rPr>
                <w:sz w:val="1"/>
                <w:szCs w:val="1"/>
                <w:color w:val="auto"/>
              </w:rPr>
            </w:pPr>
          </w:p>
        </w:tc>
      </w:tr>
      <w:tr>
        <w:trPr>
          <w:trHeight w:val="216"/>
        </w:trPr>
        <w:tc>
          <w:tcPr>
            <w:tcW w:w="2900" w:type="dxa"/>
            <w:vAlign w:val="bottom"/>
            <w:gridSpan w:val="5"/>
          </w:tcPr>
          <w:p>
            <w:pPr>
              <w:spacing w:after="0"/>
              <w:rPr>
                <w:rFonts w:ascii="Arial" w:cs="Arial" w:eastAsia="Arial" w:hAnsi="Arial"/>
                <w:sz w:val="14"/>
                <w:szCs w:val="14"/>
                <w:color w:val="003B71"/>
              </w:rPr>
            </w:pPr>
            <w:r>
              <w:rPr>
                <w:rFonts w:ascii="Arial" w:cs="Arial" w:eastAsia="Arial" w:hAnsi="Arial"/>
                <w:sz w:val="14"/>
                <w:szCs w:val="14"/>
                <w:color w:val="003B71"/>
              </w:rPr>
              <w:t xml:space="preserve">• </w:t>
            </w:r>
            <w:hyperlink w:anchor="page49">
              <w:r>
                <w:rPr>
                  <w:rFonts w:ascii="Arial" w:cs="Arial" w:eastAsia="Arial" w:hAnsi="Arial"/>
                  <w:sz w:val="14"/>
                  <w:szCs w:val="14"/>
                  <w:u w:val="single" w:color="auto"/>
                  <w:color w:val="0000EE"/>
                </w:rPr>
                <w:t>Stock Ownership Guidelines</w:t>
              </w:r>
            </w:hyperlink>
          </w:p>
        </w:tc>
        <w:tc>
          <w:tcPr>
            <w:tcW w:w="520" w:type="dxa"/>
            <w:vAlign w:val="bottom"/>
          </w:tcPr>
          <w:p>
            <w:pPr>
              <w:ind w:left="200"/>
              <w:spacing w:after="0"/>
              <w:rPr>
                <w:sz w:val="20"/>
                <w:szCs w:val="20"/>
                <w:color w:val="auto"/>
              </w:rPr>
            </w:pPr>
            <w:r>
              <w:rPr>
                <w:rFonts w:ascii="Arial" w:cs="Arial" w:eastAsia="Arial" w:hAnsi="Arial"/>
                <w:sz w:val="14"/>
                <w:szCs w:val="14"/>
                <w:color w:val="auto"/>
                <w:w w:val="91"/>
              </w:rPr>
              <w:t>P. 42</w:t>
            </w:r>
          </w:p>
        </w:tc>
        <w:tc>
          <w:tcPr>
            <w:tcW w:w="0" w:type="dxa"/>
            <w:vAlign w:val="bottom"/>
          </w:tcPr>
          <w:p>
            <w:pPr>
              <w:spacing w:after="0"/>
              <w:rPr>
                <w:sz w:val="1"/>
                <w:szCs w:val="1"/>
                <w:color w:val="auto"/>
              </w:rPr>
            </w:pPr>
          </w:p>
        </w:tc>
      </w:tr>
      <w:tr>
        <w:trPr>
          <w:trHeight w:val="229"/>
        </w:trPr>
        <w:tc>
          <w:tcPr>
            <w:tcW w:w="2900" w:type="dxa"/>
            <w:vAlign w:val="bottom"/>
            <w:gridSpan w:val="5"/>
          </w:tcPr>
          <w:p>
            <w:pPr>
              <w:spacing w:after="0"/>
              <w:rPr>
                <w:rFonts w:ascii="Arial" w:cs="Arial" w:eastAsia="Arial" w:hAnsi="Arial"/>
                <w:sz w:val="14"/>
                <w:szCs w:val="14"/>
                <w:color w:val="003B71"/>
              </w:rPr>
            </w:pPr>
            <w:r>
              <w:rPr>
                <w:rFonts w:ascii="Arial" w:cs="Arial" w:eastAsia="Arial" w:hAnsi="Arial"/>
                <w:sz w:val="14"/>
                <w:szCs w:val="14"/>
                <w:color w:val="003B71"/>
              </w:rPr>
              <w:t xml:space="preserve">• </w:t>
            </w:r>
            <w:hyperlink w:anchor="page50">
              <w:r>
                <w:rPr>
                  <w:rFonts w:ascii="Arial" w:cs="Arial" w:eastAsia="Arial" w:hAnsi="Arial"/>
                  <w:sz w:val="14"/>
                  <w:szCs w:val="14"/>
                  <w:u w:val="single" w:color="auto"/>
                  <w:color w:val="0000EE"/>
                </w:rPr>
                <w:t>COVID-19 Pandemic Action Plan</w:t>
              </w:r>
            </w:hyperlink>
          </w:p>
        </w:tc>
        <w:tc>
          <w:tcPr>
            <w:tcW w:w="520" w:type="dxa"/>
            <w:vAlign w:val="bottom"/>
          </w:tcPr>
          <w:p>
            <w:pPr>
              <w:ind w:left="200"/>
              <w:spacing w:after="0"/>
              <w:rPr>
                <w:sz w:val="20"/>
                <w:szCs w:val="20"/>
                <w:color w:val="auto"/>
              </w:rPr>
            </w:pPr>
            <w:r>
              <w:rPr>
                <w:rFonts w:ascii="Arial" w:cs="Arial" w:eastAsia="Arial" w:hAnsi="Arial"/>
                <w:sz w:val="14"/>
                <w:szCs w:val="14"/>
                <w:color w:val="auto"/>
                <w:w w:val="91"/>
              </w:rPr>
              <w:t>P. 43</w:t>
            </w:r>
          </w:p>
        </w:tc>
        <w:tc>
          <w:tcPr>
            <w:tcW w:w="0" w:type="dxa"/>
            <w:vAlign w:val="bottom"/>
          </w:tcPr>
          <w:p>
            <w:pPr>
              <w:spacing w:after="0"/>
              <w:rPr>
                <w:sz w:val="1"/>
                <w:szCs w:val="1"/>
                <w:color w:val="auto"/>
              </w:rPr>
            </w:pPr>
          </w:p>
        </w:tc>
      </w:tr>
      <w:tr>
        <w:trPr>
          <w:trHeight w:val="230"/>
        </w:trPr>
        <w:tc>
          <w:tcPr>
            <w:tcW w:w="2900" w:type="dxa"/>
            <w:vAlign w:val="bottom"/>
            <w:gridSpan w:val="5"/>
          </w:tcPr>
          <w:p>
            <w:pPr>
              <w:spacing w:after="0"/>
              <w:rPr>
                <w:rFonts w:ascii="Arial" w:cs="Arial" w:eastAsia="Arial" w:hAnsi="Arial"/>
                <w:sz w:val="14"/>
                <w:szCs w:val="14"/>
                <w:color w:val="003B71"/>
              </w:rPr>
            </w:pPr>
            <w:r>
              <w:rPr>
                <w:rFonts w:ascii="Arial" w:cs="Arial" w:eastAsia="Arial" w:hAnsi="Arial"/>
                <w:sz w:val="14"/>
                <w:szCs w:val="14"/>
                <w:color w:val="003B71"/>
              </w:rPr>
              <w:t xml:space="preserve">• </w:t>
            </w:r>
            <w:hyperlink w:anchor="page52">
              <w:r>
                <w:rPr>
                  <w:rFonts w:ascii="Arial" w:cs="Arial" w:eastAsia="Arial" w:hAnsi="Arial"/>
                  <w:sz w:val="14"/>
                  <w:szCs w:val="14"/>
                  <w:u w:val="single" w:color="auto"/>
                  <w:color w:val="0000EE"/>
                </w:rPr>
                <w:t>2019 Summary Compensation Table</w:t>
              </w:r>
            </w:hyperlink>
          </w:p>
        </w:tc>
        <w:tc>
          <w:tcPr>
            <w:tcW w:w="520" w:type="dxa"/>
            <w:vAlign w:val="bottom"/>
          </w:tcPr>
          <w:p>
            <w:pPr>
              <w:ind w:left="200"/>
              <w:spacing w:after="0"/>
              <w:rPr>
                <w:sz w:val="20"/>
                <w:szCs w:val="20"/>
                <w:color w:val="auto"/>
              </w:rPr>
            </w:pPr>
            <w:r>
              <w:rPr>
                <w:rFonts w:ascii="Arial" w:cs="Arial" w:eastAsia="Arial" w:hAnsi="Arial"/>
                <w:sz w:val="14"/>
                <w:szCs w:val="14"/>
                <w:color w:val="auto"/>
                <w:w w:val="91"/>
              </w:rPr>
              <w:t>P. 45</w:t>
            </w:r>
          </w:p>
        </w:tc>
        <w:tc>
          <w:tcPr>
            <w:tcW w:w="0" w:type="dxa"/>
            <w:vAlign w:val="bottom"/>
          </w:tcPr>
          <w:p>
            <w:pPr>
              <w:spacing w:after="0"/>
              <w:rPr>
                <w:sz w:val="1"/>
                <w:szCs w:val="1"/>
                <w:color w:val="auto"/>
              </w:rPr>
            </w:pPr>
          </w:p>
        </w:tc>
      </w:tr>
      <w:tr>
        <w:trPr>
          <w:trHeight w:val="216"/>
        </w:trPr>
        <w:tc>
          <w:tcPr>
            <w:tcW w:w="2900" w:type="dxa"/>
            <w:vAlign w:val="bottom"/>
            <w:gridSpan w:val="5"/>
          </w:tcPr>
          <w:p>
            <w:pPr>
              <w:spacing w:after="0"/>
              <w:rPr>
                <w:rFonts w:ascii="Arial" w:cs="Arial" w:eastAsia="Arial" w:hAnsi="Arial"/>
                <w:sz w:val="14"/>
                <w:szCs w:val="14"/>
                <w:color w:val="003B71"/>
              </w:rPr>
            </w:pPr>
            <w:r>
              <w:rPr>
                <w:rFonts w:ascii="Arial" w:cs="Arial" w:eastAsia="Arial" w:hAnsi="Arial"/>
                <w:sz w:val="14"/>
                <w:szCs w:val="14"/>
                <w:color w:val="003B71"/>
              </w:rPr>
              <w:t xml:space="preserve">• </w:t>
            </w:r>
            <w:hyperlink w:anchor="page58">
              <w:r>
                <w:rPr>
                  <w:rFonts w:ascii="Arial" w:cs="Arial" w:eastAsia="Arial" w:hAnsi="Arial"/>
                  <w:sz w:val="14"/>
                  <w:szCs w:val="14"/>
                  <w:u w:val="single" w:color="auto"/>
                  <w:color w:val="0000EE"/>
                </w:rPr>
                <w:t>Employment Agreements</w:t>
              </w:r>
            </w:hyperlink>
          </w:p>
        </w:tc>
        <w:tc>
          <w:tcPr>
            <w:tcW w:w="520" w:type="dxa"/>
            <w:vAlign w:val="bottom"/>
          </w:tcPr>
          <w:p>
            <w:pPr>
              <w:ind w:left="200"/>
              <w:spacing w:after="0"/>
              <w:rPr>
                <w:sz w:val="20"/>
                <w:szCs w:val="20"/>
                <w:color w:val="auto"/>
              </w:rPr>
            </w:pPr>
            <w:r>
              <w:rPr>
                <w:rFonts w:ascii="Arial" w:cs="Arial" w:eastAsia="Arial" w:hAnsi="Arial"/>
                <w:sz w:val="14"/>
                <w:szCs w:val="14"/>
                <w:color w:val="auto"/>
                <w:w w:val="91"/>
              </w:rPr>
              <w:t>P. 51</w:t>
            </w:r>
          </w:p>
        </w:tc>
        <w:tc>
          <w:tcPr>
            <w:tcW w:w="0" w:type="dxa"/>
            <w:vAlign w:val="bottom"/>
          </w:tcPr>
          <w:p>
            <w:pPr>
              <w:spacing w:after="0"/>
              <w:rPr>
                <w:sz w:val="1"/>
                <w:szCs w:val="1"/>
                <w:color w:val="auto"/>
              </w:rPr>
            </w:pPr>
          </w:p>
        </w:tc>
      </w:tr>
      <w:tr>
        <w:trPr>
          <w:trHeight w:val="269"/>
        </w:trPr>
        <w:tc>
          <w:tcPr>
            <w:tcW w:w="2900" w:type="dxa"/>
            <w:vAlign w:val="bottom"/>
            <w:gridSpan w:val="5"/>
          </w:tcPr>
          <w:p>
            <w:pPr>
              <w:spacing w:after="0"/>
              <w:rPr>
                <w:rFonts w:ascii="Arial" w:cs="Arial" w:eastAsia="Arial" w:hAnsi="Arial"/>
                <w:sz w:val="14"/>
                <w:szCs w:val="14"/>
                <w:color w:val="003B71"/>
              </w:rPr>
            </w:pPr>
            <w:r>
              <w:rPr>
                <w:rFonts w:ascii="Arial" w:cs="Arial" w:eastAsia="Arial" w:hAnsi="Arial"/>
                <w:sz w:val="14"/>
                <w:szCs w:val="14"/>
                <w:color w:val="003B71"/>
              </w:rPr>
              <w:t xml:space="preserve">• </w:t>
            </w:r>
            <w:hyperlink w:anchor="page59">
              <w:r>
                <w:rPr>
                  <w:rFonts w:ascii="Arial" w:cs="Arial" w:eastAsia="Arial" w:hAnsi="Arial"/>
                  <w:sz w:val="14"/>
                  <w:szCs w:val="14"/>
                  <w:color w:val="0000EE"/>
                </w:rPr>
                <w:t>Potential Payments Upon Termination or</w:t>
              </w:r>
            </w:hyperlink>
          </w:p>
        </w:tc>
        <w:tc>
          <w:tcPr>
            <w:tcW w:w="520" w:type="dxa"/>
            <w:vAlign w:val="bottom"/>
            <w:vMerge w:val="restart"/>
          </w:tcPr>
          <w:p>
            <w:pPr>
              <w:ind w:left="200"/>
              <w:spacing w:after="0"/>
              <w:rPr>
                <w:sz w:val="20"/>
                <w:szCs w:val="20"/>
                <w:color w:val="auto"/>
              </w:rPr>
            </w:pPr>
            <w:r>
              <w:rPr>
                <w:rFonts w:ascii="Arial" w:cs="Arial" w:eastAsia="Arial" w:hAnsi="Arial"/>
                <w:sz w:val="14"/>
                <w:szCs w:val="14"/>
                <w:color w:val="auto"/>
                <w:w w:val="91"/>
              </w:rPr>
              <w:t>P. 52</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160" w:type="dxa"/>
            <w:vAlign w:val="bottom"/>
            <w:tcBorders>
              <w:top w:val="single" w:sz="8" w:color="0000EE"/>
              <w:bottom w:val="single" w:sz="8" w:color="0000EE"/>
            </w:tcBorders>
          </w:tcPr>
          <w:p>
            <w:pPr>
              <w:spacing w:after="0" w:line="142" w:lineRule="exact"/>
              <w:rPr>
                <w:rFonts w:ascii="Arial" w:cs="Arial" w:eastAsia="Arial" w:hAnsi="Arial"/>
                <w:sz w:val="14"/>
                <w:szCs w:val="14"/>
                <w:color w:val="0000EE"/>
              </w:rPr>
            </w:pPr>
            <w:hyperlink w:anchor="page59">
              <w:r>
                <w:rPr>
                  <w:rFonts w:ascii="Arial" w:cs="Arial" w:eastAsia="Arial" w:hAnsi="Arial"/>
                  <w:sz w:val="14"/>
                  <w:szCs w:val="14"/>
                  <w:color w:val="0000EE"/>
                </w:rPr>
                <w:t>Change in Control</w:t>
              </w:r>
            </w:hyperlink>
          </w:p>
        </w:tc>
        <w:tc>
          <w:tcPr>
            <w:tcW w:w="1380" w:type="dxa"/>
            <w:vAlign w:val="bottom"/>
            <w:tcBorders>
              <w:top w:val="single" w:sz="8" w:color="0000EE"/>
            </w:tcBorders>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ectPr>
          <w:pgSz w:w="11900" w:h="16838" w:orient="portrait"/>
          <w:cols w:equalWidth="0" w:num="2">
            <w:col w:w="7120" w:space="480"/>
            <w:col w:w="3540"/>
          </w:cols>
          <w:pgMar w:left="320" w:top="459" w:right="439" w:bottom="1440" w:gutter="0" w:footer="0" w:header="0"/>
          <w:type w:val="continuous"/>
        </w:sectPr>
      </w:pPr>
    </w:p>
    <w:p>
      <w:pPr>
        <w:spacing w:after="0" w:line="19"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This section describes our compensation program for our named executive officers (“NEOs”) for fiscal 2019. The discussion focuses on our compensation programs and compensation-related decisions for fiscal 2019 and addresses why we believe our compensation program supports our business strategy and operational plans. For fiscal 2019, our NEOs are:</w:t>
      </w:r>
    </w:p>
    <w:p>
      <w:pPr>
        <w:spacing w:after="0" w:line="208" w:lineRule="exact"/>
        <w:rPr>
          <w:sz w:val="20"/>
          <w:szCs w:val="20"/>
          <w:color w:val="auto"/>
        </w:rPr>
      </w:pPr>
    </w:p>
    <w:p>
      <w:pPr>
        <w:ind w:left="540" w:hanging="316"/>
        <w:spacing w:after="0"/>
        <w:tabs>
          <w:tab w:leader="none" w:pos="540" w:val="left"/>
        </w:tabs>
        <w:numPr>
          <w:ilvl w:val="0"/>
          <w:numId w:val="94"/>
        </w:numPr>
        <w:rPr>
          <w:rFonts w:ascii="Arial" w:cs="Arial" w:eastAsia="Arial" w:hAnsi="Arial"/>
          <w:sz w:val="18"/>
          <w:szCs w:val="18"/>
          <w:b w:val="1"/>
          <w:bCs w:val="1"/>
          <w:color w:val="003B71"/>
        </w:rPr>
      </w:pPr>
      <w:r>
        <w:rPr>
          <w:rFonts w:ascii="Arial" w:cs="Arial" w:eastAsia="Arial" w:hAnsi="Arial"/>
          <w:sz w:val="18"/>
          <w:szCs w:val="18"/>
          <w:b w:val="1"/>
          <w:bCs w:val="1"/>
          <w:color w:val="auto"/>
        </w:rPr>
        <w:t xml:space="preserve">Brian A. Jenkins – </w:t>
      </w:r>
      <w:r>
        <w:rPr>
          <w:rFonts w:ascii="Arial" w:cs="Arial" w:eastAsia="Arial" w:hAnsi="Arial"/>
          <w:sz w:val="18"/>
          <w:szCs w:val="18"/>
          <w:b w:val="1"/>
          <w:bCs w:val="1"/>
          <w:i w:val="1"/>
          <w:iCs w:val="1"/>
          <w:color w:val="auto"/>
        </w:rPr>
        <w:t>Chief Executive Officer</w:t>
      </w:r>
    </w:p>
    <w:p>
      <w:pPr>
        <w:spacing w:after="0" w:line="17" w:lineRule="exact"/>
        <w:rPr>
          <w:rFonts w:ascii="Arial" w:cs="Arial" w:eastAsia="Arial" w:hAnsi="Arial"/>
          <w:sz w:val="18"/>
          <w:szCs w:val="18"/>
          <w:b w:val="1"/>
          <w:bCs w:val="1"/>
          <w:color w:val="003B71"/>
        </w:rPr>
      </w:pPr>
    </w:p>
    <w:p>
      <w:pPr>
        <w:ind w:left="540" w:hanging="316"/>
        <w:spacing w:after="0" w:line="234" w:lineRule="auto"/>
        <w:tabs>
          <w:tab w:leader="none" w:pos="540" w:val="left"/>
        </w:tabs>
        <w:numPr>
          <w:ilvl w:val="0"/>
          <w:numId w:val="94"/>
        </w:numPr>
        <w:rPr>
          <w:rFonts w:ascii="Arial" w:cs="Arial" w:eastAsia="Arial" w:hAnsi="Arial"/>
          <w:sz w:val="18"/>
          <w:szCs w:val="18"/>
          <w:b w:val="1"/>
          <w:bCs w:val="1"/>
          <w:color w:val="003B71"/>
        </w:rPr>
      </w:pPr>
      <w:r>
        <w:rPr>
          <w:rFonts w:ascii="Arial" w:cs="Arial" w:eastAsia="Arial" w:hAnsi="Arial"/>
          <w:sz w:val="18"/>
          <w:szCs w:val="18"/>
          <w:b w:val="1"/>
          <w:bCs w:val="1"/>
          <w:color w:val="auto"/>
        </w:rPr>
        <w:t xml:space="preserve">Scott Bowman – </w:t>
      </w:r>
      <w:r>
        <w:rPr>
          <w:rFonts w:ascii="Arial" w:cs="Arial" w:eastAsia="Arial" w:hAnsi="Arial"/>
          <w:sz w:val="18"/>
          <w:szCs w:val="18"/>
          <w:b w:val="1"/>
          <w:bCs w:val="1"/>
          <w:i w:val="1"/>
          <w:iCs w:val="1"/>
          <w:color w:val="auto"/>
        </w:rPr>
        <w:t>Chief Financial Officer (1)</w:t>
      </w:r>
    </w:p>
    <w:p>
      <w:pPr>
        <w:ind w:left="540" w:hanging="316"/>
        <w:spacing w:after="0" w:line="234" w:lineRule="auto"/>
        <w:tabs>
          <w:tab w:leader="none" w:pos="540" w:val="left"/>
        </w:tabs>
        <w:numPr>
          <w:ilvl w:val="0"/>
          <w:numId w:val="94"/>
        </w:numPr>
        <w:rPr>
          <w:rFonts w:ascii="Arial" w:cs="Arial" w:eastAsia="Arial" w:hAnsi="Arial"/>
          <w:sz w:val="18"/>
          <w:szCs w:val="18"/>
          <w:b w:val="1"/>
          <w:bCs w:val="1"/>
          <w:color w:val="003B71"/>
        </w:rPr>
      </w:pPr>
      <w:r>
        <w:rPr>
          <w:rFonts w:ascii="Arial" w:cs="Arial" w:eastAsia="Arial" w:hAnsi="Arial"/>
          <w:sz w:val="18"/>
          <w:szCs w:val="18"/>
          <w:b w:val="1"/>
          <w:bCs w:val="1"/>
          <w:color w:val="auto"/>
        </w:rPr>
        <w:t xml:space="preserve">Joe DePropsero – </w:t>
      </w:r>
      <w:r>
        <w:rPr>
          <w:rFonts w:ascii="Arial" w:cs="Arial" w:eastAsia="Arial" w:hAnsi="Arial"/>
          <w:sz w:val="18"/>
          <w:szCs w:val="18"/>
          <w:b w:val="1"/>
          <w:bCs w:val="1"/>
          <w:i w:val="1"/>
          <w:iCs w:val="1"/>
          <w:color w:val="auto"/>
        </w:rPr>
        <w:t>Senior Vice President of Supply Chain and Business Development (1)</w:t>
      </w:r>
    </w:p>
    <w:p>
      <w:pPr>
        <w:ind w:left="540" w:hanging="316"/>
        <w:spacing w:after="0" w:line="234" w:lineRule="auto"/>
        <w:tabs>
          <w:tab w:leader="none" w:pos="540" w:val="left"/>
        </w:tabs>
        <w:numPr>
          <w:ilvl w:val="0"/>
          <w:numId w:val="94"/>
        </w:numPr>
        <w:rPr>
          <w:rFonts w:ascii="Arial" w:cs="Arial" w:eastAsia="Arial" w:hAnsi="Arial"/>
          <w:sz w:val="18"/>
          <w:szCs w:val="18"/>
          <w:b w:val="1"/>
          <w:bCs w:val="1"/>
          <w:color w:val="003B71"/>
        </w:rPr>
      </w:pPr>
      <w:r>
        <w:rPr>
          <w:rFonts w:ascii="Arial" w:cs="Arial" w:eastAsia="Arial" w:hAnsi="Arial"/>
          <w:sz w:val="18"/>
          <w:szCs w:val="18"/>
          <w:b w:val="1"/>
          <w:bCs w:val="1"/>
          <w:color w:val="auto"/>
        </w:rPr>
        <w:t xml:space="preserve">Margo L. Manning – </w:t>
      </w:r>
      <w:r>
        <w:rPr>
          <w:rFonts w:ascii="Arial" w:cs="Arial" w:eastAsia="Arial" w:hAnsi="Arial"/>
          <w:sz w:val="18"/>
          <w:szCs w:val="18"/>
          <w:b w:val="1"/>
          <w:bCs w:val="1"/>
          <w:i w:val="1"/>
          <w:iCs w:val="1"/>
          <w:color w:val="auto"/>
        </w:rPr>
        <w:t>Senior Vice President and Chief Operating Officer</w:t>
      </w:r>
    </w:p>
    <w:p>
      <w:pPr>
        <w:ind w:left="540" w:hanging="316"/>
        <w:spacing w:after="0" w:line="234" w:lineRule="auto"/>
        <w:tabs>
          <w:tab w:leader="none" w:pos="540" w:val="left"/>
        </w:tabs>
        <w:numPr>
          <w:ilvl w:val="0"/>
          <w:numId w:val="94"/>
        </w:numPr>
        <w:rPr>
          <w:rFonts w:ascii="Arial" w:cs="Arial" w:eastAsia="Arial" w:hAnsi="Arial"/>
          <w:sz w:val="18"/>
          <w:szCs w:val="18"/>
          <w:b w:val="1"/>
          <w:bCs w:val="1"/>
          <w:color w:val="003B71"/>
        </w:rPr>
      </w:pPr>
      <w:r>
        <w:rPr>
          <w:rFonts w:ascii="Arial" w:cs="Arial" w:eastAsia="Arial" w:hAnsi="Arial"/>
          <w:sz w:val="18"/>
          <w:szCs w:val="18"/>
          <w:b w:val="1"/>
          <w:bCs w:val="1"/>
          <w:color w:val="auto"/>
        </w:rPr>
        <w:t xml:space="preserve">John B. Mulleady – </w:t>
      </w:r>
      <w:r>
        <w:rPr>
          <w:rFonts w:ascii="Arial" w:cs="Arial" w:eastAsia="Arial" w:hAnsi="Arial"/>
          <w:sz w:val="18"/>
          <w:szCs w:val="18"/>
          <w:b w:val="1"/>
          <w:bCs w:val="1"/>
          <w:i w:val="1"/>
          <w:iCs w:val="1"/>
          <w:color w:val="auto"/>
        </w:rPr>
        <w:t>Senior Vice President of Real Estate and Development</w:t>
      </w:r>
    </w:p>
    <w:p>
      <w:pPr>
        <w:ind w:left="540" w:hanging="316"/>
        <w:spacing w:after="0"/>
        <w:tabs>
          <w:tab w:leader="none" w:pos="540" w:val="left"/>
        </w:tabs>
        <w:numPr>
          <w:ilvl w:val="0"/>
          <w:numId w:val="94"/>
        </w:numPr>
        <w:rPr>
          <w:rFonts w:ascii="Arial" w:cs="Arial" w:eastAsia="Arial" w:hAnsi="Arial"/>
          <w:sz w:val="18"/>
          <w:szCs w:val="18"/>
          <w:b w:val="1"/>
          <w:bCs w:val="1"/>
          <w:color w:val="003B71"/>
        </w:rPr>
      </w:pPr>
      <w:r>
        <w:rPr>
          <w:rFonts w:ascii="Arial" w:cs="Arial" w:eastAsia="Arial" w:hAnsi="Arial"/>
          <w:sz w:val="18"/>
          <w:szCs w:val="18"/>
          <w:b w:val="1"/>
          <w:bCs w:val="1"/>
          <w:color w:val="auto"/>
        </w:rPr>
        <w:t xml:space="preserve">Sean Gleason – </w:t>
      </w:r>
      <w:r>
        <w:rPr>
          <w:rFonts w:ascii="Arial" w:cs="Arial" w:eastAsia="Arial" w:hAnsi="Arial"/>
          <w:sz w:val="18"/>
          <w:szCs w:val="18"/>
          <w:b w:val="1"/>
          <w:bCs w:val="1"/>
          <w:i w:val="1"/>
          <w:iCs w:val="1"/>
          <w:color w:val="auto"/>
        </w:rPr>
        <w:t>Senior Vice President and Chief Marketing Officer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715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7" w:lineRule="exact"/>
        <w:rPr>
          <w:sz w:val="20"/>
          <w:szCs w:val="20"/>
          <w:color w:val="auto"/>
        </w:rPr>
      </w:pPr>
    </w:p>
    <w:p>
      <w:pPr>
        <w:ind w:left="540" w:right="20" w:hanging="424"/>
        <w:spacing w:after="0" w:line="260" w:lineRule="auto"/>
        <w:tabs>
          <w:tab w:leader="none" w:pos="5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Mr. Bowman joined the Company as CFO in May 2019 succeeding Mr. DeProspero who served as Interim CFO from August 2018 until Mr. Bowman’s appointment. Mr. DeProspero then became the Company’s SVP of Supply Chain and Business Development.</w:t>
      </w:r>
    </w:p>
    <w:p>
      <w:pPr>
        <w:spacing w:after="0" w:line="60" w:lineRule="exact"/>
        <w:rPr>
          <w:rFonts w:ascii="Arial" w:cs="Arial" w:eastAsia="Arial" w:hAnsi="Arial"/>
          <w:sz w:val="16"/>
          <w:szCs w:val="16"/>
          <w:color w:val="auto"/>
        </w:rPr>
      </w:pPr>
    </w:p>
    <w:p>
      <w:pPr>
        <w:ind w:left="540" w:hanging="424"/>
        <w:spacing w:after="0"/>
        <w:tabs>
          <w:tab w:leader="none" w:pos="5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Mr. Gleason departed the Company on April 30, 2020.</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Business, Strategy and Performance Highlights for Fiscal 2019</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the highlights for fiscal 2019 set forth on pages 3-4 of the Executive Summary section of this Proxy statement.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Compensation Philosophy and Overall Objectives of Executive Compensation Programs</w:t>
      </w:r>
    </w:p>
    <w:p>
      <w:pPr>
        <w:spacing w:after="0" w:line="104"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color w:val="auto"/>
        </w:rPr>
        <w:t xml:space="preserve">Our executive compensation philosophy is based upon three core values: </w:t>
      </w:r>
      <w:r>
        <w:rPr>
          <w:rFonts w:ascii="Arial" w:cs="Arial" w:eastAsia="Arial" w:hAnsi="Arial"/>
          <w:sz w:val="18"/>
          <w:szCs w:val="18"/>
          <w:b w:val="1"/>
          <w:bCs w:val="1"/>
          <w:color w:val="auto"/>
        </w:rPr>
        <w:t>pay for performance, market-competitive pay and sustained</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 value creation.</w:t>
      </w:r>
    </w:p>
    <w:p>
      <w:pPr>
        <w:spacing w:after="0" w:line="154"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b w:val="1"/>
          <w:bCs w:val="1"/>
          <w:color w:val="003B71"/>
        </w:rPr>
        <w:t>Pay for Performance</w:t>
      </w:r>
      <w:r>
        <w:rPr>
          <w:rFonts w:ascii="Arial" w:cs="Arial" w:eastAsia="Arial" w:hAnsi="Arial"/>
          <w:sz w:val="18"/>
          <w:szCs w:val="18"/>
          <w:color w:val="000000"/>
        </w:rPr>
        <w:t>—This ensures that we align the interests of senior executives with the interests of our shareholders. Compensation</w:t>
      </w:r>
      <w:r>
        <w:rPr>
          <w:rFonts w:ascii="Arial" w:cs="Arial" w:eastAsia="Arial" w:hAnsi="Arial"/>
          <w:sz w:val="18"/>
          <w:szCs w:val="18"/>
          <w:b w:val="1"/>
          <w:bCs w:val="1"/>
          <w:color w:val="003B71"/>
        </w:rPr>
        <w:t xml:space="preserve"> </w:t>
      </w:r>
      <w:r>
        <w:rPr>
          <w:rFonts w:ascii="Arial" w:cs="Arial" w:eastAsia="Arial" w:hAnsi="Arial"/>
          <w:sz w:val="18"/>
          <w:szCs w:val="18"/>
          <w:color w:val="000000"/>
        </w:rPr>
        <w:t>is tied directly to delivering both annual and long-term value creation to our shareholders. Annual incentives focus on efficient and productive operation of the business, while long-term incentives focus on value creation of the enterprise. In addition, we put greater emphasis on the longer-term aspects of the compensation package to help ensure that all actions of management contribute to multi-year value creation.</w:t>
      </w:r>
    </w:p>
    <w:p>
      <w:pPr>
        <w:spacing w:after="0" w:line="176"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b w:val="1"/>
          <w:bCs w:val="1"/>
          <w:color w:val="003B71"/>
        </w:rPr>
        <w:t>Market-Competitive Pay</w:t>
      </w:r>
      <w:r>
        <w:rPr>
          <w:rFonts w:ascii="Arial" w:cs="Arial" w:eastAsia="Arial" w:hAnsi="Arial"/>
          <w:sz w:val="18"/>
          <w:szCs w:val="18"/>
          <w:color w:val="000000"/>
        </w:rPr>
        <w:t>—In setting compensation for our executive officers, including our NEOs, the Compensation Committee uses</w:t>
      </w:r>
      <w:r>
        <w:rPr>
          <w:rFonts w:ascii="Arial" w:cs="Arial" w:eastAsia="Arial" w:hAnsi="Arial"/>
          <w:sz w:val="18"/>
          <w:szCs w:val="18"/>
          <w:b w:val="1"/>
          <w:bCs w:val="1"/>
          <w:color w:val="003B71"/>
        </w:rPr>
        <w:t xml:space="preserve"> </w:t>
      </w:r>
      <w:r>
        <w:rPr>
          <w:rFonts w:ascii="Arial" w:cs="Arial" w:eastAsia="Arial" w:hAnsi="Arial"/>
          <w:sz w:val="18"/>
          <w:szCs w:val="18"/>
          <w:color w:val="000000"/>
        </w:rPr>
        <w:t>competitive compensation data from an annual total compensation study of a selected peer group of other restaurant and entertainment companies of comparable size and business models as well as other relevant survey sources to inform its decisions about overall compensation opportunities and specific compensation elements. Additionally, the Compensation Committee uses multiple reference points when establishing targeted compensation levels. The Compensation Committee applies judgment and discretion in establishing targeted pay levels, taking into account not only competitive market data, but also factors such as company, business unit, and individual</w:t>
      </w:r>
    </w:p>
    <w:p>
      <w:pPr>
        <w:spacing w:after="0" w:line="125"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32</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performance, scope of responsibility, critical needs and skill sets, experience, leadership potential, and succession planning. Consistent with our pay for performance core values, compensation above target levels is achieved through above-target performance against our annual and long-term incentive goals.</w:t>
      </w:r>
    </w:p>
    <w:p>
      <w:pPr>
        <w:spacing w:after="0" w:line="181" w:lineRule="exact"/>
        <w:rPr>
          <w:sz w:val="20"/>
          <w:szCs w:val="20"/>
          <w:color w:val="auto"/>
        </w:rPr>
      </w:pPr>
    </w:p>
    <w:p>
      <w:pPr>
        <w:jc w:val="both"/>
        <w:ind w:left="120"/>
        <w:spacing w:after="0"/>
        <w:rPr>
          <w:sz w:val="20"/>
          <w:szCs w:val="20"/>
          <w:color w:val="auto"/>
        </w:rPr>
      </w:pPr>
      <w:r>
        <w:rPr>
          <w:rFonts w:ascii="Arial" w:cs="Arial" w:eastAsia="Arial" w:hAnsi="Arial"/>
          <w:sz w:val="18"/>
          <w:szCs w:val="18"/>
          <w:b w:val="1"/>
          <w:bCs w:val="1"/>
          <w:color w:val="003B71"/>
        </w:rPr>
        <w:t>Sustained Shareholder Value Creation</w:t>
      </w:r>
      <w:r>
        <w:rPr>
          <w:rFonts w:ascii="Arial" w:cs="Arial" w:eastAsia="Arial" w:hAnsi="Arial"/>
          <w:sz w:val="18"/>
          <w:szCs w:val="18"/>
          <w:color w:val="000000"/>
        </w:rPr>
        <w:t>—All of our compensation plans are designed to increase the value we deliver to our</w:t>
      </w:r>
      <w:r>
        <w:rPr>
          <w:rFonts w:ascii="Arial" w:cs="Arial" w:eastAsia="Arial" w:hAnsi="Arial"/>
          <w:sz w:val="18"/>
          <w:szCs w:val="18"/>
          <w:b w:val="1"/>
          <w:bCs w:val="1"/>
          <w:color w:val="003B71"/>
        </w:rPr>
        <w:t xml:space="preserve"> </w:t>
      </w:r>
      <w:r>
        <w:rPr>
          <w:rFonts w:ascii="Arial" w:cs="Arial" w:eastAsia="Arial" w:hAnsi="Arial"/>
          <w:sz w:val="18"/>
          <w:szCs w:val="18"/>
          <w:color w:val="000000"/>
        </w:rPr>
        <w:t>shareholders through the selection of proper business performance metrics, the leverage built into the plans for performance achievement and the proper governance of the plans throughout the year by our Compensation Committee. We believe that profitable growth of our enterprise is primary while simultaneously reinforcing an ethical and performance-based culture. Our Compensation Committee approves all goals and awards in advance and monitors progress on their achievement throughout the year. In the long-term incentive plan (the “LTIP”) implemented pursuant to the 2014 Stock Incentive Plan, we use a series of vehicles to reinforce this commitment to sustained shareholder value creation. These vehicles are:</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280" w:type="dxa"/>
            <w:vAlign w:val="bottom"/>
          </w:tcPr>
          <w:p>
            <w:pPr>
              <w:jc w:val="center"/>
              <w:ind w:left="343"/>
              <w:spacing w:after="0"/>
              <w:rPr>
                <w:sz w:val="20"/>
                <w:szCs w:val="20"/>
                <w:color w:val="auto"/>
              </w:rPr>
            </w:pPr>
            <w:r>
              <w:rPr>
                <w:rFonts w:ascii="Arial" w:cs="Arial" w:eastAsia="Arial" w:hAnsi="Arial"/>
                <w:sz w:val="14"/>
                <w:szCs w:val="14"/>
                <w:b w:val="1"/>
                <w:bCs w:val="1"/>
                <w:color w:val="003B71"/>
              </w:rPr>
              <w:t>Weighting</w:t>
            </w:r>
          </w:p>
        </w:tc>
        <w:tc>
          <w:tcPr>
            <w:tcW w:w="7480" w:type="dxa"/>
            <w:vAlign w:val="bottom"/>
          </w:tcPr>
          <w:p>
            <w:pPr>
              <w:spacing w:after="0"/>
              <w:rPr>
                <w:sz w:val="14"/>
                <w:szCs w:val="14"/>
                <w:color w:val="auto"/>
              </w:rPr>
            </w:pPr>
          </w:p>
        </w:tc>
      </w:tr>
      <w:tr>
        <w:trPr>
          <w:trHeight w:val="175"/>
        </w:trPr>
        <w:tc>
          <w:tcPr>
            <w:tcW w:w="226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LTIP Vehicle</w:t>
            </w:r>
          </w:p>
        </w:tc>
        <w:tc>
          <w:tcPr>
            <w:tcW w:w="1280" w:type="dxa"/>
            <w:vAlign w:val="bottom"/>
            <w:tcBorders>
              <w:bottom w:val="single" w:sz="8" w:color="003B71"/>
            </w:tcBorders>
          </w:tcPr>
          <w:p>
            <w:pPr>
              <w:jc w:val="center"/>
              <w:ind w:left="343"/>
              <w:spacing w:after="0"/>
              <w:rPr>
                <w:sz w:val="20"/>
                <w:szCs w:val="20"/>
                <w:color w:val="auto"/>
              </w:rPr>
            </w:pPr>
            <w:r>
              <w:rPr>
                <w:rFonts w:ascii="Arial" w:cs="Arial" w:eastAsia="Arial" w:hAnsi="Arial"/>
                <w:sz w:val="14"/>
                <w:szCs w:val="14"/>
                <w:b w:val="1"/>
                <w:bCs w:val="1"/>
                <w:color w:val="003B71"/>
              </w:rPr>
              <w:t>as % of LTIP</w:t>
            </w:r>
          </w:p>
        </w:tc>
        <w:tc>
          <w:tcPr>
            <w:tcW w:w="7480" w:type="dxa"/>
            <w:vAlign w:val="bottom"/>
            <w:tcBorders>
              <w:bottom w:val="single" w:sz="8" w:color="003B71"/>
            </w:tcBorders>
          </w:tcPr>
          <w:p>
            <w:pPr>
              <w:ind w:left="3740"/>
              <w:spacing w:after="0"/>
              <w:rPr>
                <w:sz w:val="20"/>
                <w:szCs w:val="20"/>
                <w:color w:val="auto"/>
              </w:rPr>
            </w:pPr>
            <w:r>
              <w:rPr>
                <w:rFonts w:ascii="Arial" w:cs="Arial" w:eastAsia="Arial" w:hAnsi="Arial"/>
                <w:sz w:val="14"/>
                <w:szCs w:val="14"/>
                <w:b w:val="1"/>
                <w:bCs w:val="1"/>
                <w:color w:val="003B71"/>
              </w:rPr>
              <w:t>Focus</w:t>
            </w:r>
          </w:p>
        </w:tc>
      </w:tr>
      <w:tr>
        <w:trPr>
          <w:trHeight w:val="196"/>
        </w:trPr>
        <w:tc>
          <w:tcPr>
            <w:tcW w:w="2260" w:type="dxa"/>
            <w:vAlign w:val="bottom"/>
            <w:tcBorders>
              <w:bottom w:val="single" w:sz="8" w:color="003B71"/>
            </w:tcBorders>
          </w:tcPr>
          <w:p>
            <w:pPr>
              <w:ind w:left="80"/>
              <w:spacing w:after="0"/>
              <w:rPr>
                <w:sz w:val="20"/>
                <w:szCs w:val="20"/>
                <w:color w:val="auto"/>
              </w:rPr>
            </w:pPr>
            <w:r>
              <w:rPr>
                <w:rFonts w:ascii="Arial" w:cs="Arial" w:eastAsia="Arial" w:hAnsi="Arial"/>
                <w:sz w:val="16"/>
                <w:szCs w:val="16"/>
                <w:color w:val="auto"/>
              </w:rPr>
              <w:t>Stock Options</w:t>
            </w:r>
          </w:p>
        </w:tc>
        <w:tc>
          <w:tcPr>
            <w:tcW w:w="1280" w:type="dxa"/>
            <w:vAlign w:val="bottom"/>
            <w:tcBorders>
              <w:bottom w:val="single" w:sz="8" w:color="003B71"/>
            </w:tcBorders>
          </w:tcPr>
          <w:p>
            <w:pPr>
              <w:jc w:val="center"/>
              <w:ind w:left="323"/>
              <w:spacing w:after="0"/>
              <w:rPr>
                <w:sz w:val="20"/>
                <w:szCs w:val="20"/>
                <w:color w:val="auto"/>
              </w:rPr>
            </w:pPr>
            <w:r>
              <w:rPr>
                <w:rFonts w:ascii="Arial" w:cs="Arial" w:eastAsia="Arial" w:hAnsi="Arial"/>
                <w:sz w:val="16"/>
                <w:szCs w:val="16"/>
                <w:color w:val="auto"/>
                <w:w w:val="99"/>
              </w:rPr>
              <w:t>50%</w:t>
            </w:r>
          </w:p>
        </w:tc>
        <w:tc>
          <w:tcPr>
            <w:tcW w:w="7480" w:type="dxa"/>
            <w:vAlign w:val="bottom"/>
            <w:tcBorders>
              <w:bottom w:val="single" w:sz="8" w:color="003B71"/>
            </w:tcBorders>
          </w:tcPr>
          <w:p>
            <w:pPr>
              <w:ind w:left="480"/>
              <w:spacing w:after="0" w:line="196" w:lineRule="exact"/>
              <w:rPr>
                <w:sz w:val="20"/>
                <w:szCs w:val="20"/>
                <w:color w:val="auto"/>
              </w:rPr>
            </w:pPr>
            <w:r>
              <w:rPr>
                <w:rFonts w:ascii="Arial" w:cs="Arial" w:eastAsia="Arial" w:hAnsi="Arial"/>
                <w:sz w:val="18"/>
                <w:szCs w:val="18"/>
                <w:color w:val="auto"/>
              </w:rPr>
              <w:t>Continuous shareholder value creation over time</w:t>
            </w:r>
          </w:p>
        </w:tc>
      </w:tr>
      <w:tr>
        <w:trPr>
          <w:trHeight w:val="184"/>
        </w:trPr>
        <w:tc>
          <w:tcPr>
            <w:tcW w:w="2260" w:type="dxa"/>
            <w:vAlign w:val="bottom"/>
          </w:tcPr>
          <w:p>
            <w:pPr>
              <w:ind w:left="80"/>
              <w:spacing w:after="0"/>
              <w:rPr>
                <w:sz w:val="20"/>
                <w:szCs w:val="20"/>
                <w:color w:val="auto"/>
              </w:rPr>
            </w:pPr>
            <w:r>
              <w:rPr>
                <w:rFonts w:ascii="Arial" w:cs="Arial" w:eastAsia="Arial" w:hAnsi="Arial"/>
                <w:sz w:val="16"/>
                <w:szCs w:val="16"/>
                <w:color w:val="auto"/>
              </w:rPr>
              <w:t>Performance-based</w:t>
            </w:r>
          </w:p>
        </w:tc>
        <w:tc>
          <w:tcPr>
            <w:tcW w:w="1280" w:type="dxa"/>
            <w:vAlign w:val="bottom"/>
          </w:tcPr>
          <w:p>
            <w:pPr>
              <w:jc w:val="center"/>
              <w:ind w:left="323"/>
              <w:spacing w:after="0"/>
              <w:rPr>
                <w:sz w:val="20"/>
                <w:szCs w:val="20"/>
                <w:color w:val="auto"/>
              </w:rPr>
            </w:pPr>
            <w:r>
              <w:rPr>
                <w:rFonts w:ascii="Arial" w:cs="Arial" w:eastAsia="Arial" w:hAnsi="Arial"/>
                <w:sz w:val="16"/>
                <w:szCs w:val="16"/>
                <w:color w:val="auto"/>
                <w:w w:val="99"/>
              </w:rPr>
              <w:t>35%</w:t>
            </w:r>
          </w:p>
        </w:tc>
        <w:tc>
          <w:tcPr>
            <w:tcW w:w="7480" w:type="dxa"/>
            <w:vAlign w:val="bottom"/>
          </w:tcPr>
          <w:p>
            <w:pPr>
              <w:ind w:left="480"/>
              <w:spacing w:after="0"/>
              <w:rPr>
                <w:sz w:val="20"/>
                <w:szCs w:val="20"/>
                <w:color w:val="auto"/>
              </w:rPr>
            </w:pPr>
            <w:r>
              <w:rPr>
                <w:rFonts w:ascii="Arial" w:cs="Arial" w:eastAsia="Arial" w:hAnsi="Arial"/>
                <w:sz w:val="16"/>
                <w:szCs w:val="16"/>
                <w:color w:val="auto"/>
              </w:rPr>
              <w:t>Performance in strategic areas that build/sustain the enterprise and retention of our key leaders</w:t>
            </w:r>
          </w:p>
        </w:tc>
      </w:tr>
      <w:tr>
        <w:trPr>
          <w:trHeight w:val="194"/>
        </w:trPr>
        <w:tc>
          <w:tcPr>
            <w:tcW w:w="2260" w:type="dxa"/>
            <w:vAlign w:val="bottom"/>
            <w:tcBorders>
              <w:bottom w:val="single" w:sz="8" w:color="003B71"/>
            </w:tcBorders>
          </w:tcPr>
          <w:p>
            <w:pPr>
              <w:ind w:left="240"/>
              <w:spacing w:after="0"/>
              <w:rPr>
                <w:sz w:val="20"/>
                <w:szCs w:val="20"/>
                <w:color w:val="auto"/>
              </w:rPr>
            </w:pPr>
            <w:r>
              <w:rPr>
                <w:rFonts w:ascii="Arial" w:cs="Arial" w:eastAsia="Arial" w:hAnsi="Arial"/>
                <w:sz w:val="16"/>
                <w:szCs w:val="16"/>
                <w:color w:val="auto"/>
              </w:rPr>
              <w:t>Restricted Stock Units</w:t>
            </w:r>
          </w:p>
        </w:tc>
        <w:tc>
          <w:tcPr>
            <w:tcW w:w="1280" w:type="dxa"/>
            <w:vAlign w:val="bottom"/>
            <w:tcBorders>
              <w:bottom w:val="single" w:sz="8" w:color="003B71"/>
            </w:tcBorders>
          </w:tcPr>
          <w:p>
            <w:pPr>
              <w:spacing w:after="0"/>
              <w:rPr>
                <w:sz w:val="16"/>
                <w:szCs w:val="16"/>
                <w:color w:val="auto"/>
              </w:rPr>
            </w:pPr>
          </w:p>
        </w:tc>
        <w:tc>
          <w:tcPr>
            <w:tcW w:w="7480" w:type="dxa"/>
            <w:vAlign w:val="bottom"/>
          </w:tcPr>
          <w:p>
            <w:pPr>
              <w:ind w:left="480"/>
              <w:spacing w:after="0"/>
              <w:rPr>
                <w:sz w:val="20"/>
                <w:szCs w:val="20"/>
                <w:color w:val="auto"/>
              </w:rPr>
            </w:pPr>
            <w:r>
              <w:rPr>
                <w:rFonts w:ascii="Arial" w:cs="Arial" w:eastAsia="Arial" w:hAnsi="Arial"/>
                <w:sz w:val="16"/>
                <w:szCs w:val="16"/>
                <w:color w:val="auto"/>
              </w:rPr>
              <w:t>to ensure sustained implementation of our strategy. Performance-based Restricted Stock Units</w:t>
            </w:r>
          </w:p>
        </w:tc>
      </w:tr>
      <w:tr>
        <w:trPr>
          <w:trHeight w:val="164"/>
        </w:trPr>
        <w:tc>
          <w:tcPr>
            <w:tcW w:w="2260" w:type="dxa"/>
            <w:vAlign w:val="bottom"/>
          </w:tcPr>
          <w:p>
            <w:pPr>
              <w:ind w:left="80"/>
              <w:spacing w:after="0" w:line="164" w:lineRule="exact"/>
              <w:rPr>
                <w:sz w:val="20"/>
                <w:szCs w:val="20"/>
                <w:color w:val="auto"/>
              </w:rPr>
            </w:pPr>
            <w:r>
              <w:rPr>
                <w:rFonts w:ascii="Arial" w:cs="Arial" w:eastAsia="Arial" w:hAnsi="Arial"/>
                <w:sz w:val="16"/>
                <w:szCs w:val="16"/>
                <w:color w:val="auto"/>
              </w:rPr>
              <w:t>Performance Cash</w:t>
            </w:r>
          </w:p>
        </w:tc>
        <w:tc>
          <w:tcPr>
            <w:tcW w:w="1280" w:type="dxa"/>
            <w:vAlign w:val="bottom"/>
          </w:tcPr>
          <w:p>
            <w:pPr>
              <w:jc w:val="center"/>
              <w:ind w:left="323"/>
              <w:spacing w:after="0" w:line="164" w:lineRule="exact"/>
              <w:rPr>
                <w:sz w:val="20"/>
                <w:szCs w:val="20"/>
                <w:color w:val="auto"/>
              </w:rPr>
            </w:pPr>
            <w:r>
              <w:rPr>
                <w:rFonts w:ascii="Arial" w:cs="Arial" w:eastAsia="Arial" w:hAnsi="Arial"/>
                <w:sz w:val="16"/>
                <w:szCs w:val="16"/>
                <w:color w:val="auto"/>
                <w:w w:val="99"/>
              </w:rPr>
              <w:t>15%</w:t>
            </w:r>
          </w:p>
        </w:tc>
        <w:tc>
          <w:tcPr>
            <w:tcW w:w="7480" w:type="dxa"/>
            <w:vAlign w:val="bottom"/>
          </w:tcPr>
          <w:p>
            <w:pPr>
              <w:ind w:left="480"/>
              <w:spacing w:after="0" w:line="164" w:lineRule="exact"/>
              <w:rPr>
                <w:sz w:val="20"/>
                <w:szCs w:val="20"/>
                <w:color w:val="auto"/>
              </w:rPr>
            </w:pPr>
            <w:r>
              <w:rPr>
                <w:rFonts w:ascii="Arial" w:cs="Arial" w:eastAsia="Arial" w:hAnsi="Arial"/>
                <w:sz w:val="16"/>
                <w:szCs w:val="16"/>
                <w:color w:val="auto"/>
              </w:rPr>
              <w:t>(“PSUs”) and Performance Cash account for 50% of the overall LTIP target and contribute a</w:t>
            </w:r>
          </w:p>
        </w:tc>
      </w:tr>
      <w:tr>
        <w:trPr>
          <w:trHeight w:val="187"/>
        </w:trPr>
        <w:tc>
          <w:tcPr>
            <w:tcW w:w="2260" w:type="dxa"/>
            <w:vAlign w:val="bottom"/>
            <w:tcBorders>
              <w:bottom w:val="single" w:sz="8" w:color="003B71"/>
            </w:tcBorders>
          </w:tcPr>
          <w:p>
            <w:pPr>
              <w:spacing w:after="0"/>
              <w:rPr>
                <w:sz w:val="16"/>
                <w:szCs w:val="16"/>
                <w:color w:val="auto"/>
              </w:rPr>
            </w:pPr>
          </w:p>
        </w:tc>
        <w:tc>
          <w:tcPr>
            <w:tcW w:w="1280" w:type="dxa"/>
            <w:vAlign w:val="bottom"/>
            <w:tcBorders>
              <w:bottom w:val="single" w:sz="8" w:color="003B71"/>
            </w:tcBorders>
          </w:tcPr>
          <w:p>
            <w:pPr>
              <w:spacing w:after="0"/>
              <w:rPr>
                <w:sz w:val="16"/>
                <w:szCs w:val="16"/>
                <w:color w:val="auto"/>
              </w:rPr>
            </w:pPr>
          </w:p>
        </w:tc>
        <w:tc>
          <w:tcPr>
            <w:tcW w:w="7480" w:type="dxa"/>
            <w:vAlign w:val="bottom"/>
            <w:tcBorders>
              <w:bottom w:val="single" w:sz="8" w:color="003B71"/>
            </w:tcBorders>
          </w:tcPr>
          <w:p>
            <w:pPr>
              <w:ind w:left="480"/>
              <w:spacing w:after="0"/>
              <w:rPr>
                <w:sz w:val="20"/>
                <w:szCs w:val="20"/>
                <w:color w:val="auto"/>
              </w:rPr>
            </w:pPr>
            <w:r>
              <w:rPr>
                <w:rFonts w:ascii="Arial" w:cs="Arial" w:eastAsia="Arial" w:hAnsi="Arial"/>
                <w:sz w:val="16"/>
                <w:szCs w:val="16"/>
                <w:color w:val="auto"/>
              </w:rPr>
              <w:t>robust performance mix.</w:t>
            </w:r>
          </w:p>
        </w:tc>
      </w:tr>
    </w:tbl>
    <w:p>
      <w:pPr>
        <w:spacing w:after="0" w:line="21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Through this combination of vehicles and the design of our programs, we ensure that our expectation for continuous improvement, growth and profitability are achieved while effectively managing any undue risk elements.</w:t>
      </w:r>
    </w:p>
    <w:p>
      <w:pPr>
        <w:spacing w:after="0" w:line="197"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compensation philosophy guides us in our annual review of compensation, the assessment of the right pay for performance relationship and ensures that when strong performance is achieved, it is appropriately rewarded. Our Compensation Committee annually reviews this philosophy and our compensation plans to ensure they are continuing to meet their stated goals and objectives. If they are not, changes will be made to reestablish the right alignment.</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In sum, this philosophy is designed to ensure that shareholders see a return for their investment in our Company and that we are getting the right return on our leadership compensation investment. Note, however, that for fiscal 2020, given the current environment created by the COVID-19 Pandemic, we believe it is critical to heavily incent retention through the use of one-time stock-based awards.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Compensation Practices</w:t>
      </w:r>
    </w:p>
    <w:p>
      <w:pPr>
        <w:spacing w:after="0" w:line="126"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The following list summarizes executive compensation practices that we have to drive performance as well as executive compensation practices that we avoid because we do not believe they serve the long-term interests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177165</wp:posOffset>
            </wp:positionV>
            <wp:extent cx="6969125" cy="2322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69125" cy="232283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FFFFFF"/>
        </w:rPr>
        <w:t>What We Do</w:t>
      </w:r>
    </w:p>
    <w:p>
      <w:pPr>
        <w:spacing w:after="0" w:line="47" w:lineRule="exact"/>
        <w:rPr>
          <w:sz w:val="20"/>
          <w:szCs w:val="20"/>
          <w:color w:val="auto"/>
        </w:rPr>
      </w:pPr>
    </w:p>
    <w:p>
      <w:pPr>
        <w:ind w:left="720" w:hanging="253"/>
        <w:spacing w:after="0"/>
        <w:tabs>
          <w:tab w:leader="none" w:pos="720" w:val="left"/>
        </w:tabs>
        <w:numPr>
          <w:ilvl w:val="0"/>
          <w:numId w:val="96"/>
        </w:numPr>
        <w:rPr>
          <w:rFonts w:ascii="MS PGothic" w:cs="MS PGothic" w:eastAsia="MS PGothic" w:hAnsi="MS PGothic"/>
          <w:sz w:val="16"/>
          <w:szCs w:val="16"/>
          <w:color w:val="003B71"/>
        </w:rPr>
      </w:pPr>
      <w:r>
        <w:rPr>
          <w:rFonts w:ascii="Arial" w:cs="Arial" w:eastAsia="Arial" w:hAnsi="Arial"/>
          <w:sz w:val="16"/>
          <w:szCs w:val="16"/>
          <w:color w:val="auto"/>
        </w:rPr>
        <w:t>Set stock ownership guidelines for executives and directors</w:t>
      </w:r>
    </w:p>
    <w:p>
      <w:pPr>
        <w:spacing w:after="0" w:line="86" w:lineRule="exact"/>
        <w:rPr>
          <w:rFonts w:ascii="MS PGothic" w:cs="MS PGothic" w:eastAsia="MS PGothic" w:hAnsi="MS PGothic"/>
          <w:sz w:val="16"/>
          <w:szCs w:val="16"/>
          <w:color w:val="003B71"/>
        </w:rPr>
      </w:pPr>
    </w:p>
    <w:p>
      <w:pPr>
        <w:ind w:left="720" w:hanging="253"/>
        <w:spacing w:after="0"/>
        <w:tabs>
          <w:tab w:leader="none" w:pos="720" w:val="left"/>
        </w:tabs>
        <w:numPr>
          <w:ilvl w:val="0"/>
          <w:numId w:val="96"/>
        </w:numPr>
        <w:rPr>
          <w:rFonts w:ascii="MS PGothic" w:cs="MS PGothic" w:eastAsia="MS PGothic" w:hAnsi="MS PGothic"/>
          <w:sz w:val="16"/>
          <w:szCs w:val="16"/>
          <w:color w:val="003B71"/>
        </w:rPr>
      </w:pPr>
      <w:r>
        <w:rPr>
          <w:rFonts w:ascii="Arial" w:cs="Arial" w:eastAsia="Arial" w:hAnsi="Arial"/>
          <w:sz w:val="16"/>
          <w:szCs w:val="16"/>
          <w:color w:val="auto"/>
        </w:rPr>
        <w:t>Review tally sheets for executives</w:t>
      </w:r>
    </w:p>
    <w:p>
      <w:pPr>
        <w:spacing w:after="0" w:line="86" w:lineRule="exact"/>
        <w:rPr>
          <w:rFonts w:ascii="MS PGothic" w:cs="MS PGothic" w:eastAsia="MS PGothic" w:hAnsi="MS PGothic"/>
          <w:sz w:val="16"/>
          <w:szCs w:val="16"/>
          <w:color w:val="003B71"/>
        </w:rPr>
      </w:pPr>
    </w:p>
    <w:p>
      <w:pPr>
        <w:ind w:left="720" w:hanging="253"/>
        <w:spacing w:after="0"/>
        <w:tabs>
          <w:tab w:leader="none" w:pos="720" w:val="left"/>
        </w:tabs>
        <w:numPr>
          <w:ilvl w:val="0"/>
          <w:numId w:val="96"/>
        </w:numPr>
        <w:rPr>
          <w:rFonts w:ascii="MS PGothic" w:cs="MS PGothic" w:eastAsia="MS PGothic" w:hAnsi="MS PGothic"/>
          <w:sz w:val="16"/>
          <w:szCs w:val="16"/>
          <w:color w:val="003B71"/>
        </w:rPr>
      </w:pPr>
      <w:r>
        <w:rPr>
          <w:rFonts w:ascii="Arial" w:cs="Arial" w:eastAsia="Arial" w:hAnsi="Arial"/>
          <w:sz w:val="16"/>
          <w:szCs w:val="16"/>
          <w:color w:val="auto"/>
        </w:rPr>
        <w:t>Disclose performance goals for incentive payments</w:t>
      </w:r>
    </w:p>
    <w:p>
      <w:pPr>
        <w:spacing w:after="0" w:line="86" w:lineRule="exact"/>
        <w:rPr>
          <w:rFonts w:ascii="MS PGothic" w:cs="MS PGothic" w:eastAsia="MS PGothic" w:hAnsi="MS PGothic"/>
          <w:sz w:val="16"/>
          <w:szCs w:val="16"/>
          <w:color w:val="003B71"/>
        </w:rPr>
      </w:pPr>
    </w:p>
    <w:p>
      <w:pPr>
        <w:ind w:left="700" w:right="120" w:hanging="233"/>
        <w:spacing w:after="0" w:line="272" w:lineRule="auto"/>
        <w:tabs>
          <w:tab w:leader="none" w:pos="746" w:val="left"/>
        </w:tabs>
        <w:numPr>
          <w:ilvl w:val="0"/>
          <w:numId w:val="96"/>
        </w:numPr>
        <w:rPr>
          <w:rFonts w:ascii="MS PGothic" w:cs="MS PGothic" w:eastAsia="MS PGothic" w:hAnsi="MS PGothic"/>
          <w:sz w:val="16"/>
          <w:szCs w:val="16"/>
          <w:color w:val="003B71"/>
        </w:rPr>
      </w:pPr>
      <w:r>
        <w:rPr>
          <w:rFonts w:ascii="Arial" w:cs="Arial" w:eastAsia="Arial" w:hAnsi="Arial"/>
          <w:sz w:val="16"/>
          <w:szCs w:val="16"/>
          <w:color w:val="auto"/>
        </w:rPr>
        <w:t>Set maximum payout caps on our annual and long-term incentives</w:t>
      </w:r>
    </w:p>
    <w:p>
      <w:pPr>
        <w:spacing w:after="0" w:line="41" w:lineRule="exact"/>
        <w:rPr>
          <w:rFonts w:ascii="MS PGothic" w:cs="MS PGothic" w:eastAsia="MS PGothic" w:hAnsi="MS PGothic"/>
          <w:sz w:val="16"/>
          <w:szCs w:val="16"/>
          <w:color w:val="003B71"/>
        </w:rPr>
      </w:pPr>
    </w:p>
    <w:p>
      <w:pPr>
        <w:ind w:left="700" w:right="120" w:hanging="233"/>
        <w:spacing w:after="0" w:line="272" w:lineRule="auto"/>
        <w:tabs>
          <w:tab w:leader="none" w:pos="759" w:val="left"/>
        </w:tabs>
        <w:numPr>
          <w:ilvl w:val="0"/>
          <w:numId w:val="96"/>
        </w:numPr>
        <w:rPr>
          <w:rFonts w:ascii="MS PGothic" w:cs="MS PGothic" w:eastAsia="MS PGothic" w:hAnsi="MS PGothic"/>
          <w:sz w:val="16"/>
          <w:szCs w:val="16"/>
          <w:color w:val="003B71"/>
        </w:rPr>
      </w:pPr>
      <w:r>
        <w:rPr>
          <w:rFonts w:ascii="Arial" w:cs="Arial" w:eastAsia="Arial" w:hAnsi="Arial"/>
          <w:sz w:val="16"/>
          <w:szCs w:val="16"/>
          <w:color w:val="auto"/>
        </w:rPr>
        <w:t>Limit perquisites and other benefits, and do not include income tax gross-ups (except for relocation expenses)</w:t>
      </w:r>
    </w:p>
    <w:p>
      <w:pPr>
        <w:spacing w:after="0" w:line="41" w:lineRule="exact"/>
        <w:rPr>
          <w:rFonts w:ascii="MS PGothic" w:cs="MS PGothic" w:eastAsia="MS PGothic" w:hAnsi="MS PGothic"/>
          <w:sz w:val="16"/>
          <w:szCs w:val="16"/>
          <w:color w:val="003B71"/>
        </w:rPr>
      </w:pPr>
    </w:p>
    <w:p>
      <w:pPr>
        <w:ind w:left="700" w:right="100" w:hanging="233"/>
        <w:spacing w:after="0" w:line="272" w:lineRule="auto"/>
        <w:tabs>
          <w:tab w:leader="none" w:pos="800" w:val="left"/>
        </w:tabs>
        <w:numPr>
          <w:ilvl w:val="0"/>
          <w:numId w:val="96"/>
        </w:numPr>
        <w:rPr>
          <w:rFonts w:ascii="MS PGothic" w:cs="MS PGothic" w:eastAsia="MS PGothic" w:hAnsi="MS PGothic"/>
          <w:sz w:val="16"/>
          <w:szCs w:val="16"/>
          <w:color w:val="003B71"/>
        </w:rPr>
      </w:pPr>
      <w:r>
        <w:rPr>
          <w:rFonts w:ascii="Arial" w:cs="Arial" w:eastAsia="Arial" w:hAnsi="Arial"/>
          <w:sz w:val="16"/>
          <w:szCs w:val="16"/>
          <w:color w:val="auto"/>
        </w:rPr>
        <w:t>Subject all variable pay to a compensation recovery “clawback” policy</w:t>
      </w:r>
    </w:p>
    <w:p>
      <w:pPr>
        <w:spacing w:after="0" w:line="41" w:lineRule="exact"/>
        <w:rPr>
          <w:rFonts w:ascii="MS PGothic" w:cs="MS PGothic" w:eastAsia="MS PGothic" w:hAnsi="MS PGothic"/>
          <w:sz w:val="16"/>
          <w:szCs w:val="16"/>
          <w:color w:val="003B71"/>
        </w:rPr>
      </w:pPr>
    </w:p>
    <w:p>
      <w:pPr>
        <w:ind w:left="720" w:hanging="253"/>
        <w:spacing w:after="0"/>
        <w:tabs>
          <w:tab w:leader="none" w:pos="720" w:val="left"/>
        </w:tabs>
        <w:numPr>
          <w:ilvl w:val="0"/>
          <w:numId w:val="96"/>
        </w:numPr>
        <w:rPr>
          <w:rFonts w:ascii="MS PGothic" w:cs="MS PGothic" w:eastAsia="MS PGothic" w:hAnsi="MS PGothic"/>
          <w:sz w:val="16"/>
          <w:szCs w:val="16"/>
          <w:color w:val="003B71"/>
        </w:rPr>
      </w:pPr>
      <w:r>
        <w:rPr>
          <w:rFonts w:ascii="Arial" w:cs="Arial" w:eastAsia="Arial" w:hAnsi="Arial"/>
          <w:sz w:val="16"/>
          <w:szCs w:val="16"/>
          <w:color w:val="auto"/>
        </w:rPr>
        <w:t>Have double-trigger change in control agreements</w:t>
      </w:r>
    </w:p>
    <w:p>
      <w:pPr>
        <w:spacing w:after="0" w:line="86" w:lineRule="exact"/>
        <w:rPr>
          <w:rFonts w:ascii="MS PGothic" w:cs="MS PGothic" w:eastAsia="MS PGothic" w:hAnsi="MS PGothic"/>
          <w:sz w:val="16"/>
          <w:szCs w:val="16"/>
          <w:color w:val="003B71"/>
        </w:rPr>
      </w:pPr>
    </w:p>
    <w:p>
      <w:pPr>
        <w:ind w:left="700" w:right="100" w:hanging="233"/>
        <w:spacing w:after="0" w:line="272" w:lineRule="auto"/>
        <w:tabs>
          <w:tab w:leader="none" w:pos="800" w:val="left"/>
        </w:tabs>
        <w:numPr>
          <w:ilvl w:val="0"/>
          <w:numId w:val="96"/>
        </w:numPr>
        <w:rPr>
          <w:rFonts w:ascii="MS PGothic" w:cs="MS PGothic" w:eastAsia="MS PGothic" w:hAnsi="MS PGothic"/>
          <w:sz w:val="16"/>
          <w:szCs w:val="16"/>
          <w:color w:val="003B71"/>
        </w:rPr>
      </w:pPr>
      <w:r>
        <w:rPr>
          <w:rFonts w:ascii="Arial" w:cs="Arial" w:eastAsia="Arial" w:hAnsi="Arial"/>
          <w:sz w:val="16"/>
          <w:szCs w:val="16"/>
          <w:color w:val="auto"/>
        </w:rPr>
        <w:t>Independent Compensation Committee advised by an independent compensation consultant</w:t>
      </w:r>
    </w:p>
    <w:p>
      <w:pPr>
        <w:spacing w:after="0" w:line="41" w:lineRule="exact"/>
        <w:rPr>
          <w:rFonts w:ascii="MS PGothic" w:cs="MS PGothic" w:eastAsia="MS PGothic" w:hAnsi="MS PGothic"/>
          <w:sz w:val="16"/>
          <w:szCs w:val="16"/>
          <w:color w:val="003B71"/>
        </w:rPr>
      </w:pPr>
    </w:p>
    <w:p>
      <w:pPr>
        <w:ind w:left="700" w:right="100" w:hanging="233"/>
        <w:spacing w:after="0" w:line="278" w:lineRule="auto"/>
        <w:tabs>
          <w:tab w:leader="none" w:pos="705" w:val="left"/>
        </w:tabs>
        <w:numPr>
          <w:ilvl w:val="0"/>
          <w:numId w:val="96"/>
        </w:numPr>
        <w:rPr>
          <w:rFonts w:ascii="MS PGothic" w:cs="MS PGothic" w:eastAsia="MS PGothic" w:hAnsi="MS PGothic"/>
          <w:sz w:val="16"/>
          <w:szCs w:val="16"/>
          <w:color w:val="003B71"/>
        </w:rPr>
      </w:pPr>
      <w:r>
        <w:rPr>
          <w:rFonts w:ascii="Arial" w:cs="Arial" w:eastAsia="Arial" w:hAnsi="Arial"/>
          <w:sz w:val="16"/>
          <w:szCs w:val="16"/>
          <w:color w:val="auto"/>
        </w:rPr>
        <w:t>Enforce strict insider trader policies and black-out periods for executives and directors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What We Do Not Do</w:t>
      </w:r>
    </w:p>
    <w:p>
      <w:pPr>
        <w:spacing w:after="0" w:line="47" w:lineRule="exact"/>
        <w:rPr>
          <w:sz w:val="20"/>
          <w:szCs w:val="20"/>
          <w:color w:val="auto"/>
        </w:rPr>
      </w:pPr>
    </w:p>
    <w:p>
      <w:pPr>
        <w:ind w:left="320" w:hanging="262"/>
        <w:spacing w:after="0"/>
        <w:tabs>
          <w:tab w:leader="none" w:pos="320" w:val="left"/>
        </w:tabs>
        <w:numPr>
          <w:ilvl w:val="0"/>
          <w:numId w:val="97"/>
        </w:numPr>
        <w:rPr>
          <w:rFonts w:ascii="Arial" w:cs="Arial" w:eastAsia="Arial" w:hAnsi="Arial"/>
          <w:sz w:val="16"/>
          <w:szCs w:val="16"/>
          <w:i w:val="1"/>
          <w:iCs w:val="1"/>
          <w:color w:val="auto"/>
        </w:rPr>
      </w:pPr>
      <w:r>
        <w:rPr>
          <w:rFonts w:ascii="Arial" w:cs="Arial" w:eastAsia="Arial" w:hAnsi="Arial"/>
          <w:sz w:val="16"/>
          <w:szCs w:val="16"/>
          <w:color w:val="auto"/>
        </w:rPr>
        <w:t>No hedging or pledging of our stock by executives or directors</w:t>
      </w:r>
    </w:p>
    <w:p>
      <w:pPr>
        <w:spacing w:after="0" w:line="86" w:lineRule="exact"/>
        <w:rPr>
          <w:rFonts w:ascii="Arial" w:cs="Arial" w:eastAsia="Arial" w:hAnsi="Arial"/>
          <w:sz w:val="16"/>
          <w:szCs w:val="16"/>
          <w:i w:val="1"/>
          <w:iCs w:val="1"/>
          <w:color w:val="auto"/>
        </w:rPr>
      </w:pPr>
    </w:p>
    <w:p>
      <w:pPr>
        <w:ind w:left="320" w:hanging="262"/>
        <w:spacing w:after="0"/>
        <w:tabs>
          <w:tab w:leader="none" w:pos="320" w:val="left"/>
        </w:tabs>
        <w:numPr>
          <w:ilvl w:val="0"/>
          <w:numId w:val="97"/>
        </w:numPr>
        <w:rPr>
          <w:rFonts w:ascii="Arial" w:cs="Arial" w:eastAsia="Arial" w:hAnsi="Arial"/>
          <w:sz w:val="16"/>
          <w:szCs w:val="16"/>
          <w:i w:val="1"/>
          <w:iCs w:val="1"/>
          <w:color w:val="auto"/>
        </w:rPr>
      </w:pPr>
      <w:r>
        <w:rPr>
          <w:rFonts w:ascii="Arial" w:cs="Arial" w:eastAsia="Arial" w:hAnsi="Arial"/>
          <w:sz w:val="16"/>
          <w:szCs w:val="16"/>
          <w:color w:val="auto"/>
        </w:rPr>
        <w:t>No dividends paid on unearned performance-based shares</w:t>
      </w:r>
    </w:p>
    <w:p>
      <w:pPr>
        <w:spacing w:after="0" w:line="86" w:lineRule="exact"/>
        <w:rPr>
          <w:rFonts w:ascii="Arial" w:cs="Arial" w:eastAsia="Arial" w:hAnsi="Arial"/>
          <w:sz w:val="16"/>
          <w:szCs w:val="16"/>
          <w:i w:val="1"/>
          <w:iCs w:val="1"/>
          <w:color w:val="auto"/>
        </w:rPr>
      </w:pPr>
    </w:p>
    <w:p>
      <w:pPr>
        <w:ind w:left="320" w:hanging="262"/>
        <w:spacing w:after="0"/>
        <w:tabs>
          <w:tab w:leader="none" w:pos="320" w:val="left"/>
        </w:tabs>
        <w:numPr>
          <w:ilvl w:val="0"/>
          <w:numId w:val="97"/>
        </w:numPr>
        <w:rPr>
          <w:rFonts w:ascii="Arial" w:cs="Arial" w:eastAsia="Arial" w:hAnsi="Arial"/>
          <w:sz w:val="16"/>
          <w:szCs w:val="16"/>
          <w:i w:val="1"/>
          <w:iCs w:val="1"/>
          <w:color w:val="auto"/>
        </w:rPr>
      </w:pPr>
      <w:r>
        <w:rPr>
          <w:rFonts w:ascii="Arial" w:cs="Arial" w:eastAsia="Arial" w:hAnsi="Arial"/>
          <w:sz w:val="16"/>
          <w:szCs w:val="16"/>
          <w:color w:val="auto"/>
        </w:rPr>
        <w:t>No excise tax gross-ups to any executive</w:t>
      </w:r>
    </w:p>
    <w:p>
      <w:pPr>
        <w:spacing w:after="0" w:line="86" w:lineRule="exact"/>
        <w:rPr>
          <w:rFonts w:ascii="Arial" w:cs="Arial" w:eastAsia="Arial" w:hAnsi="Arial"/>
          <w:sz w:val="16"/>
          <w:szCs w:val="16"/>
          <w:i w:val="1"/>
          <w:iCs w:val="1"/>
          <w:color w:val="auto"/>
        </w:rPr>
      </w:pPr>
    </w:p>
    <w:p>
      <w:pPr>
        <w:ind w:left="320" w:hanging="262"/>
        <w:spacing w:after="0"/>
        <w:tabs>
          <w:tab w:leader="none" w:pos="320" w:val="left"/>
        </w:tabs>
        <w:numPr>
          <w:ilvl w:val="0"/>
          <w:numId w:val="97"/>
        </w:numPr>
        <w:rPr>
          <w:rFonts w:ascii="Arial" w:cs="Arial" w:eastAsia="Arial" w:hAnsi="Arial"/>
          <w:sz w:val="16"/>
          <w:szCs w:val="16"/>
          <w:i w:val="1"/>
          <w:iCs w:val="1"/>
          <w:color w:val="auto"/>
        </w:rPr>
      </w:pPr>
      <w:r>
        <w:rPr>
          <w:rFonts w:ascii="Arial" w:cs="Arial" w:eastAsia="Arial" w:hAnsi="Arial"/>
          <w:sz w:val="16"/>
          <w:szCs w:val="16"/>
          <w:color w:val="auto"/>
        </w:rPr>
        <w:t>No repricing or cash buyout of underwater stock options</w:t>
      </w:r>
    </w:p>
    <w:p>
      <w:pPr>
        <w:spacing w:after="0" w:line="86" w:lineRule="exact"/>
        <w:rPr>
          <w:rFonts w:ascii="Arial" w:cs="Arial" w:eastAsia="Arial" w:hAnsi="Arial"/>
          <w:sz w:val="16"/>
          <w:szCs w:val="16"/>
          <w:i w:val="1"/>
          <w:iCs w:val="1"/>
          <w:color w:val="auto"/>
        </w:rPr>
      </w:pPr>
    </w:p>
    <w:p>
      <w:pPr>
        <w:ind w:left="320" w:hanging="262"/>
        <w:spacing w:after="0"/>
        <w:tabs>
          <w:tab w:leader="none" w:pos="320" w:val="left"/>
        </w:tabs>
        <w:numPr>
          <w:ilvl w:val="0"/>
          <w:numId w:val="97"/>
        </w:numPr>
        <w:rPr>
          <w:rFonts w:ascii="Arial" w:cs="Arial" w:eastAsia="Arial" w:hAnsi="Arial"/>
          <w:sz w:val="16"/>
          <w:szCs w:val="16"/>
          <w:i w:val="1"/>
          <w:iCs w:val="1"/>
          <w:color w:val="auto"/>
        </w:rPr>
      </w:pPr>
      <w:r>
        <w:rPr>
          <w:rFonts w:ascii="Arial" w:cs="Arial" w:eastAsia="Arial" w:hAnsi="Arial"/>
          <w:sz w:val="16"/>
          <w:szCs w:val="16"/>
          <w:color w:val="auto"/>
        </w:rPr>
        <w:t>No market timing in granting of equity awards</w:t>
      </w:r>
    </w:p>
    <w:p>
      <w:pPr>
        <w:spacing w:after="0" w:line="2278" w:lineRule="exact"/>
        <w:rPr>
          <w:sz w:val="20"/>
          <w:szCs w:val="20"/>
          <w:color w:val="auto"/>
        </w:rPr>
      </w:pPr>
    </w:p>
    <w:p>
      <w:pPr>
        <w:sectPr>
          <w:pgSz w:w="11900" w:h="16838" w:orient="portrait"/>
          <w:cols w:equalWidth="0" w:num="2">
            <w:col w:w="5280" w:space="720"/>
            <w:col w:w="5140"/>
          </w:cols>
          <w:pgMar w:left="320" w:top="459" w:right="439" w:bottom="1440" w:gutter="0" w:footer="0" w:header="0"/>
          <w:type w:val="continuous"/>
        </w:sectPr>
      </w:pPr>
    </w:p>
    <w:p>
      <w:pPr>
        <w:spacing w:after="0" w:line="146"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33</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Shareholder Say-on-Pay Vote for 2019 and Compensation Actions Taken</w:t>
      </w:r>
    </w:p>
    <w:p>
      <w:pPr>
        <w:spacing w:after="0" w:line="126"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At last year’s annual shareholder meeting, approximately 97% of the votes cast were cast in support of the compensation of our NEOs. The positive results of this vote is one of the many factors our Compensation Committee considers in evaluating our executive compensation program. Following our annual meeting in 2019, the Committee continued to review our compensation program and practices, which included engagement shareholders on a wide variety of topics including corporate governance and compensation. Several changes were made to the compensation program in 2020 based on advice from the Compensation Committee’s new independent compensation consultant and as a response to the COVID-19 pandemic as further described in Section “COVID-19 Pandemic Action Plan” beginning on page 43.</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Procedures for Determining Compensation</w:t>
      </w:r>
    </w:p>
    <w:p>
      <w:pPr>
        <w:spacing w:after="0" w:line="126"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Our Compensation Committee has the overall responsibility for designing and evaluating the salaries, incentive plan compensation, policies and programs for our executive officers, including the NEOs. The Compensation Committee relies on input from an independent compensation consultant and the experience of members of the Compensation Committee to guide our compensation decisions, including compensation of our NEOs. In addition, the Compensation Committee relies on input from our Chief Executive Officer regarding an officer’s individual performance (other than himself) and an analysis of our corporate performance. By a delegation of authority from the Board of Directors, the Compensation Committee has final authority regarding the overall compensation structure for the executive officers, including the NEOs.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of our executive officers consists primarily of four major components:</w:t>
      </w:r>
    </w:p>
    <w:p>
      <w:pPr>
        <w:spacing w:after="0" w:line="77" w:lineRule="exact"/>
        <w:rPr>
          <w:sz w:val="20"/>
          <w:szCs w:val="20"/>
          <w:color w:val="auto"/>
        </w:rPr>
      </w:pPr>
    </w:p>
    <w:p>
      <w:pPr>
        <w:ind w:left="540" w:hanging="316"/>
        <w:spacing w:after="0"/>
        <w:tabs>
          <w:tab w:leader="none" w:pos="540" w:val="left"/>
        </w:tabs>
        <w:numPr>
          <w:ilvl w:val="0"/>
          <w:numId w:val="98"/>
        </w:numPr>
        <w:rPr>
          <w:rFonts w:ascii="Arial" w:cs="Arial" w:eastAsia="Arial" w:hAnsi="Arial"/>
          <w:sz w:val="18"/>
          <w:szCs w:val="18"/>
          <w:color w:val="003B71"/>
        </w:rPr>
      </w:pPr>
      <w:r>
        <w:rPr>
          <w:rFonts w:ascii="Arial" w:cs="Arial" w:eastAsia="Arial" w:hAnsi="Arial"/>
          <w:sz w:val="18"/>
          <w:szCs w:val="18"/>
          <w:color w:val="auto"/>
        </w:rPr>
        <w:t>base salary;</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98"/>
        </w:numPr>
        <w:rPr>
          <w:rFonts w:ascii="Arial" w:cs="Arial" w:eastAsia="Arial" w:hAnsi="Arial"/>
          <w:sz w:val="18"/>
          <w:szCs w:val="18"/>
          <w:color w:val="003B71"/>
        </w:rPr>
      </w:pPr>
      <w:r>
        <w:rPr>
          <w:rFonts w:ascii="Arial" w:cs="Arial" w:eastAsia="Arial" w:hAnsi="Arial"/>
          <w:sz w:val="18"/>
          <w:szCs w:val="18"/>
          <w:color w:val="auto"/>
        </w:rPr>
        <w:t>annual incentive awards;</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98"/>
        </w:numPr>
        <w:rPr>
          <w:rFonts w:ascii="Arial" w:cs="Arial" w:eastAsia="Arial" w:hAnsi="Arial"/>
          <w:sz w:val="18"/>
          <w:szCs w:val="18"/>
          <w:color w:val="003B71"/>
        </w:rPr>
      </w:pPr>
      <w:r>
        <w:rPr>
          <w:rFonts w:ascii="Arial" w:cs="Arial" w:eastAsia="Arial" w:hAnsi="Arial"/>
          <w:sz w:val="18"/>
          <w:szCs w:val="18"/>
          <w:color w:val="auto"/>
        </w:rPr>
        <w:t>long-term incentive awards; and</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98"/>
        </w:numPr>
        <w:rPr>
          <w:rFonts w:ascii="Arial" w:cs="Arial" w:eastAsia="Arial" w:hAnsi="Arial"/>
          <w:sz w:val="18"/>
          <w:szCs w:val="18"/>
          <w:color w:val="003B71"/>
        </w:rPr>
      </w:pPr>
      <w:r>
        <w:rPr>
          <w:rFonts w:ascii="Arial" w:cs="Arial" w:eastAsia="Arial" w:hAnsi="Arial"/>
          <w:sz w:val="18"/>
          <w:szCs w:val="18"/>
          <w:color w:val="auto"/>
        </w:rPr>
        <w:t>other benefits.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of these components is discussed in detail in “Elements of Compensation” below.</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When making compensation decisions, the Compensation Committee considers, among other things:</w:t>
      </w:r>
    </w:p>
    <w:p>
      <w:pPr>
        <w:spacing w:after="0" w:line="77" w:lineRule="exact"/>
        <w:rPr>
          <w:sz w:val="20"/>
          <w:szCs w:val="20"/>
          <w:color w:val="auto"/>
        </w:rPr>
      </w:pPr>
    </w:p>
    <w:p>
      <w:pPr>
        <w:ind w:left="540" w:hanging="316"/>
        <w:spacing w:after="0"/>
        <w:tabs>
          <w:tab w:leader="none" w:pos="540" w:val="left"/>
        </w:tabs>
        <w:numPr>
          <w:ilvl w:val="0"/>
          <w:numId w:val="99"/>
        </w:numPr>
        <w:rPr>
          <w:rFonts w:ascii="Arial" w:cs="Arial" w:eastAsia="Arial" w:hAnsi="Arial"/>
          <w:sz w:val="18"/>
          <w:szCs w:val="18"/>
          <w:color w:val="003B71"/>
        </w:rPr>
      </w:pPr>
      <w:r>
        <w:rPr>
          <w:rFonts w:ascii="Arial" w:cs="Arial" w:eastAsia="Arial" w:hAnsi="Arial"/>
          <w:sz w:val="18"/>
          <w:szCs w:val="18"/>
          <w:color w:val="auto"/>
        </w:rPr>
        <w:t>the Company’s short- and long-term performance relative to financial and strategic targets;</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99"/>
        </w:numPr>
        <w:rPr>
          <w:rFonts w:ascii="Arial" w:cs="Arial" w:eastAsia="Arial" w:hAnsi="Arial"/>
          <w:sz w:val="18"/>
          <w:szCs w:val="18"/>
          <w:color w:val="003B71"/>
        </w:rPr>
      </w:pPr>
      <w:r>
        <w:rPr>
          <w:rFonts w:ascii="Arial" w:cs="Arial" w:eastAsia="Arial" w:hAnsi="Arial"/>
          <w:sz w:val="18"/>
          <w:szCs w:val="18"/>
          <w:color w:val="auto"/>
        </w:rPr>
        <w:t>the executive officer’s prior experience and sustained individual performance;</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99"/>
        </w:numPr>
        <w:rPr>
          <w:rFonts w:ascii="Arial" w:cs="Arial" w:eastAsia="Arial" w:hAnsi="Arial"/>
          <w:sz w:val="18"/>
          <w:szCs w:val="18"/>
          <w:color w:val="003B71"/>
        </w:rPr>
      </w:pPr>
      <w:r>
        <w:rPr>
          <w:rFonts w:ascii="Arial" w:cs="Arial" w:eastAsia="Arial" w:hAnsi="Arial"/>
          <w:sz w:val="18"/>
          <w:szCs w:val="18"/>
          <w:color w:val="auto"/>
        </w:rPr>
        <w:t>the significance of the executive officer’s contributions to the ongoing success of the Company;</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99"/>
        </w:numPr>
        <w:rPr>
          <w:rFonts w:ascii="Arial" w:cs="Arial" w:eastAsia="Arial" w:hAnsi="Arial"/>
          <w:sz w:val="18"/>
          <w:szCs w:val="18"/>
          <w:color w:val="003B71"/>
        </w:rPr>
      </w:pPr>
      <w:r>
        <w:rPr>
          <w:rFonts w:ascii="Arial" w:cs="Arial" w:eastAsia="Arial" w:hAnsi="Arial"/>
          <w:sz w:val="18"/>
          <w:szCs w:val="18"/>
          <w:color w:val="auto"/>
        </w:rPr>
        <w:t>the scope of the executive officer’s responsibilities;</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99"/>
        </w:numPr>
        <w:rPr>
          <w:rFonts w:ascii="Arial" w:cs="Arial" w:eastAsia="Arial" w:hAnsi="Arial"/>
          <w:sz w:val="18"/>
          <w:szCs w:val="18"/>
          <w:color w:val="003B71"/>
        </w:rPr>
      </w:pPr>
      <w:r>
        <w:rPr>
          <w:rFonts w:ascii="Arial" w:cs="Arial" w:eastAsia="Arial" w:hAnsi="Arial"/>
          <w:sz w:val="18"/>
          <w:szCs w:val="18"/>
          <w:color w:val="auto"/>
        </w:rPr>
        <w:t>the future value the executive officer is expected to bring to the Company; and</w:t>
      </w:r>
    </w:p>
    <w:p>
      <w:pPr>
        <w:spacing w:after="0" w:line="76" w:lineRule="exact"/>
        <w:rPr>
          <w:rFonts w:ascii="Arial" w:cs="Arial" w:eastAsia="Arial" w:hAnsi="Arial"/>
          <w:sz w:val="18"/>
          <w:szCs w:val="18"/>
          <w:color w:val="003B71"/>
        </w:rPr>
      </w:pPr>
    </w:p>
    <w:p>
      <w:pPr>
        <w:ind w:left="540" w:right="20" w:hanging="316"/>
        <w:spacing w:after="0" w:line="246" w:lineRule="auto"/>
        <w:tabs>
          <w:tab w:leader="none" w:pos="540" w:val="left"/>
        </w:tabs>
        <w:numPr>
          <w:ilvl w:val="0"/>
          <w:numId w:val="99"/>
        </w:numPr>
        <w:rPr>
          <w:rFonts w:ascii="Arial" w:cs="Arial" w:eastAsia="Arial" w:hAnsi="Arial"/>
          <w:sz w:val="18"/>
          <w:szCs w:val="18"/>
          <w:color w:val="003B71"/>
        </w:rPr>
      </w:pPr>
      <w:r>
        <w:rPr>
          <w:rFonts w:ascii="Arial" w:cs="Arial" w:eastAsia="Arial" w:hAnsi="Arial"/>
          <w:sz w:val="18"/>
          <w:szCs w:val="18"/>
          <w:color w:val="auto"/>
        </w:rPr>
        <w:t>the results of benchmarking studies, which illustrate value of the executive officer’s total compensation package relative to others in the industries with which we compete for talent.</w:t>
      </w:r>
    </w:p>
    <w:p>
      <w:pPr>
        <w:spacing w:after="0" w:line="121"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34</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In fiscal 2019, the Compensation Committee engaged the compensation consulting firm Aon Consulting to conduct a benchmarking study of executive compensation programs, provide analysis and advice regarding plan design for short- and long-term incentive plans, and provide analysis and advice concerning trends and regulatory developments in executive compensation. Aon Consulting evaluated our market competitiveness against (a) a custom peer group and (b) Aon Consulting’s Total Compensation Measurement survey of retail companies. The peer group against which we compared ourselves in fiscal 2019 includes (i) casual dining restaurants that offer an “experience”; (ii) casual dining concepts with which we compete for leadership talent; (iii) companies that focus on entertainment, including casino &amp; gaming companies; (iv) hotels, resorts &amp; cruise lines; and (v) leisure facilities. At the time of comparison, all members of the peer group were publicly-traded companies that had revenues between 0.3 times to 2.5 times our revenue and in aggregate, had a restaurant/entertainment mix similar to our income mix:</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480" w:type="dxa"/>
            <w:vAlign w:val="bottom"/>
            <w:tcBorders>
              <w:top w:val="single" w:sz="8" w:color="003B71"/>
            </w:tcBorders>
            <w:shd w:val="clear" w:color="auto" w:fill="E5E5E5"/>
          </w:tcPr>
          <w:p>
            <w:pPr>
              <w:ind w:left="220"/>
              <w:spacing w:after="0"/>
              <w:rPr>
                <w:sz w:val="20"/>
                <w:szCs w:val="20"/>
                <w:color w:val="auto"/>
              </w:rPr>
            </w:pPr>
            <w:r>
              <w:rPr>
                <w:rFonts w:ascii="Arial" w:cs="Arial" w:eastAsia="Arial" w:hAnsi="Arial"/>
                <w:sz w:val="16"/>
                <w:szCs w:val="16"/>
                <w:color w:val="auto"/>
              </w:rPr>
              <w:t>BJ’s Restaurants, Inc.</w:t>
            </w:r>
          </w:p>
        </w:tc>
        <w:tc>
          <w:tcPr>
            <w:tcW w:w="3740" w:type="dxa"/>
            <w:vAlign w:val="bottom"/>
            <w:tcBorders>
              <w:top w:val="single" w:sz="8" w:color="003B71"/>
            </w:tcBorders>
            <w:shd w:val="clear" w:color="auto" w:fill="E5E5E5"/>
          </w:tcPr>
          <w:p>
            <w:pPr>
              <w:ind w:left="500"/>
              <w:spacing w:after="0"/>
              <w:rPr>
                <w:sz w:val="20"/>
                <w:szCs w:val="20"/>
                <w:color w:val="auto"/>
              </w:rPr>
            </w:pPr>
            <w:r>
              <w:rPr>
                <w:rFonts w:ascii="Arial" w:cs="Arial" w:eastAsia="Arial" w:hAnsi="Arial"/>
                <w:sz w:val="16"/>
                <w:szCs w:val="16"/>
                <w:color w:val="auto"/>
              </w:rPr>
              <w:t>Cracker Barrel Old Country Store, Inc.</w:t>
            </w:r>
          </w:p>
        </w:tc>
        <w:tc>
          <w:tcPr>
            <w:tcW w:w="3800" w:type="dxa"/>
            <w:vAlign w:val="bottom"/>
            <w:tcBorders>
              <w:top w:val="single" w:sz="8" w:color="003B71"/>
            </w:tcBorders>
            <w:shd w:val="clear" w:color="auto" w:fill="E5E5E5"/>
          </w:tcPr>
          <w:p>
            <w:pPr>
              <w:ind w:left="500"/>
              <w:spacing w:after="0"/>
              <w:rPr>
                <w:sz w:val="20"/>
                <w:szCs w:val="20"/>
                <w:color w:val="auto"/>
              </w:rPr>
            </w:pPr>
            <w:r>
              <w:rPr>
                <w:rFonts w:ascii="Arial" w:cs="Arial" w:eastAsia="Arial" w:hAnsi="Arial"/>
                <w:sz w:val="16"/>
                <w:szCs w:val="16"/>
                <w:color w:val="auto"/>
              </w:rPr>
              <w:t>Red Robin Gourmet Burgers, Inc.</w:t>
            </w:r>
          </w:p>
        </w:tc>
      </w:tr>
      <w:tr>
        <w:trPr>
          <w:trHeight w:val="189"/>
        </w:trPr>
        <w:tc>
          <w:tcPr>
            <w:tcW w:w="3480" w:type="dxa"/>
            <w:vAlign w:val="bottom"/>
          </w:tcPr>
          <w:p>
            <w:pPr>
              <w:ind w:left="220"/>
              <w:spacing w:after="0"/>
              <w:rPr>
                <w:sz w:val="20"/>
                <w:szCs w:val="20"/>
                <w:color w:val="auto"/>
              </w:rPr>
            </w:pPr>
            <w:r>
              <w:rPr>
                <w:rFonts w:ascii="Arial" w:cs="Arial" w:eastAsia="Arial" w:hAnsi="Arial"/>
                <w:sz w:val="16"/>
                <w:szCs w:val="16"/>
                <w:color w:val="auto"/>
              </w:rPr>
              <w:t>Bloomin’ Brands</w:t>
            </w:r>
          </w:p>
        </w:tc>
        <w:tc>
          <w:tcPr>
            <w:tcW w:w="3740" w:type="dxa"/>
            <w:vAlign w:val="bottom"/>
          </w:tcPr>
          <w:p>
            <w:pPr>
              <w:ind w:left="500"/>
              <w:spacing w:after="0"/>
              <w:rPr>
                <w:sz w:val="20"/>
                <w:szCs w:val="20"/>
                <w:color w:val="auto"/>
              </w:rPr>
            </w:pPr>
            <w:r>
              <w:rPr>
                <w:rFonts w:ascii="Arial" w:cs="Arial" w:eastAsia="Arial" w:hAnsi="Arial"/>
                <w:sz w:val="16"/>
                <w:szCs w:val="16"/>
                <w:color w:val="auto"/>
              </w:rPr>
              <w:t>Dine Brands Global, Inc.</w:t>
            </w:r>
          </w:p>
        </w:tc>
        <w:tc>
          <w:tcPr>
            <w:tcW w:w="3800" w:type="dxa"/>
            <w:vAlign w:val="bottom"/>
          </w:tcPr>
          <w:p>
            <w:pPr>
              <w:ind w:left="500"/>
              <w:spacing w:after="0"/>
              <w:rPr>
                <w:sz w:val="20"/>
                <w:szCs w:val="20"/>
                <w:color w:val="auto"/>
              </w:rPr>
            </w:pPr>
            <w:r>
              <w:rPr>
                <w:rFonts w:ascii="Arial" w:cs="Arial" w:eastAsia="Arial" w:hAnsi="Arial"/>
                <w:sz w:val="16"/>
                <w:szCs w:val="16"/>
                <w:color w:val="auto"/>
              </w:rPr>
              <w:t>SeaWorld Entertainment, Inc.</w:t>
            </w:r>
          </w:p>
        </w:tc>
      </w:tr>
      <w:tr>
        <w:trPr>
          <w:trHeight w:val="189"/>
        </w:trPr>
        <w:tc>
          <w:tcPr>
            <w:tcW w:w="34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Brinker International, Inc.</w:t>
            </w:r>
          </w:p>
        </w:tc>
        <w:tc>
          <w:tcPr>
            <w:tcW w:w="3740" w:type="dxa"/>
            <w:vAlign w:val="bottom"/>
            <w:shd w:val="clear" w:color="auto" w:fill="E5E5E5"/>
          </w:tcPr>
          <w:p>
            <w:pPr>
              <w:ind w:left="500"/>
              <w:spacing w:after="0"/>
              <w:rPr>
                <w:sz w:val="20"/>
                <w:szCs w:val="20"/>
                <w:color w:val="auto"/>
              </w:rPr>
            </w:pPr>
            <w:r>
              <w:rPr>
                <w:rFonts w:ascii="Arial" w:cs="Arial" w:eastAsia="Arial" w:hAnsi="Arial"/>
                <w:sz w:val="16"/>
                <w:szCs w:val="16"/>
                <w:color w:val="auto"/>
              </w:rPr>
              <w:t>Eldorado Resorts, Inc.</w:t>
            </w:r>
          </w:p>
        </w:tc>
        <w:tc>
          <w:tcPr>
            <w:tcW w:w="3800" w:type="dxa"/>
            <w:vAlign w:val="bottom"/>
            <w:shd w:val="clear" w:color="auto" w:fill="E5E5E5"/>
          </w:tcPr>
          <w:p>
            <w:pPr>
              <w:ind w:left="500"/>
              <w:spacing w:after="0"/>
              <w:rPr>
                <w:sz w:val="20"/>
                <w:szCs w:val="20"/>
                <w:color w:val="auto"/>
              </w:rPr>
            </w:pPr>
            <w:r>
              <w:rPr>
                <w:rFonts w:ascii="Arial" w:cs="Arial" w:eastAsia="Arial" w:hAnsi="Arial"/>
                <w:sz w:val="16"/>
                <w:szCs w:val="16"/>
                <w:color w:val="auto"/>
              </w:rPr>
              <w:t>Six Flags Entertainment Corporation</w:t>
            </w:r>
          </w:p>
        </w:tc>
      </w:tr>
      <w:tr>
        <w:trPr>
          <w:trHeight w:val="189"/>
        </w:trPr>
        <w:tc>
          <w:tcPr>
            <w:tcW w:w="3480" w:type="dxa"/>
            <w:vAlign w:val="bottom"/>
          </w:tcPr>
          <w:p>
            <w:pPr>
              <w:ind w:left="220"/>
              <w:spacing w:after="0"/>
              <w:rPr>
                <w:sz w:val="20"/>
                <w:szCs w:val="20"/>
                <w:color w:val="auto"/>
              </w:rPr>
            </w:pPr>
            <w:r>
              <w:rPr>
                <w:rFonts w:ascii="Arial" w:cs="Arial" w:eastAsia="Arial" w:hAnsi="Arial"/>
                <w:sz w:val="16"/>
                <w:szCs w:val="16"/>
                <w:color w:val="auto"/>
              </w:rPr>
              <w:t>Cedar Fair, L.P.</w:t>
            </w:r>
          </w:p>
        </w:tc>
        <w:tc>
          <w:tcPr>
            <w:tcW w:w="3740" w:type="dxa"/>
            <w:vAlign w:val="bottom"/>
          </w:tcPr>
          <w:p>
            <w:pPr>
              <w:ind w:left="500"/>
              <w:spacing w:after="0"/>
              <w:rPr>
                <w:sz w:val="20"/>
                <w:szCs w:val="20"/>
                <w:color w:val="auto"/>
              </w:rPr>
            </w:pPr>
            <w:r>
              <w:rPr>
                <w:rFonts w:ascii="Arial" w:cs="Arial" w:eastAsia="Arial" w:hAnsi="Arial"/>
                <w:sz w:val="16"/>
                <w:szCs w:val="16"/>
                <w:color w:val="auto"/>
              </w:rPr>
              <w:t>International Speedway Corporation</w:t>
            </w:r>
          </w:p>
        </w:tc>
        <w:tc>
          <w:tcPr>
            <w:tcW w:w="3800" w:type="dxa"/>
            <w:vAlign w:val="bottom"/>
          </w:tcPr>
          <w:p>
            <w:pPr>
              <w:ind w:left="500"/>
              <w:spacing w:after="0"/>
              <w:rPr>
                <w:sz w:val="20"/>
                <w:szCs w:val="20"/>
                <w:color w:val="auto"/>
              </w:rPr>
            </w:pPr>
            <w:r>
              <w:rPr>
                <w:rFonts w:ascii="Arial" w:cs="Arial" w:eastAsia="Arial" w:hAnsi="Arial"/>
                <w:sz w:val="16"/>
                <w:szCs w:val="16"/>
                <w:color w:val="auto"/>
              </w:rPr>
              <w:t>Speedway Motorsports, Inc.</w:t>
            </w:r>
          </w:p>
        </w:tc>
      </w:tr>
      <w:tr>
        <w:trPr>
          <w:trHeight w:val="189"/>
        </w:trPr>
        <w:tc>
          <w:tcPr>
            <w:tcW w:w="34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The Cheesecake Factory Incorporated</w:t>
            </w:r>
          </w:p>
        </w:tc>
        <w:tc>
          <w:tcPr>
            <w:tcW w:w="3740" w:type="dxa"/>
            <w:vAlign w:val="bottom"/>
            <w:shd w:val="clear" w:color="auto" w:fill="E5E5E5"/>
          </w:tcPr>
          <w:p>
            <w:pPr>
              <w:ind w:left="500"/>
              <w:spacing w:after="0"/>
              <w:rPr>
                <w:sz w:val="20"/>
                <w:szCs w:val="20"/>
                <w:color w:val="auto"/>
              </w:rPr>
            </w:pPr>
            <w:r>
              <w:rPr>
                <w:rFonts w:ascii="Arial" w:cs="Arial" w:eastAsia="Arial" w:hAnsi="Arial"/>
                <w:sz w:val="16"/>
                <w:szCs w:val="16"/>
                <w:color w:val="auto"/>
              </w:rPr>
              <w:t>The Marcus Corporation</w:t>
            </w:r>
          </w:p>
        </w:tc>
        <w:tc>
          <w:tcPr>
            <w:tcW w:w="3800" w:type="dxa"/>
            <w:vAlign w:val="bottom"/>
            <w:shd w:val="clear" w:color="auto" w:fill="E5E5E5"/>
          </w:tcPr>
          <w:p>
            <w:pPr>
              <w:ind w:left="500"/>
              <w:spacing w:after="0"/>
              <w:rPr>
                <w:sz w:val="20"/>
                <w:szCs w:val="20"/>
                <w:color w:val="auto"/>
              </w:rPr>
            </w:pPr>
            <w:r>
              <w:rPr>
                <w:rFonts w:ascii="Arial" w:cs="Arial" w:eastAsia="Arial" w:hAnsi="Arial"/>
                <w:sz w:val="16"/>
                <w:szCs w:val="16"/>
                <w:color w:val="auto"/>
              </w:rPr>
              <w:t>Texas Roadhouse, Inc.</w:t>
            </w:r>
          </w:p>
        </w:tc>
      </w:tr>
      <w:tr>
        <w:trPr>
          <w:trHeight w:val="189"/>
        </w:trPr>
        <w:tc>
          <w:tcPr>
            <w:tcW w:w="3480" w:type="dxa"/>
            <w:vAlign w:val="bottom"/>
          </w:tcPr>
          <w:p>
            <w:pPr>
              <w:ind w:left="220"/>
              <w:spacing w:after="0"/>
              <w:rPr>
                <w:sz w:val="20"/>
                <w:szCs w:val="20"/>
                <w:color w:val="auto"/>
              </w:rPr>
            </w:pPr>
            <w:r>
              <w:rPr>
                <w:rFonts w:ascii="Arial" w:cs="Arial" w:eastAsia="Arial" w:hAnsi="Arial"/>
                <w:sz w:val="16"/>
                <w:szCs w:val="16"/>
                <w:color w:val="auto"/>
              </w:rPr>
              <w:t>Churchill Downs Incorporated</w:t>
            </w:r>
          </w:p>
        </w:tc>
        <w:tc>
          <w:tcPr>
            <w:tcW w:w="3740" w:type="dxa"/>
            <w:vAlign w:val="bottom"/>
          </w:tcPr>
          <w:p>
            <w:pPr>
              <w:ind w:left="500"/>
              <w:spacing w:after="0"/>
              <w:rPr>
                <w:sz w:val="20"/>
                <w:szCs w:val="20"/>
                <w:color w:val="auto"/>
              </w:rPr>
            </w:pPr>
            <w:r>
              <w:rPr>
                <w:rFonts w:ascii="Arial" w:cs="Arial" w:eastAsia="Arial" w:hAnsi="Arial"/>
                <w:sz w:val="16"/>
                <w:szCs w:val="16"/>
                <w:color w:val="auto"/>
              </w:rPr>
              <w:t>Penn National Gaming, Inc.</w:t>
            </w:r>
          </w:p>
        </w:tc>
        <w:tc>
          <w:tcPr>
            <w:tcW w:w="3800" w:type="dxa"/>
            <w:vAlign w:val="bottom"/>
          </w:tcPr>
          <w:p>
            <w:pPr>
              <w:ind w:left="500"/>
              <w:spacing w:after="0"/>
              <w:rPr>
                <w:sz w:val="20"/>
                <w:szCs w:val="20"/>
                <w:color w:val="auto"/>
              </w:rPr>
            </w:pPr>
            <w:r>
              <w:rPr>
                <w:rFonts w:ascii="Arial" w:cs="Arial" w:eastAsia="Arial" w:hAnsi="Arial"/>
                <w:sz w:val="16"/>
                <w:szCs w:val="16"/>
                <w:color w:val="auto"/>
              </w:rPr>
              <w:t>Vail Resorts, Inc.</w:t>
            </w:r>
          </w:p>
        </w:tc>
      </w:tr>
      <w:tr>
        <w:trPr>
          <w:trHeight w:val="189"/>
        </w:trPr>
        <w:tc>
          <w:tcPr>
            <w:tcW w:w="3480" w:type="dxa"/>
            <w:vAlign w:val="bottom"/>
            <w:tcBorders>
              <w:bottom w:val="single" w:sz="8" w:color="003B71"/>
            </w:tcBorders>
            <w:shd w:val="clear" w:color="auto" w:fill="E5E5E5"/>
          </w:tcPr>
          <w:p>
            <w:pPr>
              <w:ind w:left="220"/>
              <w:spacing w:after="0"/>
              <w:rPr>
                <w:sz w:val="20"/>
                <w:szCs w:val="20"/>
                <w:color w:val="auto"/>
              </w:rPr>
            </w:pPr>
            <w:r>
              <w:rPr>
                <w:rFonts w:ascii="Arial" w:cs="Arial" w:eastAsia="Arial" w:hAnsi="Arial"/>
                <w:sz w:val="16"/>
                <w:szCs w:val="16"/>
                <w:color w:val="auto"/>
              </w:rPr>
              <w:t>Cinemark Holdings, Inc.</w:t>
            </w:r>
          </w:p>
        </w:tc>
        <w:tc>
          <w:tcPr>
            <w:tcW w:w="3740" w:type="dxa"/>
            <w:vAlign w:val="bottom"/>
            <w:tcBorders>
              <w:bottom w:val="single" w:sz="8" w:color="003B71"/>
            </w:tcBorders>
            <w:shd w:val="clear" w:color="auto" w:fill="E5E5E5"/>
          </w:tcPr>
          <w:p>
            <w:pPr>
              <w:spacing w:after="0"/>
              <w:rPr>
                <w:sz w:val="16"/>
                <w:szCs w:val="16"/>
                <w:color w:val="auto"/>
              </w:rPr>
            </w:pPr>
          </w:p>
        </w:tc>
        <w:tc>
          <w:tcPr>
            <w:tcW w:w="3800" w:type="dxa"/>
            <w:vAlign w:val="bottom"/>
            <w:tcBorders>
              <w:bottom w:val="single" w:sz="8" w:color="003B71"/>
            </w:tcBorders>
            <w:shd w:val="clear" w:color="auto" w:fill="E5E5E5"/>
          </w:tcPr>
          <w:p>
            <w:pPr>
              <w:spacing w:after="0"/>
              <w:rPr>
                <w:sz w:val="16"/>
                <w:szCs w:val="16"/>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fiscal 2019, no changes occurred to the peer group.</w:t>
      </w:r>
    </w:p>
    <w:p>
      <w:pPr>
        <w:spacing w:after="0" w:line="212"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Few direct comparable peers to the Company exist among the peer group. As a result, due to the size differences among the peer group and the Company, Aon Consulting used regression analysis to size-adjust the results. Aon Consulting had no other direct business relationship with the Company and received no payments from us other than the fees and expenses for services to the Compensation Committee.</w:t>
      </w:r>
    </w:p>
    <w:p>
      <w:pPr>
        <w:spacing w:after="0" w:line="205"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With respect to the compensation for the Chief Executive Officer, the Compensation Committee evaluates the Chief Executive Officer’s performance and sets his compensation. With respect to our corporate performance as a factor in compensation decisions, the Compensation Committee considers, among other aspects, the achievement of our long-term and short-term strategic goals, revenue goals, profitability, and return to our investors. Our Chief Executive Officer plays an important advisory role in the compensation-setting process of the other executive officers, including the NEOs. Our Chief Executive Officer evaluates the performance of the other executive officers and makes recommendations to the Compensation Committee concerning performance objectives and salary and bonus levels for the other executive officers, including the NEOs. The Compensation Committee annually discusses the recommendations with the Chief Executive Officer. The Compensation Committee may, in its sole discretion, approve, in whole or in part, the recommendations of the Chief Executive Officer. In fiscal 2019, the Compensation Committee approved Mr. Jenkins’s recommendations for salary and bonus with respect to each of the other executive officers, including the NEOs.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Pay for Performance Alignment</w:t>
      </w:r>
    </w:p>
    <w:p>
      <w:pPr>
        <w:spacing w:after="0" w:line="126"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We work to leverage our executive compensation structure to drive outstanding Company performance and provide appropriate rewards for sustained, strong individual performance. A significant portion of each executive officer’s pay is at-risk and awarded in the form of cash- and stock-based short- and long-term incentive grants. These incentive grants, which are discussed below, link each executive officer’s annual income to the achievement of short- and long-term financial and strategic goals. As such, executive officers, including the NEOs, face a risk of forfeiture or a reduced payout if the Company fails to meet its financial and strategic objectives. Under each incentive plan, target compensation is only earned if the designated financial and strategic objectives are met. Each incentive plan offers above-target payouts for outstanding performance; alternatively, no incentive may be earned if a threshold level of performance is not achieved. Further, the Compensation Committee aims to link any adjustments to an executive officer’s base salary to his or her individual performance.</w:t>
      </w:r>
    </w:p>
    <w:p>
      <w:pPr>
        <w:spacing w:after="0" w:line="207"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In evaluating whether the compensation programs appropriately link each executive officer’s compensation to Company performance, the Compensation Committee reviews and evaluates the achievements of the Company in</w:t>
      </w:r>
    </w:p>
    <w:p>
      <w:pPr>
        <w:spacing w:after="0" w:line="121"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35</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fiscal year. In fiscal 2019 the Company grew total revenues, new store openings, earnings per share, and EBITDA, but also had decreased comparable store sales for the fiscal year. Key accomplishments are more specifically detailed in our Annual Report on Form 10-K. The Compensation Committee believes each element of the compensation program was effective at aligning the executive officers with the Company’s objectives and the interests of shareholders and at appropriately recognizing the results the Company achieved under their leadership.</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Elements of Compensation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Base Salary</w:t>
      </w:r>
    </w:p>
    <w:p>
      <w:pPr>
        <w:spacing w:after="0" w:line="122"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A portion of each executive officer’s total compensation is in the form of base salary. This is a fixed cash payment, expressed as an annualized salary. The salary component was designed to provide the executive officers with consistent income and to attract and retain talented and experienced executives capable of managing our operations and strategic growth. In alignment with our compensation philosophy, the Compensation Committee believes that having base salary levels that position us appropriately relative to the market and reflect the performance and level of responsibility of each executive officer is key to providing a competitive total compensation package. Annually, the performance of each executive officer, including the NEOs, is reviewed by the Compensation Committee using information and evaluations provided by the Chief Executive Officer, taking into account our operating and financial results for the year, an assessment of the contribution of each executive officer to such results, the achievement of our strategic growth and any changes in the role and responsibility of an executive officer. In addition, the Compensation Committee considers the results of the benchmarking study and the market competitiveness of each NEO’s base salary (generally targeting the 50</w:t>
      </w:r>
      <w:r>
        <w:rPr>
          <w:rFonts w:ascii="Arial" w:cs="Arial" w:eastAsia="Arial" w:hAnsi="Arial"/>
          <w:sz w:val="15"/>
          <w:szCs w:val="15"/>
          <w:color w:val="auto"/>
        </w:rPr>
        <w:t>th</w:t>
      </w:r>
      <w:r>
        <w:rPr>
          <w:rFonts w:ascii="Arial" w:cs="Arial" w:eastAsia="Arial" w:hAnsi="Arial"/>
          <w:sz w:val="18"/>
          <w:szCs w:val="18"/>
          <w:color w:val="auto"/>
        </w:rPr>
        <w:t xml:space="preserve"> percentile of the benchmark data) to determine appropriate merit- and market-based increases to each executive’s base salary. In fiscal 2019, some of the NEOs received merit-based increases to base salary as noted in the chart below.</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10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Name</w:t>
            </w:r>
          </w:p>
        </w:tc>
        <w:tc>
          <w:tcPr>
            <w:tcW w:w="3560" w:type="dxa"/>
            <w:vAlign w:val="bottom"/>
            <w:tcBorders>
              <w:bottom w:val="single" w:sz="8" w:color="003B71"/>
            </w:tcBorders>
          </w:tcPr>
          <w:p>
            <w:pPr>
              <w:ind w:left="2560"/>
              <w:spacing w:after="0"/>
              <w:rPr>
                <w:sz w:val="20"/>
                <w:szCs w:val="20"/>
                <w:color w:val="auto"/>
              </w:rPr>
            </w:pPr>
            <w:r>
              <w:rPr>
                <w:rFonts w:ascii="Arial" w:cs="Arial" w:eastAsia="Arial" w:hAnsi="Arial"/>
                <w:sz w:val="14"/>
                <w:szCs w:val="14"/>
                <w:b w:val="1"/>
                <w:bCs w:val="1"/>
                <w:color w:val="003B71"/>
              </w:rPr>
              <w:t>New Base</w:t>
            </w:r>
          </w:p>
        </w:tc>
        <w:tc>
          <w:tcPr>
            <w:tcW w:w="1520" w:type="dxa"/>
            <w:vAlign w:val="bottom"/>
            <w:tcBorders>
              <w:bottom w:val="single" w:sz="8" w:color="003B71"/>
            </w:tcBorders>
            <w:gridSpan w:val="2"/>
          </w:tcPr>
          <w:p>
            <w:pPr>
              <w:ind w:left="300"/>
              <w:spacing w:after="0"/>
              <w:rPr>
                <w:sz w:val="20"/>
                <w:szCs w:val="20"/>
                <w:color w:val="auto"/>
              </w:rPr>
            </w:pPr>
            <w:r>
              <w:rPr>
                <w:rFonts w:ascii="Arial" w:cs="Arial" w:eastAsia="Arial" w:hAnsi="Arial"/>
                <w:sz w:val="14"/>
                <w:szCs w:val="14"/>
                <w:b w:val="1"/>
                <w:bCs w:val="1"/>
                <w:color w:val="003B71"/>
              </w:rPr>
              <w:t>Previous Base</w:t>
            </w:r>
          </w:p>
        </w:tc>
        <w:tc>
          <w:tcPr>
            <w:tcW w:w="1840" w:type="dxa"/>
            <w:vAlign w:val="bottom"/>
            <w:tcBorders>
              <w:bottom w:val="single" w:sz="8" w:color="003B71"/>
            </w:tcBorders>
          </w:tcPr>
          <w:p>
            <w:pPr>
              <w:jc w:val="right"/>
              <w:ind w:right="141"/>
              <w:spacing w:after="0"/>
              <w:rPr>
                <w:sz w:val="20"/>
                <w:szCs w:val="20"/>
                <w:color w:val="auto"/>
              </w:rPr>
            </w:pPr>
            <w:r>
              <w:rPr>
                <w:rFonts w:ascii="Arial" w:cs="Arial" w:eastAsia="Arial" w:hAnsi="Arial"/>
                <w:sz w:val="14"/>
                <w:szCs w:val="14"/>
                <w:b w:val="1"/>
                <w:bCs w:val="1"/>
                <w:color w:val="003B71"/>
              </w:rPr>
              <w:t>Percentage Increase</w:t>
            </w:r>
          </w:p>
        </w:tc>
      </w:tr>
      <w:tr>
        <w:trPr>
          <w:trHeight w:val="183"/>
        </w:trPr>
        <w:tc>
          <w:tcPr>
            <w:tcW w:w="410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Brian A. Jenkins</w:t>
            </w:r>
          </w:p>
        </w:tc>
        <w:tc>
          <w:tcPr>
            <w:tcW w:w="3560" w:type="dxa"/>
            <w:vAlign w:val="bottom"/>
            <w:shd w:val="clear" w:color="auto" w:fill="E5E5E5"/>
          </w:tcPr>
          <w:p>
            <w:pPr>
              <w:ind w:left="2560"/>
              <w:spacing w:after="0" w:line="183" w:lineRule="exact"/>
              <w:rPr>
                <w:sz w:val="20"/>
                <w:szCs w:val="20"/>
                <w:color w:val="auto"/>
              </w:rPr>
            </w:pPr>
            <w:r>
              <w:rPr>
                <w:rFonts w:ascii="Arial" w:cs="Arial" w:eastAsia="Arial" w:hAnsi="Arial"/>
                <w:sz w:val="16"/>
                <w:szCs w:val="16"/>
                <w:color w:val="auto"/>
              </w:rPr>
              <w:t>$780,000</w:t>
            </w:r>
          </w:p>
        </w:tc>
        <w:tc>
          <w:tcPr>
            <w:tcW w:w="560" w:type="dxa"/>
            <w:vAlign w:val="bottom"/>
            <w:shd w:val="clear" w:color="auto" w:fill="E5E5E5"/>
          </w:tcPr>
          <w:p>
            <w:pPr>
              <w:ind w:left="300"/>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139"/>
              <w:spacing w:after="0" w:line="183" w:lineRule="exact"/>
              <w:rPr>
                <w:sz w:val="20"/>
                <w:szCs w:val="20"/>
                <w:color w:val="auto"/>
              </w:rPr>
            </w:pPr>
            <w:r>
              <w:rPr>
                <w:rFonts w:ascii="Arial" w:cs="Arial" w:eastAsia="Arial" w:hAnsi="Arial"/>
                <w:sz w:val="16"/>
                <w:szCs w:val="16"/>
                <w:color w:val="auto"/>
              </w:rPr>
              <w:t>750,000</w:t>
            </w:r>
          </w:p>
        </w:tc>
        <w:tc>
          <w:tcPr>
            <w:tcW w:w="1840" w:type="dxa"/>
            <w:vAlign w:val="bottom"/>
            <w:shd w:val="clear" w:color="auto" w:fill="E5E5E5"/>
          </w:tcPr>
          <w:p>
            <w:pPr>
              <w:jc w:val="right"/>
              <w:ind w:right="1"/>
              <w:spacing w:after="0" w:line="183" w:lineRule="exact"/>
              <w:rPr>
                <w:sz w:val="20"/>
                <w:szCs w:val="20"/>
                <w:color w:val="auto"/>
              </w:rPr>
            </w:pPr>
            <w:r>
              <w:rPr>
                <w:rFonts w:ascii="Arial" w:cs="Arial" w:eastAsia="Arial" w:hAnsi="Arial"/>
                <w:sz w:val="16"/>
                <w:szCs w:val="16"/>
                <w:color w:val="auto"/>
              </w:rPr>
              <w:t>4.00%</w:t>
            </w:r>
          </w:p>
        </w:tc>
      </w:tr>
      <w:tr>
        <w:trPr>
          <w:trHeight w:val="189"/>
        </w:trPr>
        <w:tc>
          <w:tcPr>
            <w:tcW w:w="4100" w:type="dxa"/>
            <w:vAlign w:val="bottom"/>
          </w:tcPr>
          <w:p>
            <w:pPr>
              <w:ind w:left="80"/>
              <w:spacing w:after="0"/>
              <w:rPr>
                <w:sz w:val="20"/>
                <w:szCs w:val="20"/>
                <w:color w:val="auto"/>
              </w:rPr>
            </w:pPr>
            <w:r>
              <w:rPr>
                <w:rFonts w:ascii="Arial" w:cs="Arial" w:eastAsia="Arial" w:hAnsi="Arial"/>
                <w:sz w:val="16"/>
                <w:szCs w:val="16"/>
                <w:color w:val="auto"/>
              </w:rPr>
              <w:t>Scott Bowman(1)</w:t>
            </w:r>
          </w:p>
        </w:tc>
        <w:tc>
          <w:tcPr>
            <w:tcW w:w="3560" w:type="dxa"/>
            <w:vAlign w:val="bottom"/>
          </w:tcPr>
          <w:p>
            <w:pPr>
              <w:ind w:left="2560"/>
              <w:spacing w:after="0"/>
              <w:rPr>
                <w:sz w:val="20"/>
                <w:szCs w:val="20"/>
                <w:color w:val="auto"/>
              </w:rPr>
            </w:pPr>
            <w:r>
              <w:rPr>
                <w:rFonts w:ascii="Arial" w:cs="Arial" w:eastAsia="Arial" w:hAnsi="Arial"/>
                <w:sz w:val="16"/>
                <w:szCs w:val="16"/>
                <w:color w:val="auto"/>
              </w:rPr>
              <w:t>$455,000</w:t>
            </w: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9"/>
        </w:trPr>
        <w:tc>
          <w:tcPr>
            <w:tcW w:w="4100" w:type="dxa"/>
            <w:vAlign w:val="bottom"/>
            <w:shd w:val="clear" w:color="auto" w:fill="E5E5E5"/>
          </w:tcPr>
          <w:p>
            <w:pPr>
              <w:ind w:left="80"/>
              <w:spacing w:after="0"/>
              <w:rPr>
                <w:sz w:val="20"/>
                <w:szCs w:val="20"/>
                <w:color w:val="auto"/>
              </w:rPr>
            </w:pPr>
            <w:r>
              <w:rPr>
                <w:rFonts w:ascii="Arial" w:cs="Arial" w:eastAsia="Arial" w:hAnsi="Arial"/>
                <w:sz w:val="16"/>
                <w:szCs w:val="16"/>
                <w:color w:val="auto"/>
              </w:rPr>
              <w:t>Joe DeProspero(2)</w:t>
            </w:r>
          </w:p>
        </w:tc>
        <w:tc>
          <w:tcPr>
            <w:tcW w:w="3560" w:type="dxa"/>
            <w:vAlign w:val="bottom"/>
            <w:shd w:val="clear" w:color="auto" w:fill="E5E5E5"/>
          </w:tcPr>
          <w:p>
            <w:pPr>
              <w:ind w:left="2560"/>
              <w:spacing w:after="0"/>
              <w:rPr>
                <w:sz w:val="20"/>
                <w:szCs w:val="20"/>
                <w:color w:val="auto"/>
              </w:rPr>
            </w:pPr>
            <w:r>
              <w:rPr>
                <w:rFonts w:ascii="Arial" w:cs="Arial" w:eastAsia="Arial" w:hAnsi="Arial"/>
                <w:sz w:val="16"/>
                <w:szCs w:val="16"/>
                <w:color w:val="auto"/>
              </w:rPr>
              <w:t>$250,000</w:t>
            </w:r>
          </w:p>
        </w:tc>
        <w:tc>
          <w:tcPr>
            <w:tcW w:w="560" w:type="dxa"/>
            <w:vAlign w:val="bottom"/>
            <w:shd w:val="clear" w:color="auto" w:fill="E5E5E5"/>
          </w:tcPr>
          <w:p>
            <w:pPr>
              <w:ind w:left="300"/>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213,000</w:t>
            </w:r>
          </w:p>
        </w:tc>
        <w:tc>
          <w:tcPr>
            <w:tcW w:w="184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17.37%</w:t>
            </w:r>
          </w:p>
        </w:tc>
      </w:tr>
      <w:tr>
        <w:trPr>
          <w:trHeight w:val="189"/>
        </w:trPr>
        <w:tc>
          <w:tcPr>
            <w:tcW w:w="4100" w:type="dxa"/>
            <w:vAlign w:val="bottom"/>
          </w:tcPr>
          <w:p>
            <w:pPr>
              <w:ind w:left="80"/>
              <w:spacing w:after="0"/>
              <w:rPr>
                <w:sz w:val="20"/>
                <w:szCs w:val="20"/>
                <w:color w:val="auto"/>
              </w:rPr>
            </w:pPr>
            <w:r>
              <w:rPr>
                <w:rFonts w:ascii="Arial" w:cs="Arial" w:eastAsia="Arial" w:hAnsi="Arial"/>
                <w:sz w:val="16"/>
                <w:szCs w:val="16"/>
                <w:color w:val="auto"/>
              </w:rPr>
              <w:t>Sean Gleason(3)</w:t>
            </w:r>
          </w:p>
        </w:tc>
        <w:tc>
          <w:tcPr>
            <w:tcW w:w="3560" w:type="dxa"/>
            <w:vAlign w:val="bottom"/>
          </w:tcPr>
          <w:p>
            <w:pPr>
              <w:ind w:left="2560"/>
              <w:spacing w:after="0"/>
              <w:rPr>
                <w:sz w:val="20"/>
                <w:szCs w:val="20"/>
                <w:color w:val="auto"/>
              </w:rPr>
            </w:pPr>
            <w:r>
              <w:rPr>
                <w:rFonts w:ascii="Arial" w:cs="Arial" w:eastAsia="Arial" w:hAnsi="Arial"/>
                <w:sz w:val="16"/>
                <w:szCs w:val="16"/>
                <w:color w:val="auto"/>
              </w:rPr>
              <w:t>$410,000</w:t>
            </w:r>
          </w:p>
        </w:tc>
        <w:tc>
          <w:tcPr>
            <w:tcW w:w="560" w:type="dxa"/>
            <w:vAlign w:val="bottom"/>
          </w:tcPr>
          <w:p>
            <w:pPr>
              <w:ind w:left="3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410,000</w:t>
            </w:r>
          </w:p>
        </w:tc>
        <w:tc>
          <w:tcPr>
            <w:tcW w:w="1840" w:type="dxa"/>
            <w:vAlign w:val="bottom"/>
          </w:tcPr>
          <w:p>
            <w:pPr>
              <w:jc w:val="right"/>
              <w:ind w:right="1"/>
              <w:spacing w:after="0"/>
              <w:rPr>
                <w:sz w:val="20"/>
                <w:szCs w:val="20"/>
                <w:color w:val="auto"/>
              </w:rPr>
            </w:pPr>
            <w:r>
              <w:rPr>
                <w:rFonts w:ascii="Arial" w:cs="Arial" w:eastAsia="Arial" w:hAnsi="Arial"/>
                <w:sz w:val="16"/>
                <w:szCs w:val="16"/>
                <w:color w:val="auto"/>
              </w:rPr>
              <w:t>0.00%</w:t>
            </w:r>
          </w:p>
        </w:tc>
      </w:tr>
      <w:tr>
        <w:trPr>
          <w:trHeight w:val="189"/>
        </w:trPr>
        <w:tc>
          <w:tcPr>
            <w:tcW w:w="4100" w:type="dxa"/>
            <w:vAlign w:val="bottom"/>
            <w:shd w:val="clear" w:color="auto" w:fill="E5E5E5"/>
          </w:tcPr>
          <w:p>
            <w:pPr>
              <w:ind w:left="80"/>
              <w:spacing w:after="0"/>
              <w:rPr>
                <w:sz w:val="20"/>
                <w:szCs w:val="20"/>
                <w:color w:val="auto"/>
              </w:rPr>
            </w:pPr>
            <w:r>
              <w:rPr>
                <w:rFonts w:ascii="Arial" w:cs="Arial" w:eastAsia="Arial" w:hAnsi="Arial"/>
                <w:sz w:val="16"/>
                <w:szCs w:val="16"/>
                <w:color w:val="auto"/>
              </w:rPr>
              <w:t>Margo L. Manning</w:t>
            </w:r>
          </w:p>
        </w:tc>
        <w:tc>
          <w:tcPr>
            <w:tcW w:w="3560" w:type="dxa"/>
            <w:vAlign w:val="bottom"/>
            <w:shd w:val="clear" w:color="auto" w:fill="E5E5E5"/>
          </w:tcPr>
          <w:p>
            <w:pPr>
              <w:ind w:left="2560"/>
              <w:spacing w:after="0"/>
              <w:rPr>
                <w:sz w:val="20"/>
                <w:szCs w:val="20"/>
                <w:color w:val="auto"/>
              </w:rPr>
            </w:pPr>
            <w:r>
              <w:rPr>
                <w:rFonts w:ascii="Arial" w:cs="Arial" w:eastAsia="Arial" w:hAnsi="Arial"/>
                <w:sz w:val="16"/>
                <w:szCs w:val="16"/>
                <w:color w:val="auto"/>
              </w:rPr>
              <w:t>$465,000</w:t>
            </w:r>
          </w:p>
        </w:tc>
        <w:tc>
          <w:tcPr>
            <w:tcW w:w="560" w:type="dxa"/>
            <w:vAlign w:val="bottom"/>
            <w:shd w:val="clear" w:color="auto" w:fill="E5E5E5"/>
          </w:tcPr>
          <w:p>
            <w:pPr>
              <w:ind w:left="300"/>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440,000</w:t>
            </w:r>
          </w:p>
        </w:tc>
        <w:tc>
          <w:tcPr>
            <w:tcW w:w="184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5.68%</w:t>
            </w:r>
          </w:p>
        </w:tc>
      </w:tr>
      <w:tr>
        <w:trPr>
          <w:trHeight w:val="189"/>
        </w:trPr>
        <w:tc>
          <w:tcPr>
            <w:tcW w:w="4100" w:type="dxa"/>
            <w:vAlign w:val="bottom"/>
            <w:tcBorders>
              <w:bottom w:val="single" w:sz="8" w:color="003B71"/>
            </w:tcBorders>
          </w:tcPr>
          <w:p>
            <w:pPr>
              <w:ind w:left="80"/>
              <w:spacing w:after="0"/>
              <w:rPr>
                <w:sz w:val="20"/>
                <w:szCs w:val="20"/>
                <w:color w:val="auto"/>
              </w:rPr>
            </w:pPr>
            <w:r>
              <w:rPr>
                <w:rFonts w:ascii="Arial" w:cs="Arial" w:eastAsia="Arial" w:hAnsi="Arial"/>
                <w:sz w:val="16"/>
                <w:szCs w:val="16"/>
                <w:color w:val="auto"/>
              </w:rPr>
              <w:t>John B. Mulleady(4)</w:t>
            </w:r>
          </w:p>
        </w:tc>
        <w:tc>
          <w:tcPr>
            <w:tcW w:w="3560" w:type="dxa"/>
            <w:vAlign w:val="bottom"/>
            <w:tcBorders>
              <w:bottom w:val="single" w:sz="8" w:color="003B71"/>
            </w:tcBorders>
          </w:tcPr>
          <w:p>
            <w:pPr>
              <w:ind w:left="2560"/>
              <w:spacing w:after="0"/>
              <w:rPr>
                <w:sz w:val="20"/>
                <w:szCs w:val="20"/>
                <w:color w:val="auto"/>
              </w:rPr>
            </w:pPr>
            <w:r>
              <w:rPr>
                <w:rFonts w:ascii="Arial" w:cs="Arial" w:eastAsia="Arial" w:hAnsi="Arial"/>
                <w:sz w:val="16"/>
                <w:szCs w:val="16"/>
                <w:color w:val="auto"/>
              </w:rPr>
              <w:t>$412,000</w:t>
            </w:r>
          </w:p>
        </w:tc>
        <w:tc>
          <w:tcPr>
            <w:tcW w:w="560" w:type="dxa"/>
            <w:vAlign w:val="bottom"/>
            <w:tcBorders>
              <w:bottom w:val="single" w:sz="8" w:color="003B71"/>
            </w:tcBorders>
          </w:tcPr>
          <w:p>
            <w:pPr>
              <w:ind w:left="3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003B71"/>
            </w:tcBorders>
          </w:tcPr>
          <w:p>
            <w:pPr>
              <w:jc w:val="right"/>
              <w:ind w:right="139"/>
              <w:spacing w:after="0"/>
              <w:rPr>
                <w:sz w:val="20"/>
                <w:szCs w:val="20"/>
                <w:color w:val="auto"/>
              </w:rPr>
            </w:pPr>
            <w:r>
              <w:rPr>
                <w:rFonts w:ascii="Arial" w:cs="Arial" w:eastAsia="Arial" w:hAnsi="Arial"/>
                <w:sz w:val="16"/>
                <w:szCs w:val="16"/>
                <w:color w:val="auto"/>
              </w:rPr>
              <w:t>412,000</w:t>
            </w:r>
          </w:p>
        </w:tc>
        <w:tc>
          <w:tcPr>
            <w:tcW w:w="1840" w:type="dxa"/>
            <w:vAlign w:val="bottom"/>
            <w:tcBorders>
              <w:bottom w:val="single" w:sz="8" w:color="003B71"/>
            </w:tcBorders>
          </w:tcPr>
          <w:p>
            <w:pPr>
              <w:jc w:val="right"/>
              <w:ind w:right="1"/>
              <w:spacing w:after="0"/>
              <w:rPr>
                <w:sz w:val="20"/>
                <w:szCs w:val="20"/>
                <w:color w:val="auto"/>
              </w:rPr>
            </w:pPr>
            <w:r>
              <w:rPr>
                <w:rFonts w:ascii="Arial" w:cs="Arial" w:eastAsia="Arial" w:hAnsi="Arial"/>
                <w:sz w:val="16"/>
                <w:szCs w:val="16"/>
                <w:color w:val="auto"/>
              </w:rPr>
              <w:t>0.00%</w:t>
            </w:r>
          </w:p>
        </w:tc>
      </w:tr>
    </w:tbl>
    <w:p>
      <w:pPr>
        <w:spacing w:after="0" w:line="83" w:lineRule="exact"/>
        <w:rPr>
          <w:sz w:val="20"/>
          <w:szCs w:val="20"/>
          <w:color w:val="auto"/>
        </w:rPr>
      </w:pPr>
    </w:p>
    <w:p>
      <w:pPr>
        <w:ind w:left="540" w:hanging="424"/>
        <w:spacing w:after="0"/>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Mr. Bowman joined the Company as CFO on May 6, 2019.</w:t>
      </w:r>
    </w:p>
    <w:p>
      <w:pPr>
        <w:spacing w:after="0" w:line="86" w:lineRule="exact"/>
        <w:rPr>
          <w:rFonts w:ascii="Arial" w:cs="Arial" w:eastAsia="Arial" w:hAnsi="Arial"/>
          <w:sz w:val="16"/>
          <w:szCs w:val="16"/>
          <w:color w:val="auto"/>
        </w:rPr>
      </w:pPr>
    </w:p>
    <w:p>
      <w:pPr>
        <w:jc w:val="both"/>
        <w:ind w:left="540" w:right="20" w:hanging="424"/>
        <w:spacing w:after="0" w:line="253" w:lineRule="auto"/>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Mr. DeProspero served as Interim CFO from August 2018 until Mr. Bowman’s appointment as CFO at which time Mr. DeProspero became SVP of Supply Chain and Business Development for the Company. The increase reflected here is inclusive of the increase he received for his promotion to SVP of Supply Chain and Business Development.</w:t>
      </w:r>
    </w:p>
    <w:p>
      <w:pPr>
        <w:spacing w:after="0" w:line="6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Mr. Gleason departed the Company on April 30, 2020. Mr. Gleason did not receive a merit increase for fiscal 2019 due to a salary increase awarded in December 2018 effective January 1, 2019.</w:t>
      </w:r>
    </w:p>
    <w:p>
      <w:pPr>
        <w:spacing w:after="0" w:line="60" w:lineRule="exact"/>
        <w:rPr>
          <w:rFonts w:ascii="Arial" w:cs="Arial" w:eastAsia="Arial" w:hAnsi="Arial"/>
          <w:sz w:val="16"/>
          <w:szCs w:val="16"/>
          <w:color w:val="auto"/>
        </w:rPr>
      </w:pPr>
    </w:p>
    <w:p>
      <w:pPr>
        <w:ind w:left="540" w:hanging="424"/>
        <w:spacing w:after="0"/>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Mr. Mulleady did not receive a merit increase for fiscal 2019 due to a total compensation increase awarded in December 2018 for fiscal 2019.</w:t>
      </w:r>
    </w:p>
    <w:p>
      <w:pPr>
        <w:spacing w:after="0" w:line="218"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The Compensation Committee believes the increases awarded are commensurate with each NEO’s individual contribution to the Company’s success and that the resulting market positioning of each NEO is consistent with the considerations outlined above.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Incentive Awards</w:t>
      </w:r>
    </w:p>
    <w:p>
      <w:pPr>
        <w:spacing w:after="0" w:line="12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Executive Incentive Plan created under the 2014 Omnibus Incentive Plan (the “Executive Incentive Plan”) is designed to recognize and reward our employees for contributing towards the achievement of our annual business plan. The Compensation Committee believes the Executive Incentive Plan provides a valuable short-term incentive program that delivers a cash bonus opportunity for key employees, including the NEOs, upon achievement of targeted operating results, as determined by the Compensation Committee and the Board of Directors. The Executive Incentive Plan also supports our efforts to integrate our compensation philosophies with our annual business objectives and focus our executive officers on the fulfillment of those objectives.</w:t>
      </w:r>
    </w:p>
    <w:p>
      <w:pPr>
        <w:spacing w:after="0" w:line="129"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36</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In considering and approving the annual plan design, the Compensation Committee reviews target bonus percentages for each executive officer, including the NEOs, and considers the value of the incentive award relative to the individual’s total compensation package, the value of the incentive award and total compensation package relative to benchmark data, and the degree to which the individual can influence the Company’s achievement of its short-term financial and strategic objectives. The Compensation Committee also reviews annually the financial and strategic objectives that will comprise the components of the Executive Incentive Plan, the target for each component, and the payout percentages at threshold, target, and maximum performance for each component. The Compensation Committee relies on input from its compensation consultant, the results of benchmarking data, and analysis from our Chief Executive Officer to determine the appropriateness of the target bonus percentages for each executive officer (including the NEOs), the components of the Executive Incentive Plan, the targets for each component, and the payout percentages at each level of performance.</w:t>
      </w:r>
    </w:p>
    <w:p>
      <w:pPr>
        <w:spacing w:after="0" w:line="207"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fiscal 2019 incentive plan for most non-executive participants was based on our targeted “EBITDA” (net income, plus (a) interest expense (net), (b) loss on debt retirement, (c) provision for income taxes, and (d) depreciation and amortization expense) for fiscal 2019. The Compensation Committee annually reviews and sets the performance goals for the Executive Incentive Plan as necessary to ensure reasonableness, support of our strategy and consistency with our overall objectives. Bonus payout metrics for fiscal 2019 for our NEOs is shown in the table below.</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160" w:type="dxa"/>
            <w:vAlign w:val="bottom"/>
            <w:vMerge w:val="restart"/>
          </w:tcPr>
          <w:p>
            <w:pPr>
              <w:ind w:left="60"/>
              <w:spacing w:after="0"/>
              <w:rPr>
                <w:sz w:val="20"/>
                <w:szCs w:val="20"/>
                <w:color w:val="auto"/>
              </w:rPr>
            </w:pPr>
            <w:r>
              <w:rPr>
                <w:rFonts w:ascii="Arial" w:cs="Arial" w:eastAsia="Arial" w:hAnsi="Arial"/>
                <w:sz w:val="14"/>
                <w:szCs w:val="14"/>
                <w:b w:val="1"/>
                <w:bCs w:val="1"/>
                <w:color w:val="003B71"/>
              </w:rPr>
              <w:t>Name</w:t>
            </w:r>
          </w:p>
        </w:tc>
        <w:tc>
          <w:tcPr>
            <w:tcW w:w="560" w:type="dxa"/>
            <w:vAlign w:val="bottom"/>
          </w:tcPr>
          <w:p>
            <w:pPr>
              <w:spacing w:after="0"/>
              <w:rPr>
                <w:sz w:val="15"/>
                <w:szCs w:val="15"/>
                <w:color w:val="auto"/>
              </w:rPr>
            </w:pPr>
          </w:p>
        </w:tc>
        <w:tc>
          <w:tcPr>
            <w:tcW w:w="1900" w:type="dxa"/>
            <w:vAlign w:val="bottom"/>
            <w:tcBorders>
              <w:bottom w:val="single" w:sz="8" w:color="003B71"/>
            </w:tcBorders>
          </w:tcPr>
          <w:p>
            <w:pPr>
              <w:spacing w:after="0"/>
              <w:rPr>
                <w:sz w:val="15"/>
                <w:szCs w:val="15"/>
                <w:color w:val="auto"/>
              </w:rPr>
            </w:pPr>
          </w:p>
        </w:tc>
        <w:tc>
          <w:tcPr>
            <w:tcW w:w="4400" w:type="dxa"/>
            <w:vAlign w:val="bottom"/>
            <w:tcBorders>
              <w:bottom w:val="single" w:sz="8" w:color="003B71"/>
            </w:tcBorders>
          </w:tcPr>
          <w:p>
            <w:pPr>
              <w:ind w:left="860"/>
              <w:spacing w:after="0"/>
              <w:rPr>
                <w:sz w:val="20"/>
                <w:szCs w:val="20"/>
                <w:color w:val="auto"/>
              </w:rPr>
            </w:pPr>
            <w:r>
              <w:rPr>
                <w:rFonts w:ascii="Arial" w:cs="Arial" w:eastAsia="Arial" w:hAnsi="Arial"/>
                <w:sz w:val="14"/>
                <w:szCs w:val="14"/>
                <w:b w:val="1"/>
                <w:bCs w:val="1"/>
                <w:color w:val="003B71"/>
              </w:rPr>
              <w:t>Fiscal 2019</w:t>
            </w:r>
          </w:p>
        </w:tc>
        <w:tc>
          <w:tcPr>
            <w:tcW w:w="0" w:type="dxa"/>
            <w:vAlign w:val="bottom"/>
          </w:tcPr>
          <w:p>
            <w:pPr>
              <w:spacing w:after="0"/>
              <w:rPr>
                <w:sz w:val="1"/>
                <w:szCs w:val="1"/>
                <w:color w:val="auto"/>
              </w:rPr>
            </w:pPr>
          </w:p>
        </w:tc>
      </w:tr>
      <w:tr>
        <w:trPr>
          <w:trHeight w:val="155"/>
        </w:trPr>
        <w:tc>
          <w:tcPr>
            <w:tcW w:w="4160" w:type="dxa"/>
            <w:vAlign w:val="bottom"/>
            <w:tcBorders>
              <w:bottom w:val="single" w:sz="8" w:color="003B71"/>
            </w:tcBorders>
            <w:vMerge w:val="continue"/>
          </w:tcPr>
          <w:p>
            <w:pPr>
              <w:spacing w:after="0"/>
              <w:rPr>
                <w:sz w:val="13"/>
                <w:szCs w:val="13"/>
                <w:color w:val="auto"/>
              </w:rPr>
            </w:pPr>
          </w:p>
        </w:tc>
        <w:tc>
          <w:tcPr>
            <w:tcW w:w="560" w:type="dxa"/>
            <w:vAlign w:val="bottom"/>
            <w:tcBorders>
              <w:bottom w:val="single" w:sz="8" w:color="003B71"/>
            </w:tcBorders>
          </w:tcPr>
          <w:p>
            <w:pPr>
              <w:spacing w:after="0"/>
              <w:rPr>
                <w:sz w:val="13"/>
                <w:szCs w:val="13"/>
                <w:color w:val="auto"/>
              </w:rPr>
            </w:pPr>
          </w:p>
        </w:tc>
        <w:tc>
          <w:tcPr>
            <w:tcW w:w="1900" w:type="dxa"/>
            <w:vAlign w:val="bottom"/>
            <w:tcBorders>
              <w:bottom w:val="single" w:sz="8" w:color="003B71"/>
            </w:tcBorders>
          </w:tcPr>
          <w:p>
            <w:pPr>
              <w:jc w:val="right"/>
              <w:ind w:right="380"/>
              <w:spacing w:after="0" w:line="155" w:lineRule="exact"/>
              <w:rPr>
                <w:sz w:val="20"/>
                <w:szCs w:val="20"/>
                <w:color w:val="auto"/>
              </w:rPr>
            </w:pPr>
            <w:r>
              <w:rPr>
                <w:rFonts w:ascii="Arial" w:cs="Arial" w:eastAsia="Arial" w:hAnsi="Arial"/>
                <w:sz w:val="14"/>
                <w:szCs w:val="14"/>
                <w:b w:val="1"/>
                <w:bCs w:val="1"/>
                <w:color w:val="003B71"/>
              </w:rPr>
              <w:t>Percentage of Bonus</w:t>
            </w:r>
          </w:p>
        </w:tc>
        <w:tc>
          <w:tcPr>
            <w:tcW w:w="4400" w:type="dxa"/>
            <w:vAlign w:val="bottom"/>
            <w:tcBorders>
              <w:bottom w:val="single" w:sz="8" w:color="003B71"/>
            </w:tcBorders>
          </w:tcPr>
          <w:p>
            <w:pPr>
              <w:ind w:left="1900"/>
              <w:spacing w:after="0" w:line="155" w:lineRule="exact"/>
              <w:rPr>
                <w:sz w:val="20"/>
                <w:szCs w:val="20"/>
                <w:color w:val="auto"/>
              </w:rPr>
            </w:pPr>
            <w:r>
              <w:rPr>
                <w:rFonts w:ascii="Arial" w:cs="Arial" w:eastAsia="Arial" w:hAnsi="Arial"/>
                <w:sz w:val="14"/>
                <w:szCs w:val="14"/>
                <w:b w:val="1"/>
                <w:bCs w:val="1"/>
                <w:color w:val="003B71"/>
              </w:rPr>
              <w:t>Bonus Metric</w:t>
            </w:r>
          </w:p>
        </w:tc>
        <w:tc>
          <w:tcPr>
            <w:tcW w:w="0" w:type="dxa"/>
            <w:vAlign w:val="bottom"/>
          </w:tcPr>
          <w:p>
            <w:pPr>
              <w:spacing w:after="0"/>
              <w:rPr>
                <w:sz w:val="1"/>
                <w:szCs w:val="1"/>
                <w:color w:val="auto"/>
              </w:rPr>
            </w:pPr>
          </w:p>
        </w:tc>
      </w:tr>
      <w:tr>
        <w:trPr>
          <w:trHeight w:val="183"/>
        </w:trPr>
        <w:tc>
          <w:tcPr>
            <w:tcW w:w="416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Brian A. Jenkins</w:t>
            </w:r>
          </w:p>
        </w:tc>
        <w:tc>
          <w:tcPr>
            <w:tcW w:w="560" w:type="dxa"/>
            <w:vAlign w:val="bottom"/>
            <w:shd w:val="clear" w:color="auto" w:fill="E5E5E5"/>
          </w:tcPr>
          <w:p>
            <w:pPr>
              <w:spacing w:after="0"/>
              <w:rPr>
                <w:sz w:val="15"/>
                <w:szCs w:val="15"/>
                <w:color w:val="auto"/>
              </w:rPr>
            </w:pPr>
          </w:p>
        </w:tc>
        <w:tc>
          <w:tcPr>
            <w:tcW w:w="1900" w:type="dxa"/>
            <w:vAlign w:val="bottom"/>
            <w:shd w:val="clear" w:color="auto" w:fill="E5E5E5"/>
          </w:tcPr>
          <w:p>
            <w:pPr>
              <w:jc w:val="right"/>
              <w:ind w:right="240"/>
              <w:spacing w:after="0" w:line="183" w:lineRule="exact"/>
              <w:rPr>
                <w:sz w:val="20"/>
                <w:szCs w:val="20"/>
                <w:color w:val="auto"/>
              </w:rPr>
            </w:pPr>
            <w:r>
              <w:rPr>
                <w:rFonts w:ascii="Arial" w:cs="Arial" w:eastAsia="Arial" w:hAnsi="Arial"/>
                <w:sz w:val="16"/>
                <w:szCs w:val="16"/>
                <w:color w:val="auto"/>
              </w:rPr>
              <w:t>75.0%</w:t>
            </w:r>
          </w:p>
        </w:tc>
        <w:tc>
          <w:tcPr>
            <w:tcW w:w="4400" w:type="dxa"/>
            <w:vAlign w:val="bottom"/>
            <w:shd w:val="clear" w:color="auto" w:fill="E5E5E5"/>
          </w:tcPr>
          <w:p>
            <w:pPr>
              <w:ind w:left="320"/>
              <w:spacing w:after="0" w:line="183" w:lineRule="exact"/>
              <w:rPr>
                <w:sz w:val="20"/>
                <w:szCs w:val="20"/>
                <w:color w:val="auto"/>
              </w:rPr>
            </w:pPr>
            <w:r>
              <w:rPr>
                <w:rFonts w:ascii="Arial" w:cs="Arial" w:eastAsia="Arial" w:hAnsi="Arial"/>
                <w:sz w:val="16"/>
                <w:szCs w:val="16"/>
                <w:color w:val="auto"/>
              </w:rPr>
              <w:t>EBITDA target(1)</w:t>
            </w:r>
          </w:p>
        </w:tc>
        <w:tc>
          <w:tcPr>
            <w:tcW w:w="0" w:type="dxa"/>
            <w:vAlign w:val="bottom"/>
          </w:tcPr>
          <w:p>
            <w:pPr>
              <w:spacing w:after="0"/>
              <w:rPr>
                <w:sz w:val="1"/>
                <w:szCs w:val="1"/>
                <w:color w:val="auto"/>
              </w:rPr>
            </w:pPr>
          </w:p>
        </w:tc>
      </w:tr>
      <w:tr>
        <w:trPr>
          <w:trHeight w:val="189"/>
        </w:trPr>
        <w:tc>
          <w:tcPr>
            <w:tcW w:w="416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900" w:type="dxa"/>
            <w:vAlign w:val="bottom"/>
            <w:shd w:val="clear" w:color="auto" w:fill="E5E5E5"/>
          </w:tcPr>
          <w:p>
            <w:pPr>
              <w:jc w:val="right"/>
              <w:ind w:right="240"/>
              <w:spacing w:after="0"/>
              <w:rPr>
                <w:sz w:val="20"/>
                <w:szCs w:val="20"/>
                <w:color w:val="auto"/>
              </w:rPr>
            </w:pPr>
            <w:r>
              <w:rPr>
                <w:rFonts w:ascii="Arial" w:cs="Arial" w:eastAsia="Arial" w:hAnsi="Arial"/>
                <w:sz w:val="16"/>
                <w:szCs w:val="16"/>
                <w:color w:val="auto"/>
              </w:rPr>
              <w:t>12.5%</w:t>
            </w:r>
          </w:p>
        </w:tc>
        <w:tc>
          <w:tcPr>
            <w:tcW w:w="44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Total revenue target</w:t>
            </w:r>
          </w:p>
        </w:tc>
        <w:tc>
          <w:tcPr>
            <w:tcW w:w="0" w:type="dxa"/>
            <w:vAlign w:val="bottom"/>
          </w:tcPr>
          <w:p>
            <w:pPr>
              <w:spacing w:after="0"/>
              <w:rPr>
                <w:sz w:val="1"/>
                <w:szCs w:val="1"/>
                <w:color w:val="auto"/>
              </w:rPr>
            </w:pPr>
          </w:p>
        </w:tc>
      </w:tr>
      <w:tr>
        <w:trPr>
          <w:trHeight w:val="189"/>
        </w:trPr>
        <w:tc>
          <w:tcPr>
            <w:tcW w:w="416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900" w:type="dxa"/>
            <w:vAlign w:val="bottom"/>
            <w:shd w:val="clear" w:color="auto" w:fill="E5E5E5"/>
          </w:tcPr>
          <w:p>
            <w:pPr>
              <w:jc w:val="right"/>
              <w:ind w:right="240"/>
              <w:spacing w:after="0"/>
              <w:rPr>
                <w:sz w:val="20"/>
                <w:szCs w:val="20"/>
                <w:color w:val="auto"/>
              </w:rPr>
            </w:pPr>
            <w:r>
              <w:rPr>
                <w:rFonts w:ascii="Arial" w:cs="Arial" w:eastAsia="Arial" w:hAnsi="Arial"/>
                <w:sz w:val="16"/>
                <w:szCs w:val="16"/>
                <w:color w:val="auto"/>
              </w:rPr>
              <w:t>12.5%</w:t>
            </w:r>
          </w:p>
        </w:tc>
        <w:tc>
          <w:tcPr>
            <w:tcW w:w="44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Comparable store sales growth target(2)</w:t>
            </w:r>
          </w:p>
        </w:tc>
        <w:tc>
          <w:tcPr>
            <w:tcW w:w="0" w:type="dxa"/>
            <w:vAlign w:val="bottom"/>
          </w:tcPr>
          <w:p>
            <w:pPr>
              <w:spacing w:after="0"/>
              <w:rPr>
                <w:sz w:val="1"/>
                <w:szCs w:val="1"/>
                <w:color w:val="auto"/>
              </w:rPr>
            </w:pPr>
          </w:p>
        </w:tc>
      </w:tr>
      <w:tr>
        <w:trPr>
          <w:trHeight w:val="191"/>
        </w:trPr>
        <w:tc>
          <w:tcPr>
            <w:tcW w:w="4160" w:type="dxa"/>
            <w:vAlign w:val="bottom"/>
          </w:tcPr>
          <w:p>
            <w:pPr>
              <w:ind w:left="60"/>
              <w:spacing w:after="0"/>
              <w:rPr>
                <w:sz w:val="20"/>
                <w:szCs w:val="20"/>
                <w:color w:val="auto"/>
              </w:rPr>
            </w:pPr>
            <w:r>
              <w:rPr>
                <w:rFonts w:ascii="Arial" w:cs="Arial" w:eastAsia="Arial" w:hAnsi="Arial"/>
                <w:sz w:val="16"/>
                <w:szCs w:val="16"/>
                <w:color w:val="auto"/>
              </w:rPr>
              <w:t>Scott Bowman</w:t>
            </w:r>
          </w:p>
        </w:tc>
        <w:tc>
          <w:tcPr>
            <w:tcW w:w="2460" w:type="dxa"/>
            <w:vAlign w:val="bottom"/>
            <w:gridSpan w:val="2"/>
          </w:tcPr>
          <w:p>
            <w:pPr>
              <w:jc w:val="right"/>
              <w:ind w:right="240"/>
              <w:spacing w:after="0"/>
              <w:rPr>
                <w:sz w:val="20"/>
                <w:szCs w:val="20"/>
                <w:color w:val="auto"/>
              </w:rPr>
            </w:pPr>
            <w:r>
              <w:rPr>
                <w:rFonts w:ascii="Arial" w:cs="Arial" w:eastAsia="Arial" w:hAnsi="Arial"/>
                <w:sz w:val="16"/>
                <w:szCs w:val="16"/>
                <w:color w:val="auto"/>
              </w:rPr>
              <w:t>75.0%</w:t>
            </w:r>
          </w:p>
        </w:tc>
        <w:tc>
          <w:tcPr>
            <w:tcW w:w="4400" w:type="dxa"/>
            <w:vAlign w:val="bottom"/>
          </w:tcPr>
          <w:p>
            <w:pPr>
              <w:ind w:left="320"/>
              <w:spacing w:after="0"/>
              <w:rPr>
                <w:sz w:val="20"/>
                <w:szCs w:val="20"/>
                <w:color w:val="auto"/>
              </w:rPr>
            </w:pPr>
            <w:r>
              <w:rPr>
                <w:rFonts w:ascii="Arial" w:cs="Arial" w:eastAsia="Arial" w:hAnsi="Arial"/>
                <w:sz w:val="16"/>
                <w:szCs w:val="16"/>
                <w:color w:val="auto"/>
              </w:rPr>
              <w:t>EBITDA target(1)</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2460" w:type="dxa"/>
            <w:vAlign w:val="bottom"/>
            <w:gridSpan w:val="2"/>
          </w:tcPr>
          <w:p>
            <w:pPr>
              <w:jc w:val="right"/>
              <w:ind w:right="240"/>
              <w:spacing w:after="0"/>
              <w:rPr>
                <w:sz w:val="20"/>
                <w:szCs w:val="20"/>
                <w:color w:val="auto"/>
              </w:rPr>
            </w:pPr>
            <w:r>
              <w:rPr>
                <w:rFonts w:ascii="Arial" w:cs="Arial" w:eastAsia="Arial" w:hAnsi="Arial"/>
                <w:sz w:val="16"/>
                <w:szCs w:val="16"/>
                <w:color w:val="auto"/>
              </w:rPr>
              <w:t>12.5%</w:t>
            </w:r>
          </w:p>
        </w:tc>
        <w:tc>
          <w:tcPr>
            <w:tcW w:w="4400" w:type="dxa"/>
            <w:vAlign w:val="bottom"/>
          </w:tcPr>
          <w:p>
            <w:pPr>
              <w:ind w:left="320"/>
              <w:spacing w:after="0"/>
              <w:rPr>
                <w:sz w:val="20"/>
                <w:szCs w:val="20"/>
                <w:color w:val="auto"/>
              </w:rPr>
            </w:pPr>
            <w:r>
              <w:rPr>
                <w:rFonts w:ascii="Arial" w:cs="Arial" w:eastAsia="Arial" w:hAnsi="Arial"/>
                <w:sz w:val="16"/>
                <w:szCs w:val="16"/>
                <w:color w:val="auto"/>
              </w:rPr>
              <w:t>Total revenue target</w:t>
            </w: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2460" w:type="dxa"/>
            <w:vAlign w:val="bottom"/>
            <w:gridSpan w:val="2"/>
          </w:tcPr>
          <w:p>
            <w:pPr>
              <w:jc w:val="right"/>
              <w:ind w:right="240"/>
              <w:spacing w:after="0"/>
              <w:rPr>
                <w:sz w:val="20"/>
                <w:szCs w:val="20"/>
                <w:color w:val="auto"/>
              </w:rPr>
            </w:pPr>
            <w:r>
              <w:rPr>
                <w:rFonts w:ascii="Arial" w:cs="Arial" w:eastAsia="Arial" w:hAnsi="Arial"/>
                <w:sz w:val="16"/>
                <w:szCs w:val="16"/>
                <w:color w:val="auto"/>
              </w:rPr>
              <w:t>12.5%</w:t>
            </w:r>
          </w:p>
        </w:tc>
        <w:tc>
          <w:tcPr>
            <w:tcW w:w="4400" w:type="dxa"/>
            <w:vAlign w:val="bottom"/>
          </w:tcPr>
          <w:p>
            <w:pPr>
              <w:ind w:left="320"/>
              <w:spacing w:after="0"/>
              <w:rPr>
                <w:sz w:val="20"/>
                <w:szCs w:val="20"/>
                <w:color w:val="auto"/>
              </w:rPr>
            </w:pPr>
            <w:r>
              <w:rPr>
                <w:rFonts w:ascii="Arial" w:cs="Arial" w:eastAsia="Arial" w:hAnsi="Arial"/>
                <w:sz w:val="16"/>
                <w:szCs w:val="16"/>
                <w:color w:val="auto"/>
              </w:rPr>
              <w:t>Comparable store sales growth target(2)</w:t>
            </w:r>
          </w:p>
        </w:tc>
        <w:tc>
          <w:tcPr>
            <w:tcW w:w="0" w:type="dxa"/>
            <w:vAlign w:val="bottom"/>
          </w:tcPr>
          <w:p>
            <w:pPr>
              <w:spacing w:after="0"/>
              <w:rPr>
                <w:sz w:val="1"/>
                <w:szCs w:val="1"/>
                <w:color w:val="auto"/>
              </w:rPr>
            </w:pPr>
          </w:p>
        </w:tc>
      </w:tr>
      <w:tr>
        <w:trPr>
          <w:trHeight w:val="189"/>
        </w:trPr>
        <w:tc>
          <w:tcPr>
            <w:tcW w:w="4160" w:type="dxa"/>
            <w:vAlign w:val="bottom"/>
            <w:shd w:val="clear" w:color="auto" w:fill="E5E5E5"/>
          </w:tcPr>
          <w:p>
            <w:pPr>
              <w:ind w:left="60"/>
              <w:spacing w:after="0"/>
              <w:rPr>
                <w:sz w:val="20"/>
                <w:szCs w:val="20"/>
                <w:color w:val="auto"/>
              </w:rPr>
            </w:pPr>
            <w:r>
              <w:rPr>
                <w:rFonts w:ascii="Arial" w:cs="Arial" w:eastAsia="Arial" w:hAnsi="Arial"/>
                <w:sz w:val="16"/>
                <w:szCs w:val="16"/>
                <w:color w:val="auto"/>
              </w:rPr>
              <w:t>Joe DeProspero</w:t>
            </w:r>
          </w:p>
        </w:tc>
        <w:tc>
          <w:tcPr>
            <w:tcW w:w="560" w:type="dxa"/>
            <w:vAlign w:val="bottom"/>
            <w:shd w:val="clear" w:color="auto" w:fill="E5E5E5"/>
          </w:tcPr>
          <w:p>
            <w:pPr>
              <w:spacing w:after="0"/>
              <w:rPr>
                <w:sz w:val="16"/>
                <w:szCs w:val="16"/>
                <w:color w:val="auto"/>
              </w:rPr>
            </w:pPr>
          </w:p>
        </w:tc>
        <w:tc>
          <w:tcPr>
            <w:tcW w:w="1900" w:type="dxa"/>
            <w:vAlign w:val="bottom"/>
            <w:shd w:val="clear" w:color="auto" w:fill="E5E5E5"/>
          </w:tcPr>
          <w:p>
            <w:pPr>
              <w:jc w:val="right"/>
              <w:ind w:right="240"/>
              <w:spacing w:after="0"/>
              <w:rPr>
                <w:sz w:val="20"/>
                <w:szCs w:val="20"/>
                <w:color w:val="auto"/>
              </w:rPr>
            </w:pPr>
            <w:r>
              <w:rPr>
                <w:rFonts w:ascii="Arial" w:cs="Arial" w:eastAsia="Arial" w:hAnsi="Arial"/>
                <w:sz w:val="16"/>
                <w:szCs w:val="16"/>
                <w:color w:val="auto"/>
              </w:rPr>
              <w:t>75.0%</w:t>
            </w:r>
          </w:p>
        </w:tc>
        <w:tc>
          <w:tcPr>
            <w:tcW w:w="44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EBITDA target(1)</w:t>
            </w:r>
          </w:p>
        </w:tc>
        <w:tc>
          <w:tcPr>
            <w:tcW w:w="0" w:type="dxa"/>
            <w:vAlign w:val="bottom"/>
          </w:tcPr>
          <w:p>
            <w:pPr>
              <w:spacing w:after="0"/>
              <w:rPr>
                <w:sz w:val="1"/>
                <w:szCs w:val="1"/>
                <w:color w:val="auto"/>
              </w:rPr>
            </w:pPr>
          </w:p>
        </w:tc>
      </w:tr>
      <w:tr>
        <w:trPr>
          <w:trHeight w:val="189"/>
        </w:trPr>
        <w:tc>
          <w:tcPr>
            <w:tcW w:w="416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900" w:type="dxa"/>
            <w:vAlign w:val="bottom"/>
            <w:shd w:val="clear" w:color="auto" w:fill="E5E5E5"/>
          </w:tcPr>
          <w:p>
            <w:pPr>
              <w:jc w:val="right"/>
              <w:ind w:right="240"/>
              <w:spacing w:after="0"/>
              <w:rPr>
                <w:sz w:val="20"/>
                <w:szCs w:val="20"/>
                <w:color w:val="auto"/>
              </w:rPr>
            </w:pPr>
            <w:r>
              <w:rPr>
                <w:rFonts w:ascii="Arial" w:cs="Arial" w:eastAsia="Arial" w:hAnsi="Arial"/>
                <w:sz w:val="16"/>
                <w:szCs w:val="16"/>
                <w:color w:val="auto"/>
              </w:rPr>
              <w:t>12.5%</w:t>
            </w:r>
          </w:p>
        </w:tc>
        <w:tc>
          <w:tcPr>
            <w:tcW w:w="44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Total revenue target</w:t>
            </w:r>
          </w:p>
        </w:tc>
        <w:tc>
          <w:tcPr>
            <w:tcW w:w="0" w:type="dxa"/>
            <w:vAlign w:val="bottom"/>
          </w:tcPr>
          <w:p>
            <w:pPr>
              <w:spacing w:after="0"/>
              <w:rPr>
                <w:sz w:val="1"/>
                <w:szCs w:val="1"/>
                <w:color w:val="auto"/>
              </w:rPr>
            </w:pPr>
          </w:p>
        </w:tc>
      </w:tr>
      <w:tr>
        <w:trPr>
          <w:trHeight w:val="189"/>
        </w:trPr>
        <w:tc>
          <w:tcPr>
            <w:tcW w:w="416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900" w:type="dxa"/>
            <w:vAlign w:val="bottom"/>
            <w:shd w:val="clear" w:color="auto" w:fill="E5E5E5"/>
          </w:tcPr>
          <w:p>
            <w:pPr>
              <w:jc w:val="right"/>
              <w:ind w:right="240"/>
              <w:spacing w:after="0"/>
              <w:rPr>
                <w:sz w:val="20"/>
                <w:szCs w:val="20"/>
                <w:color w:val="auto"/>
              </w:rPr>
            </w:pPr>
            <w:r>
              <w:rPr>
                <w:rFonts w:ascii="Arial" w:cs="Arial" w:eastAsia="Arial" w:hAnsi="Arial"/>
                <w:sz w:val="16"/>
                <w:szCs w:val="16"/>
                <w:color w:val="auto"/>
              </w:rPr>
              <w:t>12.5%</w:t>
            </w:r>
          </w:p>
        </w:tc>
        <w:tc>
          <w:tcPr>
            <w:tcW w:w="44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Comparable store sales growth target(2)</w:t>
            </w:r>
          </w:p>
        </w:tc>
        <w:tc>
          <w:tcPr>
            <w:tcW w:w="0" w:type="dxa"/>
            <w:vAlign w:val="bottom"/>
          </w:tcPr>
          <w:p>
            <w:pPr>
              <w:spacing w:after="0"/>
              <w:rPr>
                <w:sz w:val="1"/>
                <w:szCs w:val="1"/>
                <w:color w:val="auto"/>
              </w:rPr>
            </w:pPr>
          </w:p>
        </w:tc>
      </w:tr>
      <w:tr>
        <w:trPr>
          <w:trHeight w:val="191"/>
        </w:trPr>
        <w:tc>
          <w:tcPr>
            <w:tcW w:w="4160" w:type="dxa"/>
            <w:vAlign w:val="bottom"/>
          </w:tcPr>
          <w:p>
            <w:pPr>
              <w:ind w:left="60"/>
              <w:spacing w:after="0"/>
              <w:rPr>
                <w:sz w:val="20"/>
                <w:szCs w:val="20"/>
                <w:color w:val="auto"/>
              </w:rPr>
            </w:pPr>
            <w:r>
              <w:rPr>
                <w:rFonts w:ascii="Arial" w:cs="Arial" w:eastAsia="Arial" w:hAnsi="Arial"/>
                <w:sz w:val="16"/>
                <w:szCs w:val="16"/>
                <w:color w:val="auto"/>
              </w:rPr>
              <w:t>Sean Gleason</w:t>
            </w:r>
          </w:p>
        </w:tc>
        <w:tc>
          <w:tcPr>
            <w:tcW w:w="2460" w:type="dxa"/>
            <w:vAlign w:val="bottom"/>
            <w:gridSpan w:val="2"/>
          </w:tcPr>
          <w:p>
            <w:pPr>
              <w:jc w:val="right"/>
              <w:ind w:right="240"/>
              <w:spacing w:after="0"/>
              <w:rPr>
                <w:sz w:val="20"/>
                <w:szCs w:val="20"/>
                <w:color w:val="auto"/>
              </w:rPr>
            </w:pPr>
            <w:r>
              <w:rPr>
                <w:rFonts w:ascii="Arial" w:cs="Arial" w:eastAsia="Arial" w:hAnsi="Arial"/>
                <w:sz w:val="16"/>
                <w:szCs w:val="16"/>
                <w:color w:val="auto"/>
              </w:rPr>
              <w:t>50.0%</w:t>
            </w:r>
          </w:p>
        </w:tc>
        <w:tc>
          <w:tcPr>
            <w:tcW w:w="4400" w:type="dxa"/>
            <w:vAlign w:val="bottom"/>
          </w:tcPr>
          <w:p>
            <w:pPr>
              <w:ind w:left="320"/>
              <w:spacing w:after="0"/>
              <w:rPr>
                <w:sz w:val="20"/>
                <w:szCs w:val="20"/>
                <w:color w:val="auto"/>
              </w:rPr>
            </w:pPr>
            <w:r>
              <w:rPr>
                <w:rFonts w:ascii="Arial" w:cs="Arial" w:eastAsia="Arial" w:hAnsi="Arial"/>
                <w:sz w:val="16"/>
                <w:szCs w:val="16"/>
                <w:color w:val="auto"/>
              </w:rPr>
              <w:t>EBITDA target(1)</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2460" w:type="dxa"/>
            <w:vAlign w:val="bottom"/>
            <w:gridSpan w:val="2"/>
          </w:tcPr>
          <w:p>
            <w:pPr>
              <w:jc w:val="right"/>
              <w:ind w:right="240"/>
              <w:spacing w:after="0"/>
              <w:rPr>
                <w:sz w:val="20"/>
                <w:szCs w:val="20"/>
                <w:color w:val="auto"/>
              </w:rPr>
            </w:pPr>
            <w:r>
              <w:rPr>
                <w:rFonts w:ascii="Arial" w:cs="Arial" w:eastAsia="Arial" w:hAnsi="Arial"/>
                <w:sz w:val="16"/>
                <w:szCs w:val="16"/>
                <w:color w:val="auto"/>
              </w:rPr>
              <w:t>25.0%</w:t>
            </w:r>
          </w:p>
        </w:tc>
        <w:tc>
          <w:tcPr>
            <w:tcW w:w="4400" w:type="dxa"/>
            <w:vAlign w:val="bottom"/>
          </w:tcPr>
          <w:p>
            <w:pPr>
              <w:ind w:left="320"/>
              <w:spacing w:after="0"/>
              <w:rPr>
                <w:sz w:val="20"/>
                <w:szCs w:val="20"/>
                <w:color w:val="auto"/>
              </w:rPr>
            </w:pPr>
            <w:r>
              <w:rPr>
                <w:rFonts w:ascii="Arial" w:cs="Arial" w:eastAsia="Arial" w:hAnsi="Arial"/>
                <w:sz w:val="16"/>
                <w:szCs w:val="16"/>
                <w:color w:val="auto"/>
              </w:rPr>
              <w:t>Total revenue target</w:t>
            </w: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2460" w:type="dxa"/>
            <w:vAlign w:val="bottom"/>
            <w:gridSpan w:val="2"/>
          </w:tcPr>
          <w:p>
            <w:pPr>
              <w:jc w:val="right"/>
              <w:ind w:right="240"/>
              <w:spacing w:after="0"/>
              <w:rPr>
                <w:sz w:val="20"/>
                <w:szCs w:val="20"/>
                <w:color w:val="auto"/>
              </w:rPr>
            </w:pPr>
            <w:r>
              <w:rPr>
                <w:rFonts w:ascii="Arial" w:cs="Arial" w:eastAsia="Arial" w:hAnsi="Arial"/>
                <w:sz w:val="16"/>
                <w:szCs w:val="16"/>
                <w:color w:val="auto"/>
              </w:rPr>
              <w:t>25.0%</w:t>
            </w:r>
          </w:p>
        </w:tc>
        <w:tc>
          <w:tcPr>
            <w:tcW w:w="4400" w:type="dxa"/>
            <w:vAlign w:val="bottom"/>
          </w:tcPr>
          <w:p>
            <w:pPr>
              <w:ind w:left="320"/>
              <w:spacing w:after="0"/>
              <w:rPr>
                <w:sz w:val="20"/>
                <w:szCs w:val="20"/>
                <w:color w:val="auto"/>
              </w:rPr>
            </w:pPr>
            <w:r>
              <w:rPr>
                <w:rFonts w:ascii="Arial" w:cs="Arial" w:eastAsia="Arial" w:hAnsi="Arial"/>
                <w:sz w:val="16"/>
                <w:szCs w:val="16"/>
                <w:color w:val="auto"/>
              </w:rPr>
              <w:t>Comparable store sales growth target(2)</w:t>
            </w:r>
          </w:p>
        </w:tc>
        <w:tc>
          <w:tcPr>
            <w:tcW w:w="0" w:type="dxa"/>
            <w:vAlign w:val="bottom"/>
          </w:tcPr>
          <w:p>
            <w:pPr>
              <w:spacing w:after="0"/>
              <w:rPr>
                <w:sz w:val="1"/>
                <w:szCs w:val="1"/>
                <w:color w:val="auto"/>
              </w:rPr>
            </w:pPr>
          </w:p>
        </w:tc>
      </w:tr>
      <w:tr>
        <w:trPr>
          <w:trHeight w:val="189"/>
        </w:trPr>
        <w:tc>
          <w:tcPr>
            <w:tcW w:w="4160" w:type="dxa"/>
            <w:vAlign w:val="bottom"/>
            <w:shd w:val="clear" w:color="auto" w:fill="E5E5E5"/>
          </w:tcPr>
          <w:p>
            <w:pPr>
              <w:ind w:left="60"/>
              <w:spacing w:after="0"/>
              <w:rPr>
                <w:sz w:val="20"/>
                <w:szCs w:val="20"/>
                <w:color w:val="auto"/>
              </w:rPr>
            </w:pPr>
            <w:r>
              <w:rPr>
                <w:rFonts w:ascii="Arial" w:cs="Arial" w:eastAsia="Arial" w:hAnsi="Arial"/>
                <w:sz w:val="16"/>
                <w:szCs w:val="16"/>
                <w:color w:val="auto"/>
              </w:rPr>
              <w:t>Margo L. Manning</w:t>
            </w:r>
          </w:p>
        </w:tc>
        <w:tc>
          <w:tcPr>
            <w:tcW w:w="560" w:type="dxa"/>
            <w:vAlign w:val="bottom"/>
            <w:shd w:val="clear" w:color="auto" w:fill="E5E5E5"/>
          </w:tcPr>
          <w:p>
            <w:pPr>
              <w:spacing w:after="0"/>
              <w:rPr>
                <w:sz w:val="16"/>
                <w:szCs w:val="16"/>
                <w:color w:val="auto"/>
              </w:rPr>
            </w:pPr>
          </w:p>
        </w:tc>
        <w:tc>
          <w:tcPr>
            <w:tcW w:w="1900" w:type="dxa"/>
            <w:vAlign w:val="bottom"/>
            <w:shd w:val="clear" w:color="auto" w:fill="E5E5E5"/>
          </w:tcPr>
          <w:p>
            <w:pPr>
              <w:jc w:val="right"/>
              <w:ind w:right="240"/>
              <w:spacing w:after="0"/>
              <w:rPr>
                <w:sz w:val="20"/>
                <w:szCs w:val="20"/>
                <w:color w:val="auto"/>
              </w:rPr>
            </w:pPr>
            <w:r>
              <w:rPr>
                <w:rFonts w:ascii="Arial" w:cs="Arial" w:eastAsia="Arial" w:hAnsi="Arial"/>
                <w:sz w:val="16"/>
                <w:szCs w:val="16"/>
                <w:color w:val="auto"/>
              </w:rPr>
              <w:t>75.0%</w:t>
            </w:r>
          </w:p>
        </w:tc>
        <w:tc>
          <w:tcPr>
            <w:tcW w:w="44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EBITDA target(1)</w:t>
            </w:r>
          </w:p>
        </w:tc>
        <w:tc>
          <w:tcPr>
            <w:tcW w:w="0" w:type="dxa"/>
            <w:vAlign w:val="bottom"/>
          </w:tcPr>
          <w:p>
            <w:pPr>
              <w:spacing w:after="0"/>
              <w:rPr>
                <w:sz w:val="1"/>
                <w:szCs w:val="1"/>
                <w:color w:val="auto"/>
              </w:rPr>
            </w:pPr>
          </w:p>
        </w:tc>
      </w:tr>
      <w:tr>
        <w:trPr>
          <w:trHeight w:val="189"/>
        </w:trPr>
        <w:tc>
          <w:tcPr>
            <w:tcW w:w="416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900" w:type="dxa"/>
            <w:vAlign w:val="bottom"/>
            <w:shd w:val="clear" w:color="auto" w:fill="E5E5E5"/>
          </w:tcPr>
          <w:p>
            <w:pPr>
              <w:jc w:val="right"/>
              <w:ind w:right="240"/>
              <w:spacing w:after="0"/>
              <w:rPr>
                <w:sz w:val="20"/>
                <w:szCs w:val="20"/>
                <w:color w:val="auto"/>
              </w:rPr>
            </w:pPr>
            <w:r>
              <w:rPr>
                <w:rFonts w:ascii="Arial" w:cs="Arial" w:eastAsia="Arial" w:hAnsi="Arial"/>
                <w:sz w:val="16"/>
                <w:szCs w:val="16"/>
                <w:color w:val="auto"/>
              </w:rPr>
              <w:t>12.5%</w:t>
            </w:r>
          </w:p>
        </w:tc>
        <w:tc>
          <w:tcPr>
            <w:tcW w:w="44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Total revenue target</w:t>
            </w:r>
          </w:p>
        </w:tc>
        <w:tc>
          <w:tcPr>
            <w:tcW w:w="0" w:type="dxa"/>
            <w:vAlign w:val="bottom"/>
          </w:tcPr>
          <w:p>
            <w:pPr>
              <w:spacing w:after="0"/>
              <w:rPr>
                <w:sz w:val="1"/>
                <w:szCs w:val="1"/>
                <w:color w:val="auto"/>
              </w:rPr>
            </w:pPr>
          </w:p>
        </w:tc>
      </w:tr>
      <w:tr>
        <w:trPr>
          <w:trHeight w:val="189"/>
        </w:trPr>
        <w:tc>
          <w:tcPr>
            <w:tcW w:w="416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900" w:type="dxa"/>
            <w:vAlign w:val="bottom"/>
            <w:shd w:val="clear" w:color="auto" w:fill="E5E5E5"/>
          </w:tcPr>
          <w:p>
            <w:pPr>
              <w:jc w:val="right"/>
              <w:ind w:right="240"/>
              <w:spacing w:after="0"/>
              <w:rPr>
                <w:sz w:val="20"/>
                <w:szCs w:val="20"/>
                <w:color w:val="auto"/>
              </w:rPr>
            </w:pPr>
            <w:r>
              <w:rPr>
                <w:rFonts w:ascii="Arial" w:cs="Arial" w:eastAsia="Arial" w:hAnsi="Arial"/>
                <w:sz w:val="16"/>
                <w:szCs w:val="16"/>
                <w:color w:val="auto"/>
              </w:rPr>
              <w:t>12.5%</w:t>
            </w:r>
          </w:p>
        </w:tc>
        <w:tc>
          <w:tcPr>
            <w:tcW w:w="44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Comparable store sales growth target(2)</w:t>
            </w:r>
          </w:p>
        </w:tc>
        <w:tc>
          <w:tcPr>
            <w:tcW w:w="0" w:type="dxa"/>
            <w:vAlign w:val="bottom"/>
          </w:tcPr>
          <w:p>
            <w:pPr>
              <w:spacing w:after="0"/>
              <w:rPr>
                <w:sz w:val="1"/>
                <w:szCs w:val="1"/>
                <w:color w:val="auto"/>
              </w:rPr>
            </w:pPr>
          </w:p>
        </w:tc>
      </w:tr>
      <w:tr>
        <w:trPr>
          <w:trHeight w:val="191"/>
        </w:trPr>
        <w:tc>
          <w:tcPr>
            <w:tcW w:w="4160" w:type="dxa"/>
            <w:vAlign w:val="bottom"/>
          </w:tcPr>
          <w:p>
            <w:pPr>
              <w:ind w:left="60"/>
              <w:spacing w:after="0"/>
              <w:rPr>
                <w:sz w:val="20"/>
                <w:szCs w:val="20"/>
                <w:color w:val="auto"/>
              </w:rPr>
            </w:pPr>
            <w:r>
              <w:rPr>
                <w:rFonts w:ascii="Arial" w:cs="Arial" w:eastAsia="Arial" w:hAnsi="Arial"/>
                <w:sz w:val="16"/>
                <w:szCs w:val="16"/>
                <w:color w:val="auto"/>
              </w:rPr>
              <w:t>John B. Mulleady</w:t>
            </w:r>
          </w:p>
        </w:tc>
        <w:tc>
          <w:tcPr>
            <w:tcW w:w="2460" w:type="dxa"/>
            <w:vAlign w:val="bottom"/>
            <w:gridSpan w:val="2"/>
          </w:tcPr>
          <w:p>
            <w:pPr>
              <w:jc w:val="right"/>
              <w:ind w:right="240"/>
              <w:spacing w:after="0"/>
              <w:rPr>
                <w:sz w:val="20"/>
                <w:szCs w:val="20"/>
                <w:color w:val="auto"/>
              </w:rPr>
            </w:pPr>
            <w:r>
              <w:rPr>
                <w:rFonts w:ascii="Arial" w:cs="Arial" w:eastAsia="Arial" w:hAnsi="Arial"/>
                <w:sz w:val="16"/>
                <w:szCs w:val="16"/>
                <w:color w:val="auto"/>
              </w:rPr>
              <w:t>50.0%</w:t>
            </w:r>
          </w:p>
        </w:tc>
        <w:tc>
          <w:tcPr>
            <w:tcW w:w="4400" w:type="dxa"/>
            <w:vAlign w:val="bottom"/>
          </w:tcPr>
          <w:p>
            <w:pPr>
              <w:ind w:left="320"/>
              <w:spacing w:after="0"/>
              <w:rPr>
                <w:sz w:val="20"/>
                <w:szCs w:val="20"/>
                <w:color w:val="auto"/>
              </w:rPr>
            </w:pPr>
            <w:r>
              <w:rPr>
                <w:rFonts w:ascii="Arial" w:cs="Arial" w:eastAsia="Arial" w:hAnsi="Arial"/>
                <w:sz w:val="16"/>
                <w:szCs w:val="16"/>
                <w:color w:val="auto"/>
              </w:rPr>
              <w:t>EBITDA target(1)</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2460" w:type="dxa"/>
            <w:vAlign w:val="bottom"/>
            <w:gridSpan w:val="2"/>
          </w:tcPr>
          <w:p>
            <w:pPr>
              <w:jc w:val="right"/>
              <w:ind w:right="240"/>
              <w:spacing w:after="0"/>
              <w:rPr>
                <w:sz w:val="20"/>
                <w:szCs w:val="20"/>
                <w:color w:val="auto"/>
              </w:rPr>
            </w:pPr>
            <w:r>
              <w:rPr>
                <w:rFonts w:ascii="Arial" w:cs="Arial" w:eastAsia="Arial" w:hAnsi="Arial"/>
                <w:sz w:val="16"/>
                <w:szCs w:val="16"/>
                <w:color w:val="auto"/>
              </w:rPr>
              <w:t>25.0%</w:t>
            </w:r>
          </w:p>
        </w:tc>
        <w:tc>
          <w:tcPr>
            <w:tcW w:w="4400" w:type="dxa"/>
            <w:vAlign w:val="bottom"/>
          </w:tcPr>
          <w:p>
            <w:pPr>
              <w:ind w:left="320"/>
              <w:spacing w:after="0"/>
              <w:rPr>
                <w:sz w:val="20"/>
                <w:szCs w:val="20"/>
                <w:color w:val="auto"/>
              </w:rPr>
            </w:pPr>
            <w:r>
              <w:rPr>
                <w:rFonts w:ascii="Arial" w:cs="Arial" w:eastAsia="Arial" w:hAnsi="Arial"/>
                <w:sz w:val="16"/>
                <w:szCs w:val="16"/>
                <w:color w:val="auto"/>
              </w:rPr>
              <w:t>Signed leases target(3)</w:t>
            </w:r>
          </w:p>
        </w:tc>
        <w:tc>
          <w:tcPr>
            <w:tcW w:w="0" w:type="dxa"/>
            <w:vAlign w:val="bottom"/>
          </w:tcPr>
          <w:p>
            <w:pPr>
              <w:spacing w:after="0"/>
              <w:rPr>
                <w:sz w:val="1"/>
                <w:szCs w:val="1"/>
                <w:color w:val="auto"/>
              </w:rPr>
            </w:pPr>
          </w:p>
        </w:tc>
      </w:tr>
      <w:tr>
        <w:trPr>
          <w:trHeight w:val="187"/>
        </w:trPr>
        <w:tc>
          <w:tcPr>
            <w:tcW w:w="4160" w:type="dxa"/>
            <w:vAlign w:val="bottom"/>
            <w:tcBorders>
              <w:bottom w:val="single" w:sz="8" w:color="003B71"/>
            </w:tcBorders>
          </w:tcPr>
          <w:p>
            <w:pPr>
              <w:spacing w:after="0"/>
              <w:rPr>
                <w:sz w:val="16"/>
                <w:szCs w:val="16"/>
                <w:color w:val="auto"/>
              </w:rPr>
            </w:pPr>
          </w:p>
        </w:tc>
        <w:tc>
          <w:tcPr>
            <w:tcW w:w="2460" w:type="dxa"/>
            <w:vAlign w:val="bottom"/>
            <w:tcBorders>
              <w:bottom w:val="single" w:sz="8" w:color="003B71"/>
            </w:tcBorders>
            <w:gridSpan w:val="2"/>
          </w:tcPr>
          <w:p>
            <w:pPr>
              <w:jc w:val="right"/>
              <w:ind w:right="240"/>
              <w:spacing w:after="0"/>
              <w:rPr>
                <w:sz w:val="20"/>
                <w:szCs w:val="20"/>
                <w:color w:val="auto"/>
              </w:rPr>
            </w:pPr>
            <w:r>
              <w:rPr>
                <w:rFonts w:ascii="Arial" w:cs="Arial" w:eastAsia="Arial" w:hAnsi="Arial"/>
                <w:sz w:val="16"/>
                <w:szCs w:val="16"/>
                <w:color w:val="auto"/>
              </w:rPr>
              <w:t>25.0%</w:t>
            </w:r>
          </w:p>
        </w:tc>
        <w:tc>
          <w:tcPr>
            <w:tcW w:w="4400" w:type="dxa"/>
            <w:vAlign w:val="bottom"/>
            <w:tcBorders>
              <w:bottom w:val="single" w:sz="8" w:color="003B71"/>
            </w:tcBorders>
          </w:tcPr>
          <w:p>
            <w:pPr>
              <w:ind w:left="320"/>
              <w:spacing w:after="0"/>
              <w:rPr>
                <w:sz w:val="20"/>
                <w:szCs w:val="20"/>
                <w:color w:val="auto"/>
              </w:rPr>
            </w:pPr>
            <w:r>
              <w:rPr>
                <w:rFonts w:ascii="Arial" w:cs="Arial" w:eastAsia="Arial" w:hAnsi="Arial"/>
                <w:sz w:val="16"/>
                <w:szCs w:val="16"/>
                <w:color w:val="auto"/>
              </w:rPr>
              <w:t>New store construction costs target(3)</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540" w:right="20" w:hanging="424"/>
        <w:spacing w:after="0" w:line="260" w:lineRule="auto"/>
        <w:tabs>
          <w:tab w:leader="none" w:pos="5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EBITDA target for fiscal 2019 was 8.1% higher than actual EBITDA for fiscal 2018 and the revenue target was 11.0% higher than actual fiscal 2018 revenues.</w:t>
      </w:r>
    </w:p>
    <w:p>
      <w:pPr>
        <w:spacing w:after="0" w:line="60" w:lineRule="exact"/>
        <w:rPr>
          <w:rFonts w:ascii="Arial" w:cs="Arial" w:eastAsia="Arial" w:hAnsi="Arial"/>
          <w:sz w:val="16"/>
          <w:szCs w:val="16"/>
          <w:color w:val="auto"/>
        </w:rPr>
      </w:pPr>
    </w:p>
    <w:p>
      <w:pPr>
        <w:jc w:val="both"/>
        <w:ind w:left="540" w:right="20" w:hanging="424"/>
        <w:spacing w:after="0" w:line="253" w:lineRule="auto"/>
        <w:tabs>
          <w:tab w:leader="none" w:pos="5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Comparable store sales (a year-over-year comparison of sales at stores open at the end of the period which have been open for at least 18 months as of the beginning of each of the fiscal years) is a key performance indicator used within the industry and is indicative of acceptance of our initiatives as well as local economic and consumer trends. We had 99 comparable stores at the beginning of fiscal 2019.</w:t>
      </w:r>
    </w:p>
    <w:p>
      <w:pPr>
        <w:spacing w:after="0" w:line="66" w:lineRule="exact"/>
        <w:rPr>
          <w:rFonts w:ascii="Arial" w:cs="Arial" w:eastAsia="Arial" w:hAnsi="Arial"/>
          <w:sz w:val="16"/>
          <w:szCs w:val="16"/>
          <w:color w:val="auto"/>
        </w:rPr>
      </w:pPr>
    </w:p>
    <w:p>
      <w:pPr>
        <w:jc w:val="both"/>
        <w:ind w:left="540" w:hanging="424"/>
        <w:spacing w:after="0" w:line="253" w:lineRule="auto"/>
        <w:tabs>
          <w:tab w:leader="none" w:pos="5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With respect to Mr. Mulleady’s objectives, the targets for signed leases and new store construction were aligned with our development strategy and intended to build the pipeline for future growth. In setting Mr. Mulleady’s targets, the Compensation Committee considered prior results and the level of performance needed to achieve development goals and set the targets at levels it believed were challenging but attainable.</w:t>
      </w:r>
    </w:p>
    <w:p>
      <w:pPr>
        <w:spacing w:after="0" w:line="122"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37</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Under each executive officer’s employment agreement (including the NEOs) and the Executive Incentive Plan, a target bonus opportunity is expressed as a percentage of annualized base salary as of the end of the fiscal year, prorated according to the percentage of the fiscal year the executive officer is employed by the Company. Target levels are established based upon a review of market practices and align to the Company’s compensation philosophy. Bonuses above or below the target level may be paid subject to a prescribed maximum or minimum. Bonus attainment is calculated separately for each component of the Executive Incentive Plan. Below a minimum threshold level of performance, no awards will be granted under the Executive Incentive Plan. The threshold, target, and maximum percentages for each of the NEOs in fiscal 2019 under the Executive Incentive Plan are outlined in the table below.</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4060" w:type="dxa"/>
            <w:vAlign w:val="bottom"/>
          </w:tcPr>
          <w:p>
            <w:pPr>
              <w:jc w:val="right"/>
              <w:ind w:right="201"/>
              <w:spacing w:after="0"/>
              <w:rPr>
                <w:sz w:val="20"/>
                <w:szCs w:val="20"/>
                <w:color w:val="auto"/>
              </w:rPr>
            </w:pPr>
            <w:r>
              <w:rPr>
                <w:rFonts w:ascii="Arial" w:cs="Arial" w:eastAsia="Arial" w:hAnsi="Arial"/>
                <w:sz w:val="14"/>
                <w:szCs w:val="14"/>
                <w:b w:val="1"/>
                <w:bCs w:val="1"/>
                <w:color w:val="003B71"/>
              </w:rPr>
              <w:t>% of Salary at</w:t>
            </w:r>
          </w:p>
        </w:tc>
        <w:tc>
          <w:tcPr>
            <w:tcW w:w="1380" w:type="dxa"/>
            <w:vAlign w:val="bottom"/>
          </w:tcPr>
          <w:p>
            <w:pPr>
              <w:jc w:val="right"/>
              <w:ind w:right="81"/>
              <w:spacing w:after="0"/>
              <w:rPr>
                <w:sz w:val="20"/>
                <w:szCs w:val="20"/>
                <w:color w:val="auto"/>
              </w:rPr>
            </w:pPr>
            <w:r>
              <w:rPr>
                <w:rFonts w:ascii="Arial" w:cs="Arial" w:eastAsia="Arial" w:hAnsi="Arial"/>
                <w:sz w:val="14"/>
                <w:szCs w:val="14"/>
                <w:b w:val="1"/>
                <w:bCs w:val="1"/>
                <w:color w:val="003B71"/>
              </w:rPr>
              <w:t>% of Salary at</w:t>
            </w:r>
          </w:p>
        </w:tc>
        <w:tc>
          <w:tcPr>
            <w:tcW w:w="1340" w:type="dxa"/>
            <w:vAlign w:val="bottom"/>
          </w:tcPr>
          <w:p>
            <w:pPr>
              <w:jc w:val="right"/>
              <w:ind w:right="141"/>
              <w:spacing w:after="0"/>
              <w:rPr>
                <w:sz w:val="20"/>
                <w:szCs w:val="20"/>
                <w:color w:val="auto"/>
              </w:rPr>
            </w:pPr>
            <w:r>
              <w:rPr>
                <w:rFonts w:ascii="Arial" w:cs="Arial" w:eastAsia="Arial" w:hAnsi="Arial"/>
                <w:sz w:val="14"/>
                <w:szCs w:val="14"/>
                <w:b w:val="1"/>
                <w:bCs w:val="1"/>
                <w:color w:val="003B71"/>
              </w:rPr>
              <w:t>% of Salary at</w:t>
            </w:r>
          </w:p>
        </w:tc>
      </w:tr>
      <w:tr>
        <w:trPr>
          <w:trHeight w:val="175"/>
        </w:trPr>
        <w:tc>
          <w:tcPr>
            <w:tcW w:w="424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Name</w:t>
            </w:r>
          </w:p>
        </w:tc>
        <w:tc>
          <w:tcPr>
            <w:tcW w:w="4060" w:type="dxa"/>
            <w:vAlign w:val="bottom"/>
            <w:tcBorders>
              <w:bottom w:val="single" w:sz="8" w:color="003B71"/>
            </w:tcBorders>
          </w:tcPr>
          <w:p>
            <w:pPr>
              <w:jc w:val="right"/>
              <w:ind w:right="321"/>
              <w:spacing w:after="0"/>
              <w:rPr>
                <w:sz w:val="20"/>
                <w:szCs w:val="20"/>
                <w:color w:val="auto"/>
              </w:rPr>
            </w:pPr>
            <w:r>
              <w:rPr>
                <w:rFonts w:ascii="Arial" w:cs="Arial" w:eastAsia="Arial" w:hAnsi="Arial"/>
                <w:sz w:val="14"/>
                <w:szCs w:val="14"/>
                <w:b w:val="1"/>
                <w:bCs w:val="1"/>
                <w:color w:val="003B71"/>
              </w:rPr>
              <w:t>Threshold</w:t>
            </w:r>
          </w:p>
        </w:tc>
        <w:tc>
          <w:tcPr>
            <w:tcW w:w="1380" w:type="dxa"/>
            <w:vAlign w:val="bottom"/>
            <w:tcBorders>
              <w:bottom w:val="single" w:sz="8" w:color="003B71"/>
            </w:tcBorders>
          </w:tcPr>
          <w:p>
            <w:pPr>
              <w:jc w:val="right"/>
              <w:ind w:right="341"/>
              <w:spacing w:after="0"/>
              <w:rPr>
                <w:sz w:val="20"/>
                <w:szCs w:val="20"/>
                <w:color w:val="auto"/>
              </w:rPr>
            </w:pPr>
            <w:r>
              <w:rPr>
                <w:rFonts w:ascii="Arial" w:cs="Arial" w:eastAsia="Arial" w:hAnsi="Arial"/>
                <w:sz w:val="14"/>
                <w:szCs w:val="14"/>
                <w:b w:val="1"/>
                <w:bCs w:val="1"/>
                <w:color w:val="003B71"/>
              </w:rPr>
              <w:t>Target</w:t>
            </w:r>
          </w:p>
        </w:tc>
        <w:tc>
          <w:tcPr>
            <w:tcW w:w="1340" w:type="dxa"/>
            <w:vAlign w:val="bottom"/>
            <w:tcBorders>
              <w:bottom w:val="single" w:sz="8" w:color="003B71"/>
            </w:tcBorders>
          </w:tcPr>
          <w:p>
            <w:pPr>
              <w:jc w:val="right"/>
              <w:ind w:right="281"/>
              <w:spacing w:after="0"/>
              <w:rPr>
                <w:sz w:val="20"/>
                <w:szCs w:val="20"/>
                <w:color w:val="auto"/>
              </w:rPr>
            </w:pPr>
            <w:r>
              <w:rPr>
                <w:rFonts w:ascii="Arial" w:cs="Arial" w:eastAsia="Arial" w:hAnsi="Arial"/>
                <w:sz w:val="14"/>
                <w:szCs w:val="14"/>
                <w:b w:val="1"/>
                <w:bCs w:val="1"/>
                <w:color w:val="003B71"/>
              </w:rPr>
              <w:t>Maximum</w:t>
            </w:r>
          </w:p>
        </w:tc>
      </w:tr>
      <w:tr>
        <w:trPr>
          <w:trHeight w:val="183"/>
        </w:trPr>
        <w:tc>
          <w:tcPr>
            <w:tcW w:w="424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Brian A. Jenkins</w:t>
            </w:r>
          </w:p>
        </w:tc>
        <w:tc>
          <w:tcPr>
            <w:tcW w:w="4060" w:type="dxa"/>
            <w:vAlign w:val="bottom"/>
            <w:shd w:val="clear" w:color="auto" w:fill="E5E5E5"/>
          </w:tcPr>
          <w:p>
            <w:pPr>
              <w:jc w:val="right"/>
              <w:ind w:right="201"/>
              <w:spacing w:after="0" w:line="183" w:lineRule="exact"/>
              <w:rPr>
                <w:sz w:val="20"/>
                <w:szCs w:val="20"/>
                <w:color w:val="auto"/>
              </w:rPr>
            </w:pPr>
            <w:r>
              <w:rPr>
                <w:rFonts w:ascii="Arial" w:cs="Arial" w:eastAsia="Arial" w:hAnsi="Arial"/>
                <w:sz w:val="16"/>
                <w:szCs w:val="16"/>
                <w:color w:val="auto"/>
              </w:rPr>
              <w:t>43.8%</w:t>
            </w:r>
          </w:p>
        </w:tc>
        <w:tc>
          <w:tcPr>
            <w:tcW w:w="1380" w:type="dxa"/>
            <w:vAlign w:val="bottom"/>
            <w:shd w:val="clear" w:color="auto" w:fill="E5E5E5"/>
          </w:tcPr>
          <w:p>
            <w:pPr>
              <w:jc w:val="right"/>
              <w:ind w:right="81"/>
              <w:spacing w:after="0" w:line="183" w:lineRule="exact"/>
              <w:rPr>
                <w:sz w:val="20"/>
                <w:szCs w:val="20"/>
                <w:color w:val="auto"/>
              </w:rPr>
            </w:pPr>
            <w:r>
              <w:rPr>
                <w:rFonts w:ascii="Arial" w:cs="Arial" w:eastAsia="Arial" w:hAnsi="Arial"/>
                <w:sz w:val="16"/>
                <w:szCs w:val="16"/>
                <w:color w:val="auto"/>
              </w:rPr>
              <w:t>100.0%</w:t>
            </w:r>
          </w:p>
        </w:tc>
        <w:tc>
          <w:tcPr>
            <w:tcW w:w="1340" w:type="dxa"/>
            <w:vAlign w:val="bottom"/>
            <w:shd w:val="clear" w:color="auto" w:fill="E5E5E5"/>
          </w:tcPr>
          <w:p>
            <w:pPr>
              <w:jc w:val="right"/>
              <w:ind w:right="141"/>
              <w:spacing w:after="0" w:line="183" w:lineRule="exact"/>
              <w:rPr>
                <w:sz w:val="20"/>
                <w:szCs w:val="20"/>
                <w:color w:val="auto"/>
              </w:rPr>
            </w:pPr>
            <w:r>
              <w:rPr>
                <w:rFonts w:ascii="Arial" w:cs="Arial" w:eastAsia="Arial" w:hAnsi="Arial"/>
                <w:sz w:val="16"/>
                <w:szCs w:val="16"/>
                <w:color w:val="auto"/>
              </w:rPr>
              <w:t>200.0%</w:t>
            </w:r>
          </w:p>
        </w:tc>
      </w:tr>
      <w:tr>
        <w:trPr>
          <w:trHeight w:val="189"/>
        </w:trPr>
        <w:tc>
          <w:tcPr>
            <w:tcW w:w="4240" w:type="dxa"/>
            <w:vAlign w:val="bottom"/>
          </w:tcPr>
          <w:p>
            <w:pPr>
              <w:ind w:left="80"/>
              <w:spacing w:after="0"/>
              <w:rPr>
                <w:sz w:val="20"/>
                <w:szCs w:val="20"/>
                <w:color w:val="auto"/>
              </w:rPr>
            </w:pPr>
            <w:r>
              <w:rPr>
                <w:rFonts w:ascii="Arial" w:cs="Arial" w:eastAsia="Arial" w:hAnsi="Arial"/>
                <w:sz w:val="16"/>
                <w:szCs w:val="16"/>
                <w:color w:val="auto"/>
              </w:rPr>
              <w:t>Scott Bowman</w:t>
            </w:r>
          </w:p>
        </w:tc>
        <w:tc>
          <w:tcPr>
            <w:tcW w:w="4060" w:type="dxa"/>
            <w:vAlign w:val="bottom"/>
          </w:tcPr>
          <w:p>
            <w:pPr>
              <w:jc w:val="right"/>
              <w:ind w:right="201"/>
              <w:spacing w:after="0"/>
              <w:rPr>
                <w:sz w:val="20"/>
                <w:szCs w:val="20"/>
                <w:color w:val="auto"/>
              </w:rPr>
            </w:pPr>
            <w:r>
              <w:rPr>
                <w:rFonts w:ascii="Arial" w:cs="Arial" w:eastAsia="Arial" w:hAnsi="Arial"/>
                <w:sz w:val="16"/>
                <w:szCs w:val="16"/>
                <w:color w:val="auto"/>
              </w:rPr>
              <w:t>35.0%</w:t>
            </w: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80.0%</w:t>
            </w:r>
          </w:p>
        </w:tc>
        <w:tc>
          <w:tcPr>
            <w:tcW w:w="1340" w:type="dxa"/>
            <w:vAlign w:val="bottom"/>
          </w:tcPr>
          <w:p>
            <w:pPr>
              <w:jc w:val="right"/>
              <w:ind w:right="141"/>
              <w:spacing w:after="0"/>
              <w:rPr>
                <w:sz w:val="20"/>
                <w:szCs w:val="20"/>
                <w:color w:val="auto"/>
              </w:rPr>
            </w:pPr>
            <w:r>
              <w:rPr>
                <w:rFonts w:ascii="Arial" w:cs="Arial" w:eastAsia="Arial" w:hAnsi="Arial"/>
                <w:sz w:val="16"/>
                <w:szCs w:val="16"/>
                <w:color w:val="auto"/>
              </w:rPr>
              <w:t>160.0%</w:t>
            </w:r>
          </w:p>
        </w:tc>
      </w:tr>
      <w:tr>
        <w:trPr>
          <w:trHeight w:val="189"/>
        </w:trPr>
        <w:tc>
          <w:tcPr>
            <w:tcW w:w="4240" w:type="dxa"/>
            <w:vAlign w:val="bottom"/>
            <w:shd w:val="clear" w:color="auto" w:fill="E5E5E5"/>
          </w:tcPr>
          <w:p>
            <w:pPr>
              <w:ind w:left="80"/>
              <w:spacing w:after="0"/>
              <w:rPr>
                <w:sz w:val="20"/>
                <w:szCs w:val="20"/>
                <w:color w:val="auto"/>
              </w:rPr>
            </w:pPr>
            <w:r>
              <w:rPr>
                <w:rFonts w:ascii="Arial" w:cs="Arial" w:eastAsia="Arial" w:hAnsi="Arial"/>
                <w:sz w:val="16"/>
                <w:szCs w:val="16"/>
                <w:color w:val="auto"/>
              </w:rPr>
              <w:t>Joe DeProspero</w:t>
            </w:r>
          </w:p>
        </w:tc>
        <w:tc>
          <w:tcPr>
            <w:tcW w:w="406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26.3%</w:t>
            </w:r>
          </w:p>
        </w:tc>
        <w:tc>
          <w:tcPr>
            <w:tcW w:w="1380" w:type="dxa"/>
            <w:vAlign w:val="bottom"/>
            <w:shd w:val="clear" w:color="auto" w:fill="E5E5E5"/>
          </w:tcPr>
          <w:p>
            <w:pPr>
              <w:jc w:val="right"/>
              <w:ind w:right="81"/>
              <w:spacing w:after="0"/>
              <w:rPr>
                <w:sz w:val="20"/>
                <w:szCs w:val="20"/>
                <w:color w:val="auto"/>
              </w:rPr>
            </w:pPr>
            <w:r>
              <w:rPr>
                <w:rFonts w:ascii="Arial" w:cs="Arial" w:eastAsia="Arial" w:hAnsi="Arial"/>
                <w:sz w:val="16"/>
                <w:szCs w:val="16"/>
                <w:color w:val="auto"/>
              </w:rPr>
              <w:t>60.0%</w:t>
            </w:r>
          </w:p>
        </w:tc>
        <w:tc>
          <w:tcPr>
            <w:tcW w:w="134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120.0%</w:t>
            </w:r>
          </w:p>
        </w:tc>
      </w:tr>
      <w:tr>
        <w:trPr>
          <w:trHeight w:val="189"/>
        </w:trPr>
        <w:tc>
          <w:tcPr>
            <w:tcW w:w="4240" w:type="dxa"/>
            <w:vAlign w:val="bottom"/>
          </w:tcPr>
          <w:p>
            <w:pPr>
              <w:ind w:left="80"/>
              <w:spacing w:after="0"/>
              <w:rPr>
                <w:sz w:val="20"/>
                <w:szCs w:val="20"/>
                <w:color w:val="auto"/>
              </w:rPr>
            </w:pPr>
            <w:r>
              <w:rPr>
                <w:rFonts w:ascii="Arial" w:cs="Arial" w:eastAsia="Arial" w:hAnsi="Arial"/>
                <w:sz w:val="16"/>
                <w:szCs w:val="16"/>
                <w:color w:val="auto"/>
              </w:rPr>
              <w:t>Sean Gleason</w:t>
            </w:r>
          </w:p>
        </w:tc>
        <w:tc>
          <w:tcPr>
            <w:tcW w:w="4060" w:type="dxa"/>
            <w:vAlign w:val="bottom"/>
          </w:tcPr>
          <w:p>
            <w:pPr>
              <w:jc w:val="right"/>
              <w:ind w:right="201"/>
              <w:spacing w:after="0"/>
              <w:rPr>
                <w:sz w:val="20"/>
                <w:szCs w:val="20"/>
                <w:color w:val="auto"/>
              </w:rPr>
            </w:pPr>
            <w:r>
              <w:rPr>
                <w:rFonts w:ascii="Arial" w:cs="Arial" w:eastAsia="Arial" w:hAnsi="Arial"/>
                <w:sz w:val="16"/>
                <w:szCs w:val="16"/>
                <w:color w:val="auto"/>
              </w:rPr>
              <w:t>22.5%</w:t>
            </w: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60.0%</w:t>
            </w:r>
          </w:p>
        </w:tc>
        <w:tc>
          <w:tcPr>
            <w:tcW w:w="1340" w:type="dxa"/>
            <w:vAlign w:val="bottom"/>
          </w:tcPr>
          <w:p>
            <w:pPr>
              <w:jc w:val="right"/>
              <w:ind w:right="141"/>
              <w:spacing w:after="0"/>
              <w:rPr>
                <w:sz w:val="20"/>
                <w:szCs w:val="20"/>
                <w:color w:val="auto"/>
              </w:rPr>
            </w:pPr>
            <w:r>
              <w:rPr>
                <w:rFonts w:ascii="Arial" w:cs="Arial" w:eastAsia="Arial" w:hAnsi="Arial"/>
                <w:sz w:val="16"/>
                <w:szCs w:val="16"/>
                <w:color w:val="auto"/>
              </w:rPr>
              <w:t>120.0%</w:t>
            </w:r>
          </w:p>
        </w:tc>
      </w:tr>
      <w:tr>
        <w:trPr>
          <w:trHeight w:val="189"/>
        </w:trPr>
        <w:tc>
          <w:tcPr>
            <w:tcW w:w="4240" w:type="dxa"/>
            <w:vAlign w:val="bottom"/>
            <w:shd w:val="clear" w:color="auto" w:fill="E5E5E5"/>
          </w:tcPr>
          <w:p>
            <w:pPr>
              <w:ind w:left="80"/>
              <w:spacing w:after="0"/>
              <w:rPr>
                <w:sz w:val="20"/>
                <w:szCs w:val="20"/>
                <w:color w:val="auto"/>
              </w:rPr>
            </w:pPr>
            <w:r>
              <w:rPr>
                <w:rFonts w:ascii="Arial" w:cs="Arial" w:eastAsia="Arial" w:hAnsi="Arial"/>
                <w:sz w:val="16"/>
                <w:szCs w:val="16"/>
                <w:color w:val="auto"/>
              </w:rPr>
              <w:t>Margo L. Manning</w:t>
            </w:r>
          </w:p>
        </w:tc>
        <w:tc>
          <w:tcPr>
            <w:tcW w:w="406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35.0%</w:t>
            </w:r>
          </w:p>
        </w:tc>
        <w:tc>
          <w:tcPr>
            <w:tcW w:w="1380" w:type="dxa"/>
            <w:vAlign w:val="bottom"/>
            <w:shd w:val="clear" w:color="auto" w:fill="E5E5E5"/>
          </w:tcPr>
          <w:p>
            <w:pPr>
              <w:jc w:val="right"/>
              <w:ind w:right="81"/>
              <w:spacing w:after="0"/>
              <w:rPr>
                <w:sz w:val="20"/>
                <w:szCs w:val="20"/>
                <w:color w:val="auto"/>
              </w:rPr>
            </w:pPr>
            <w:r>
              <w:rPr>
                <w:rFonts w:ascii="Arial" w:cs="Arial" w:eastAsia="Arial" w:hAnsi="Arial"/>
                <w:sz w:val="16"/>
                <w:szCs w:val="16"/>
                <w:color w:val="auto"/>
              </w:rPr>
              <w:t>80.0%</w:t>
            </w:r>
          </w:p>
        </w:tc>
        <w:tc>
          <w:tcPr>
            <w:tcW w:w="134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160.0%</w:t>
            </w:r>
          </w:p>
        </w:tc>
      </w:tr>
      <w:tr>
        <w:trPr>
          <w:trHeight w:val="189"/>
        </w:trPr>
        <w:tc>
          <w:tcPr>
            <w:tcW w:w="4240" w:type="dxa"/>
            <w:vAlign w:val="bottom"/>
            <w:tcBorders>
              <w:bottom w:val="single" w:sz="8" w:color="003B71"/>
            </w:tcBorders>
          </w:tcPr>
          <w:p>
            <w:pPr>
              <w:ind w:left="80"/>
              <w:spacing w:after="0"/>
              <w:rPr>
                <w:sz w:val="20"/>
                <w:szCs w:val="20"/>
                <w:color w:val="auto"/>
              </w:rPr>
            </w:pPr>
            <w:r>
              <w:rPr>
                <w:rFonts w:ascii="Arial" w:cs="Arial" w:eastAsia="Arial" w:hAnsi="Arial"/>
                <w:sz w:val="16"/>
                <w:szCs w:val="16"/>
                <w:color w:val="auto"/>
              </w:rPr>
              <w:t>John B. Mulleady</w:t>
            </w:r>
          </w:p>
        </w:tc>
        <w:tc>
          <w:tcPr>
            <w:tcW w:w="4060" w:type="dxa"/>
            <w:vAlign w:val="bottom"/>
            <w:tcBorders>
              <w:bottom w:val="single" w:sz="8" w:color="003B71"/>
            </w:tcBorders>
          </w:tcPr>
          <w:p>
            <w:pPr>
              <w:jc w:val="right"/>
              <w:ind w:right="201"/>
              <w:spacing w:after="0"/>
              <w:rPr>
                <w:sz w:val="20"/>
                <w:szCs w:val="20"/>
                <w:color w:val="auto"/>
              </w:rPr>
            </w:pPr>
            <w:r>
              <w:rPr>
                <w:rFonts w:ascii="Arial" w:cs="Arial" w:eastAsia="Arial" w:hAnsi="Arial"/>
                <w:sz w:val="16"/>
                <w:szCs w:val="16"/>
                <w:color w:val="auto"/>
              </w:rPr>
              <w:t>18.8%</w:t>
            </w:r>
          </w:p>
        </w:tc>
        <w:tc>
          <w:tcPr>
            <w:tcW w:w="1380" w:type="dxa"/>
            <w:vAlign w:val="bottom"/>
            <w:tcBorders>
              <w:bottom w:val="single" w:sz="8" w:color="003B71"/>
            </w:tcBorders>
          </w:tcPr>
          <w:p>
            <w:pPr>
              <w:jc w:val="right"/>
              <w:ind w:right="81"/>
              <w:spacing w:after="0"/>
              <w:rPr>
                <w:sz w:val="20"/>
                <w:szCs w:val="20"/>
                <w:color w:val="auto"/>
              </w:rPr>
            </w:pPr>
            <w:r>
              <w:rPr>
                <w:rFonts w:ascii="Arial" w:cs="Arial" w:eastAsia="Arial" w:hAnsi="Arial"/>
                <w:sz w:val="16"/>
                <w:szCs w:val="16"/>
                <w:color w:val="auto"/>
              </w:rPr>
              <w:t>60.0%</w:t>
            </w:r>
          </w:p>
        </w:tc>
        <w:tc>
          <w:tcPr>
            <w:tcW w:w="1340" w:type="dxa"/>
            <w:vAlign w:val="bottom"/>
            <w:tcBorders>
              <w:bottom w:val="single" w:sz="8" w:color="003B71"/>
            </w:tcBorders>
          </w:tcPr>
          <w:p>
            <w:pPr>
              <w:jc w:val="right"/>
              <w:ind w:right="141"/>
              <w:spacing w:after="0"/>
              <w:rPr>
                <w:sz w:val="20"/>
                <w:szCs w:val="20"/>
                <w:color w:val="auto"/>
              </w:rPr>
            </w:pPr>
            <w:r>
              <w:rPr>
                <w:rFonts w:ascii="Arial" w:cs="Arial" w:eastAsia="Arial" w:hAnsi="Arial"/>
                <w:sz w:val="16"/>
                <w:szCs w:val="16"/>
                <w:color w:val="auto"/>
              </w:rPr>
              <w:t>120.0%</w:t>
            </w:r>
          </w:p>
        </w:tc>
      </w:tr>
    </w:tbl>
    <w:p>
      <w:pPr>
        <w:spacing w:after="0" w:line="21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table below outlines the targets and relative payout percentages for the EBITDA, total revenue, and comparable store sales growth, signed leases, and new store construction components of the Executive Incentive Plan. Below a minimum threshold level of performance, no awards will be granted under the Executive Incentive Plan. The calculations are subject to straight-line interpolation between threshold and target performance and between target and maximum performance. The performance thresholds on the financial measures were set at a level that ensures no payout will be made unless the Company exceeded prior year performance.</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640" w:type="dxa"/>
            <w:vAlign w:val="bottom"/>
            <w:vMerge w:val="restart"/>
          </w:tcPr>
          <w:p>
            <w:pPr>
              <w:ind w:left="60"/>
              <w:spacing w:after="0"/>
              <w:rPr>
                <w:sz w:val="20"/>
                <w:szCs w:val="20"/>
                <w:color w:val="auto"/>
              </w:rPr>
            </w:pPr>
            <w:r>
              <w:rPr>
                <w:rFonts w:ascii="Arial" w:cs="Arial" w:eastAsia="Arial" w:hAnsi="Arial"/>
                <w:sz w:val="14"/>
                <w:szCs w:val="14"/>
                <w:b w:val="1"/>
                <w:bCs w:val="1"/>
                <w:color w:val="003B71"/>
              </w:rPr>
              <w:t>Component</w:t>
            </w:r>
          </w:p>
        </w:tc>
        <w:tc>
          <w:tcPr>
            <w:tcW w:w="320" w:type="dxa"/>
            <w:vAlign w:val="bottom"/>
            <w:tcBorders>
              <w:bottom w:val="single" w:sz="8" w:color="003B71"/>
            </w:tcBorders>
          </w:tcPr>
          <w:p>
            <w:pPr>
              <w:spacing w:after="0"/>
              <w:rPr>
                <w:sz w:val="15"/>
                <w:szCs w:val="15"/>
                <w:color w:val="auto"/>
              </w:rPr>
            </w:pPr>
          </w:p>
        </w:tc>
        <w:tc>
          <w:tcPr>
            <w:tcW w:w="840" w:type="dxa"/>
            <w:vAlign w:val="bottom"/>
            <w:tcBorders>
              <w:bottom w:val="single" w:sz="8" w:color="003B71"/>
            </w:tcBorders>
          </w:tcPr>
          <w:p>
            <w:pPr>
              <w:spacing w:after="0"/>
              <w:rPr>
                <w:sz w:val="15"/>
                <w:szCs w:val="15"/>
                <w:color w:val="auto"/>
              </w:rPr>
            </w:pPr>
          </w:p>
        </w:tc>
        <w:tc>
          <w:tcPr>
            <w:tcW w:w="1420" w:type="dxa"/>
            <w:vAlign w:val="bottom"/>
            <w:tcBorders>
              <w:bottom w:val="single" w:sz="8" w:color="003B71"/>
            </w:tcBorders>
            <w:gridSpan w:val="2"/>
          </w:tcPr>
          <w:p>
            <w:pPr>
              <w:jc w:val="center"/>
              <w:ind w:right="60"/>
              <w:spacing w:after="0"/>
              <w:rPr>
                <w:sz w:val="20"/>
                <w:szCs w:val="20"/>
                <w:color w:val="auto"/>
              </w:rPr>
            </w:pPr>
            <w:r>
              <w:rPr>
                <w:rFonts w:ascii="Arial" w:cs="Arial" w:eastAsia="Arial" w:hAnsi="Arial"/>
                <w:sz w:val="14"/>
                <w:szCs w:val="14"/>
                <w:b w:val="1"/>
                <w:bCs w:val="1"/>
                <w:color w:val="003B71"/>
              </w:rPr>
              <w:t>Performance</w:t>
            </w:r>
          </w:p>
        </w:tc>
        <w:tc>
          <w:tcPr>
            <w:tcW w:w="280" w:type="dxa"/>
            <w:vAlign w:val="bottom"/>
            <w:tcBorders>
              <w:bottom w:val="single" w:sz="8" w:color="003B71"/>
            </w:tcBorders>
          </w:tcPr>
          <w:p>
            <w:pPr>
              <w:spacing w:after="0"/>
              <w:rPr>
                <w:sz w:val="15"/>
                <w:szCs w:val="15"/>
                <w:color w:val="auto"/>
              </w:rPr>
            </w:pPr>
          </w:p>
        </w:tc>
        <w:tc>
          <w:tcPr>
            <w:tcW w:w="860" w:type="dxa"/>
            <w:vAlign w:val="bottom"/>
            <w:tcBorders>
              <w:bottom w:val="single" w:sz="8" w:color="003B71"/>
            </w:tcBorders>
          </w:tcPr>
          <w:p>
            <w:pPr>
              <w:spacing w:after="0"/>
              <w:rPr>
                <w:sz w:val="15"/>
                <w:szCs w:val="15"/>
                <w:color w:val="auto"/>
              </w:rPr>
            </w:pPr>
          </w:p>
        </w:tc>
        <w:tc>
          <w:tcPr>
            <w:tcW w:w="460" w:type="dxa"/>
            <w:vAlign w:val="bottom"/>
          </w:tcPr>
          <w:p>
            <w:pPr>
              <w:spacing w:after="0"/>
              <w:rPr>
                <w:sz w:val="15"/>
                <w:szCs w:val="15"/>
                <w:color w:val="auto"/>
              </w:rPr>
            </w:pPr>
          </w:p>
        </w:tc>
        <w:tc>
          <w:tcPr>
            <w:tcW w:w="3200" w:type="dxa"/>
            <w:vAlign w:val="bottom"/>
            <w:tcBorders>
              <w:bottom w:val="single" w:sz="8" w:color="003B71"/>
            </w:tcBorders>
            <w:gridSpan w:val="3"/>
          </w:tcPr>
          <w:p>
            <w:pPr>
              <w:jc w:val="right"/>
              <w:ind w:right="841"/>
              <w:spacing w:after="0"/>
              <w:rPr>
                <w:sz w:val="20"/>
                <w:szCs w:val="20"/>
                <w:color w:val="auto"/>
              </w:rPr>
            </w:pPr>
            <w:r>
              <w:rPr>
                <w:rFonts w:ascii="Arial" w:cs="Arial" w:eastAsia="Arial" w:hAnsi="Arial"/>
                <w:sz w:val="14"/>
                <w:szCs w:val="14"/>
                <w:b w:val="1"/>
                <w:bCs w:val="1"/>
                <w:color w:val="003B71"/>
              </w:rPr>
              <w:t>Bonus as % of Target</w:t>
            </w:r>
          </w:p>
        </w:tc>
        <w:tc>
          <w:tcPr>
            <w:tcW w:w="0" w:type="dxa"/>
            <w:vAlign w:val="bottom"/>
          </w:tcPr>
          <w:p>
            <w:pPr>
              <w:spacing w:after="0"/>
              <w:rPr>
                <w:sz w:val="1"/>
                <w:szCs w:val="1"/>
                <w:color w:val="auto"/>
              </w:rPr>
            </w:pPr>
          </w:p>
        </w:tc>
      </w:tr>
      <w:tr>
        <w:trPr>
          <w:trHeight w:val="156"/>
        </w:trPr>
        <w:tc>
          <w:tcPr>
            <w:tcW w:w="3640" w:type="dxa"/>
            <w:vAlign w:val="bottom"/>
            <w:tcBorders>
              <w:bottom w:val="single" w:sz="8" w:color="003B71"/>
            </w:tcBorders>
            <w:vMerge w:val="continue"/>
          </w:tcPr>
          <w:p>
            <w:pPr>
              <w:spacing w:after="0"/>
              <w:rPr>
                <w:sz w:val="13"/>
                <w:szCs w:val="13"/>
                <w:color w:val="auto"/>
              </w:rPr>
            </w:pPr>
          </w:p>
        </w:tc>
        <w:tc>
          <w:tcPr>
            <w:tcW w:w="1160" w:type="dxa"/>
            <w:vAlign w:val="bottom"/>
            <w:tcBorders>
              <w:bottom w:val="single" w:sz="8" w:color="003B71"/>
            </w:tcBorders>
            <w:gridSpan w:val="2"/>
          </w:tcPr>
          <w:p>
            <w:pPr>
              <w:ind w:left="200"/>
              <w:spacing w:after="0" w:line="155" w:lineRule="exact"/>
              <w:rPr>
                <w:sz w:val="20"/>
                <w:szCs w:val="20"/>
                <w:color w:val="auto"/>
              </w:rPr>
            </w:pPr>
            <w:r>
              <w:rPr>
                <w:rFonts w:ascii="Arial" w:cs="Arial" w:eastAsia="Arial" w:hAnsi="Arial"/>
                <w:sz w:val="14"/>
                <w:szCs w:val="14"/>
                <w:b w:val="1"/>
                <w:bCs w:val="1"/>
                <w:color w:val="003B71"/>
              </w:rPr>
              <w:t>Threshold</w:t>
            </w:r>
          </w:p>
        </w:tc>
        <w:tc>
          <w:tcPr>
            <w:tcW w:w="220" w:type="dxa"/>
            <w:vAlign w:val="bottom"/>
            <w:tcBorders>
              <w:bottom w:val="single" w:sz="8" w:color="003B71"/>
            </w:tcBorders>
          </w:tcPr>
          <w:p>
            <w:pPr>
              <w:spacing w:after="0"/>
              <w:rPr>
                <w:sz w:val="13"/>
                <w:szCs w:val="13"/>
                <w:color w:val="auto"/>
              </w:rPr>
            </w:pPr>
          </w:p>
        </w:tc>
        <w:tc>
          <w:tcPr>
            <w:tcW w:w="1200" w:type="dxa"/>
            <w:vAlign w:val="bottom"/>
            <w:tcBorders>
              <w:bottom w:val="single" w:sz="8" w:color="003B71"/>
            </w:tcBorders>
          </w:tcPr>
          <w:p>
            <w:pPr>
              <w:jc w:val="right"/>
              <w:ind w:right="520"/>
              <w:spacing w:after="0" w:line="155" w:lineRule="exact"/>
              <w:rPr>
                <w:sz w:val="20"/>
                <w:szCs w:val="20"/>
                <w:color w:val="auto"/>
              </w:rPr>
            </w:pPr>
            <w:r>
              <w:rPr>
                <w:rFonts w:ascii="Arial" w:cs="Arial" w:eastAsia="Arial" w:hAnsi="Arial"/>
                <w:sz w:val="14"/>
                <w:szCs w:val="14"/>
                <w:b w:val="1"/>
                <w:bCs w:val="1"/>
                <w:color w:val="003B71"/>
              </w:rPr>
              <w:t>Target</w:t>
            </w:r>
          </w:p>
        </w:tc>
        <w:tc>
          <w:tcPr>
            <w:tcW w:w="1140" w:type="dxa"/>
            <w:vAlign w:val="bottom"/>
            <w:tcBorders>
              <w:bottom w:val="single" w:sz="8" w:color="003B71"/>
            </w:tcBorders>
            <w:gridSpan w:val="2"/>
          </w:tcPr>
          <w:p>
            <w:pPr>
              <w:ind w:left="160"/>
              <w:spacing w:after="0" w:line="155" w:lineRule="exact"/>
              <w:rPr>
                <w:sz w:val="20"/>
                <w:szCs w:val="20"/>
                <w:color w:val="auto"/>
              </w:rPr>
            </w:pPr>
            <w:r>
              <w:rPr>
                <w:rFonts w:ascii="Arial" w:cs="Arial" w:eastAsia="Arial" w:hAnsi="Arial"/>
                <w:sz w:val="14"/>
                <w:szCs w:val="14"/>
                <w:b w:val="1"/>
                <w:bCs w:val="1"/>
                <w:color w:val="003B71"/>
              </w:rPr>
              <w:t>Maximum</w:t>
            </w:r>
          </w:p>
        </w:tc>
        <w:tc>
          <w:tcPr>
            <w:tcW w:w="460" w:type="dxa"/>
            <w:vAlign w:val="bottom"/>
            <w:tcBorders>
              <w:bottom w:val="single" w:sz="8" w:color="003B71"/>
            </w:tcBorders>
          </w:tcPr>
          <w:p>
            <w:pPr>
              <w:spacing w:after="0"/>
              <w:rPr>
                <w:sz w:val="13"/>
                <w:szCs w:val="13"/>
                <w:color w:val="auto"/>
              </w:rPr>
            </w:pPr>
          </w:p>
        </w:tc>
        <w:tc>
          <w:tcPr>
            <w:tcW w:w="1180" w:type="dxa"/>
            <w:vAlign w:val="bottom"/>
            <w:tcBorders>
              <w:bottom w:val="single" w:sz="8" w:color="003B71"/>
            </w:tcBorders>
          </w:tcPr>
          <w:p>
            <w:pPr>
              <w:jc w:val="right"/>
              <w:ind w:right="202"/>
              <w:spacing w:after="0" w:line="155" w:lineRule="exact"/>
              <w:rPr>
                <w:sz w:val="20"/>
                <w:szCs w:val="20"/>
                <w:color w:val="auto"/>
              </w:rPr>
            </w:pPr>
            <w:r>
              <w:rPr>
                <w:rFonts w:ascii="Arial" w:cs="Arial" w:eastAsia="Arial" w:hAnsi="Arial"/>
                <w:sz w:val="14"/>
                <w:szCs w:val="14"/>
                <w:b w:val="1"/>
                <w:bCs w:val="1"/>
                <w:color w:val="003B71"/>
              </w:rPr>
              <w:t>Threshold</w:t>
            </w:r>
          </w:p>
        </w:tc>
        <w:tc>
          <w:tcPr>
            <w:tcW w:w="880" w:type="dxa"/>
            <w:vAlign w:val="bottom"/>
            <w:tcBorders>
              <w:bottom w:val="single" w:sz="8" w:color="003B71"/>
            </w:tcBorders>
          </w:tcPr>
          <w:p>
            <w:pPr>
              <w:jc w:val="right"/>
              <w:ind w:right="241"/>
              <w:spacing w:after="0" w:line="155" w:lineRule="exact"/>
              <w:rPr>
                <w:sz w:val="20"/>
                <w:szCs w:val="20"/>
                <w:color w:val="auto"/>
              </w:rPr>
            </w:pPr>
            <w:r>
              <w:rPr>
                <w:rFonts w:ascii="Arial" w:cs="Arial" w:eastAsia="Arial" w:hAnsi="Arial"/>
                <w:sz w:val="14"/>
                <w:szCs w:val="14"/>
                <w:b w:val="1"/>
                <w:bCs w:val="1"/>
                <w:color w:val="003B71"/>
              </w:rPr>
              <w:t>Target</w:t>
            </w:r>
          </w:p>
        </w:tc>
        <w:tc>
          <w:tcPr>
            <w:tcW w:w="1140" w:type="dxa"/>
            <w:vAlign w:val="bottom"/>
            <w:tcBorders>
              <w:bottom w:val="single" w:sz="8" w:color="003B71"/>
            </w:tcBorders>
          </w:tcPr>
          <w:p>
            <w:pPr>
              <w:jc w:val="right"/>
              <w:ind w:right="241"/>
              <w:spacing w:after="0" w:line="155" w:lineRule="exact"/>
              <w:rPr>
                <w:sz w:val="20"/>
                <w:szCs w:val="20"/>
                <w:color w:val="auto"/>
              </w:rPr>
            </w:pPr>
            <w:r>
              <w:rPr>
                <w:rFonts w:ascii="Arial" w:cs="Arial" w:eastAsia="Arial" w:hAnsi="Arial"/>
                <w:sz w:val="14"/>
                <w:szCs w:val="14"/>
                <w:b w:val="1"/>
                <w:bCs w:val="1"/>
                <w:color w:val="003B71"/>
              </w:rPr>
              <w:t>Maximum</w:t>
            </w:r>
          </w:p>
        </w:tc>
        <w:tc>
          <w:tcPr>
            <w:tcW w:w="0" w:type="dxa"/>
            <w:vAlign w:val="bottom"/>
          </w:tcPr>
          <w:p>
            <w:pPr>
              <w:spacing w:after="0"/>
              <w:rPr>
                <w:sz w:val="1"/>
                <w:szCs w:val="1"/>
                <w:color w:val="auto"/>
              </w:rPr>
            </w:pPr>
          </w:p>
        </w:tc>
      </w:tr>
      <w:tr>
        <w:trPr>
          <w:trHeight w:val="183"/>
        </w:trPr>
        <w:tc>
          <w:tcPr>
            <w:tcW w:w="364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EBITDA(1)</w:t>
            </w:r>
          </w:p>
        </w:tc>
        <w:tc>
          <w:tcPr>
            <w:tcW w:w="320" w:type="dxa"/>
            <w:vAlign w:val="bottom"/>
            <w:shd w:val="clear" w:color="auto" w:fill="E5E5E5"/>
          </w:tcPr>
          <w:p>
            <w:pPr>
              <w:ind w:left="200"/>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179"/>
              <w:spacing w:after="0" w:line="183" w:lineRule="exact"/>
              <w:rPr>
                <w:sz w:val="20"/>
                <w:szCs w:val="20"/>
                <w:color w:val="auto"/>
              </w:rPr>
            </w:pPr>
            <w:r>
              <w:rPr>
                <w:rFonts w:ascii="Arial" w:cs="Arial" w:eastAsia="Arial" w:hAnsi="Arial"/>
                <w:sz w:val="16"/>
                <w:szCs w:val="16"/>
                <w:color w:val="auto"/>
              </w:rPr>
              <w:t>279.3</w:t>
            </w:r>
          </w:p>
        </w:tc>
        <w:tc>
          <w:tcPr>
            <w:tcW w:w="22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240"/>
              <w:spacing w:after="0" w:line="183" w:lineRule="exact"/>
              <w:rPr>
                <w:sz w:val="20"/>
                <w:szCs w:val="20"/>
                <w:color w:val="auto"/>
              </w:rPr>
            </w:pPr>
            <w:r>
              <w:rPr>
                <w:rFonts w:ascii="Arial" w:cs="Arial" w:eastAsia="Arial" w:hAnsi="Arial"/>
                <w:sz w:val="16"/>
                <w:szCs w:val="16"/>
                <w:color w:val="auto"/>
              </w:rPr>
              <w:t>302.0</w:t>
            </w:r>
          </w:p>
        </w:tc>
        <w:tc>
          <w:tcPr>
            <w:tcW w:w="280" w:type="dxa"/>
            <w:vAlign w:val="bottom"/>
            <w:shd w:val="clear" w:color="auto" w:fill="E5E5E5"/>
          </w:tcPr>
          <w:p>
            <w:pPr>
              <w:ind w:left="16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ind w:right="219"/>
              <w:spacing w:after="0" w:line="183" w:lineRule="exact"/>
              <w:rPr>
                <w:sz w:val="20"/>
                <w:szCs w:val="20"/>
                <w:color w:val="auto"/>
              </w:rPr>
            </w:pPr>
            <w:r>
              <w:rPr>
                <w:rFonts w:ascii="Arial" w:cs="Arial" w:eastAsia="Arial" w:hAnsi="Arial"/>
                <w:sz w:val="16"/>
                <w:szCs w:val="16"/>
                <w:color w:val="auto"/>
              </w:rPr>
              <w:t>341.3</w:t>
            </w:r>
          </w:p>
        </w:tc>
        <w:tc>
          <w:tcPr>
            <w:tcW w:w="460" w:type="dxa"/>
            <w:vAlign w:val="bottom"/>
            <w:shd w:val="clear" w:color="auto" w:fill="E5E5E5"/>
          </w:tcPr>
          <w:p>
            <w:pPr>
              <w:spacing w:after="0"/>
              <w:rPr>
                <w:sz w:val="15"/>
                <w:szCs w:val="15"/>
                <w:color w:val="auto"/>
              </w:rPr>
            </w:pPr>
          </w:p>
        </w:tc>
        <w:tc>
          <w:tcPr>
            <w:tcW w:w="1180" w:type="dxa"/>
            <w:vAlign w:val="bottom"/>
            <w:shd w:val="clear" w:color="auto" w:fill="E5E5E5"/>
          </w:tcPr>
          <w:p>
            <w:pPr>
              <w:jc w:val="right"/>
              <w:ind w:right="62"/>
              <w:spacing w:after="0" w:line="183" w:lineRule="exact"/>
              <w:rPr>
                <w:sz w:val="20"/>
                <w:szCs w:val="20"/>
                <w:color w:val="auto"/>
              </w:rPr>
            </w:pPr>
            <w:r>
              <w:rPr>
                <w:rFonts w:ascii="Arial" w:cs="Arial" w:eastAsia="Arial" w:hAnsi="Arial"/>
                <w:sz w:val="16"/>
                <w:szCs w:val="16"/>
                <w:color w:val="auto"/>
              </w:rPr>
              <w:t>50%</w:t>
            </w:r>
          </w:p>
        </w:tc>
        <w:tc>
          <w:tcPr>
            <w:tcW w:w="880" w:type="dxa"/>
            <w:vAlign w:val="bottom"/>
            <w:shd w:val="clear" w:color="auto" w:fill="E5E5E5"/>
          </w:tcPr>
          <w:p>
            <w:pPr>
              <w:jc w:val="right"/>
              <w:ind w:right="101"/>
              <w:spacing w:after="0" w:line="183" w:lineRule="exact"/>
              <w:rPr>
                <w:sz w:val="20"/>
                <w:szCs w:val="20"/>
                <w:color w:val="auto"/>
              </w:rPr>
            </w:pPr>
            <w:r>
              <w:rPr>
                <w:rFonts w:ascii="Arial" w:cs="Arial" w:eastAsia="Arial" w:hAnsi="Arial"/>
                <w:sz w:val="16"/>
                <w:szCs w:val="16"/>
                <w:color w:val="auto"/>
              </w:rPr>
              <w:t>100%</w:t>
            </w:r>
          </w:p>
        </w:tc>
        <w:tc>
          <w:tcPr>
            <w:tcW w:w="1140" w:type="dxa"/>
            <w:vAlign w:val="bottom"/>
            <w:shd w:val="clear" w:color="auto" w:fill="E5E5E5"/>
          </w:tcPr>
          <w:p>
            <w:pPr>
              <w:jc w:val="right"/>
              <w:ind w:right="81"/>
              <w:spacing w:after="0" w:line="183" w:lineRule="exact"/>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89"/>
        </w:trPr>
        <w:tc>
          <w:tcPr>
            <w:tcW w:w="3640" w:type="dxa"/>
            <w:vAlign w:val="bottom"/>
          </w:tcPr>
          <w:p>
            <w:pPr>
              <w:ind w:left="80"/>
              <w:spacing w:after="0"/>
              <w:rPr>
                <w:sz w:val="20"/>
                <w:szCs w:val="20"/>
                <w:color w:val="auto"/>
              </w:rPr>
            </w:pPr>
            <w:r>
              <w:rPr>
                <w:rFonts w:ascii="Arial" w:cs="Arial" w:eastAsia="Arial" w:hAnsi="Arial"/>
                <w:sz w:val="16"/>
                <w:szCs w:val="16"/>
                <w:color w:val="auto"/>
              </w:rPr>
              <w:t>Total Revenue(1)</w:t>
            </w:r>
          </w:p>
        </w:tc>
        <w:tc>
          <w:tcPr>
            <w:tcW w:w="320" w:type="dxa"/>
            <w:vAlign w:val="bottom"/>
          </w:tcPr>
          <w:p>
            <w:pPr>
              <w:ind w:left="2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79"/>
              <w:spacing w:after="0"/>
              <w:rPr>
                <w:sz w:val="20"/>
                <w:szCs w:val="20"/>
                <w:color w:val="auto"/>
              </w:rPr>
            </w:pPr>
            <w:r>
              <w:rPr>
                <w:rFonts w:ascii="Arial" w:cs="Arial" w:eastAsia="Arial" w:hAnsi="Arial"/>
                <w:sz w:val="16"/>
                <w:szCs w:val="16"/>
                <w:color w:val="auto"/>
              </w:rPr>
              <w:t>1,334.1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40"/>
              <w:spacing w:after="0"/>
              <w:rPr>
                <w:sz w:val="20"/>
                <w:szCs w:val="20"/>
                <w:color w:val="auto"/>
              </w:rPr>
            </w:pPr>
            <w:r>
              <w:rPr>
                <w:rFonts w:ascii="Arial" w:cs="Arial" w:eastAsia="Arial" w:hAnsi="Arial"/>
                <w:sz w:val="16"/>
                <w:szCs w:val="16"/>
                <w:color w:val="auto"/>
              </w:rPr>
              <w:t>1,404.3</w:t>
            </w: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9"/>
              <w:spacing w:after="0"/>
              <w:rPr>
                <w:sz w:val="20"/>
                <w:szCs w:val="20"/>
                <w:color w:val="auto"/>
              </w:rPr>
            </w:pPr>
            <w:r>
              <w:rPr>
                <w:rFonts w:ascii="Arial" w:cs="Arial" w:eastAsia="Arial" w:hAnsi="Arial"/>
                <w:sz w:val="16"/>
                <w:szCs w:val="16"/>
                <w:color w:val="auto"/>
              </w:rPr>
              <w:t>1,474.5</w:t>
            </w:r>
          </w:p>
        </w:tc>
        <w:tc>
          <w:tcPr>
            <w:tcW w:w="460" w:type="dxa"/>
            <w:vAlign w:val="bottom"/>
          </w:tcPr>
          <w:p>
            <w:pPr>
              <w:spacing w:after="0"/>
              <w:rPr>
                <w:sz w:val="16"/>
                <w:szCs w:val="16"/>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50%</w:t>
            </w: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100%</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89"/>
        </w:trPr>
        <w:tc>
          <w:tcPr>
            <w:tcW w:w="3640" w:type="dxa"/>
            <w:vAlign w:val="bottom"/>
            <w:shd w:val="clear" w:color="auto" w:fill="E5E5E5"/>
          </w:tcPr>
          <w:p>
            <w:pPr>
              <w:ind w:left="80"/>
              <w:spacing w:after="0"/>
              <w:rPr>
                <w:sz w:val="20"/>
                <w:szCs w:val="20"/>
                <w:color w:val="auto"/>
              </w:rPr>
            </w:pPr>
            <w:r>
              <w:rPr>
                <w:rFonts w:ascii="Arial" w:cs="Arial" w:eastAsia="Arial" w:hAnsi="Arial"/>
                <w:sz w:val="16"/>
                <w:szCs w:val="16"/>
                <w:color w:val="auto"/>
              </w:rPr>
              <w:t>Comparable Store Sales Growth</w:t>
            </w:r>
          </w:p>
        </w:tc>
        <w:tc>
          <w:tcPr>
            <w:tcW w:w="32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0.0%</w:t>
            </w:r>
          </w:p>
        </w:tc>
        <w:tc>
          <w:tcPr>
            <w:tcW w:w="220" w:type="dxa"/>
            <w:vAlign w:val="bottom"/>
            <w:shd w:val="clear" w:color="auto" w:fill="E5E5E5"/>
          </w:tcPr>
          <w:p>
            <w:pPr>
              <w:spacing w:after="0"/>
              <w:rPr>
                <w:sz w:val="16"/>
                <w:szCs w:val="16"/>
                <w:color w:val="auto"/>
              </w:rPr>
            </w:pPr>
          </w:p>
        </w:tc>
        <w:tc>
          <w:tcPr>
            <w:tcW w:w="1200" w:type="dxa"/>
            <w:vAlign w:val="bottom"/>
            <w:shd w:val="clear" w:color="auto" w:fill="E5E5E5"/>
          </w:tcPr>
          <w:p>
            <w:pPr>
              <w:jc w:val="right"/>
              <w:ind w:right="100"/>
              <w:spacing w:after="0"/>
              <w:rPr>
                <w:sz w:val="20"/>
                <w:szCs w:val="20"/>
                <w:color w:val="auto"/>
              </w:rPr>
            </w:pPr>
            <w:r>
              <w:rPr>
                <w:rFonts w:ascii="Arial" w:cs="Arial" w:eastAsia="Arial" w:hAnsi="Arial"/>
                <w:sz w:val="16"/>
                <w:szCs w:val="16"/>
                <w:color w:val="auto"/>
              </w:rPr>
              <w:t>1.5%</w:t>
            </w:r>
          </w:p>
        </w:tc>
        <w:tc>
          <w:tcPr>
            <w:tcW w:w="28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3.0%</w:t>
            </w:r>
          </w:p>
        </w:tc>
        <w:tc>
          <w:tcPr>
            <w:tcW w:w="460" w:type="dxa"/>
            <w:vAlign w:val="bottom"/>
            <w:shd w:val="clear" w:color="auto" w:fill="E5E5E5"/>
          </w:tcPr>
          <w:p>
            <w:pPr>
              <w:spacing w:after="0"/>
              <w:rPr>
                <w:sz w:val="16"/>
                <w:szCs w:val="16"/>
                <w:color w:val="auto"/>
              </w:rPr>
            </w:pPr>
          </w:p>
        </w:tc>
        <w:tc>
          <w:tcPr>
            <w:tcW w:w="118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rPr>
              <w:t>0%</w:t>
            </w:r>
          </w:p>
        </w:tc>
        <w:tc>
          <w:tcPr>
            <w:tcW w:w="8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100%</w:t>
            </w:r>
          </w:p>
        </w:tc>
        <w:tc>
          <w:tcPr>
            <w:tcW w:w="1140" w:type="dxa"/>
            <w:vAlign w:val="bottom"/>
            <w:shd w:val="clear" w:color="auto" w:fill="E5E5E5"/>
          </w:tcPr>
          <w:p>
            <w:pPr>
              <w:jc w:val="right"/>
              <w:ind w:right="81"/>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89"/>
        </w:trPr>
        <w:tc>
          <w:tcPr>
            <w:tcW w:w="3640" w:type="dxa"/>
            <w:vAlign w:val="bottom"/>
          </w:tcPr>
          <w:p>
            <w:pPr>
              <w:ind w:left="80"/>
              <w:spacing w:after="0"/>
              <w:rPr>
                <w:sz w:val="20"/>
                <w:szCs w:val="20"/>
                <w:color w:val="auto"/>
              </w:rPr>
            </w:pPr>
            <w:r>
              <w:rPr>
                <w:rFonts w:ascii="Arial" w:cs="Arial" w:eastAsia="Arial" w:hAnsi="Arial"/>
                <w:sz w:val="16"/>
                <w:szCs w:val="16"/>
                <w:color w:val="auto"/>
              </w:rPr>
              <w:t>Signed Leases</w:t>
            </w:r>
          </w:p>
        </w:tc>
        <w:tc>
          <w:tcPr>
            <w:tcW w:w="32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6"/>
                <w:szCs w:val="16"/>
                <w:color w:val="auto"/>
              </w:rPr>
            </w:pPr>
          </w:p>
        </w:tc>
        <w:tc>
          <w:tcPr>
            <w:tcW w:w="1200" w:type="dxa"/>
            <w:vAlign w:val="bottom"/>
          </w:tcPr>
          <w:p>
            <w:pPr>
              <w:jc w:val="right"/>
              <w:ind w:right="240"/>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6"/>
                <w:szCs w:val="16"/>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color w:val="auto"/>
              </w:rPr>
              <w:t>15</w:t>
            </w:r>
          </w:p>
        </w:tc>
        <w:tc>
          <w:tcPr>
            <w:tcW w:w="460" w:type="dxa"/>
            <w:vAlign w:val="bottom"/>
          </w:tcPr>
          <w:p>
            <w:pPr>
              <w:spacing w:after="0"/>
              <w:rPr>
                <w:sz w:val="16"/>
                <w:szCs w:val="16"/>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25%</w:t>
            </w: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100%</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91"/>
        </w:trPr>
        <w:tc>
          <w:tcPr>
            <w:tcW w:w="3640" w:type="dxa"/>
            <w:vAlign w:val="bottom"/>
            <w:shd w:val="clear" w:color="auto" w:fill="E5E5E5"/>
          </w:tcPr>
          <w:p>
            <w:pPr>
              <w:ind w:left="80"/>
              <w:spacing w:after="0"/>
              <w:rPr>
                <w:sz w:val="20"/>
                <w:szCs w:val="20"/>
                <w:color w:val="auto"/>
              </w:rPr>
            </w:pPr>
            <w:r>
              <w:rPr>
                <w:rFonts w:ascii="Arial" w:cs="Arial" w:eastAsia="Arial" w:hAnsi="Arial"/>
                <w:sz w:val="16"/>
                <w:szCs w:val="16"/>
                <w:color w:val="auto"/>
              </w:rPr>
              <w:t>New Store Construction(2)</w:t>
            </w:r>
          </w:p>
        </w:tc>
        <w:tc>
          <w:tcPr>
            <w:tcW w:w="32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179"/>
              <w:spacing w:after="0"/>
              <w:rPr>
                <w:sz w:val="20"/>
                <w:szCs w:val="20"/>
                <w:color w:val="auto"/>
              </w:rPr>
            </w:pPr>
            <w:r>
              <w:rPr>
                <w:rFonts w:ascii="Arial" w:cs="Arial" w:eastAsia="Arial" w:hAnsi="Arial"/>
                <w:sz w:val="16"/>
                <w:szCs w:val="16"/>
                <w:color w:val="auto"/>
              </w:rPr>
              <w:t>—</w:t>
            </w:r>
          </w:p>
        </w:tc>
        <w:tc>
          <w:tcPr>
            <w:tcW w:w="220" w:type="dxa"/>
            <w:vAlign w:val="bottom"/>
            <w:shd w:val="clear" w:color="auto" w:fill="E5E5E5"/>
          </w:tcPr>
          <w:p>
            <w:pPr>
              <w:spacing w:after="0"/>
              <w:rPr>
                <w:sz w:val="16"/>
                <w:szCs w:val="16"/>
                <w:color w:val="auto"/>
              </w:rPr>
            </w:pPr>
          </w:p>
        </w:tc>
        <w:tc>
          <w:tcPr>
            <w:tcW w:w="1200" w:type="dxa"/>
            <w:vAlign w:val="bottom"/>
            <w:shd w:val="clear" w:color="auto" w:fill="E5E5E5"/>
          </w:tcPr>
          <w:p>
            <w:pPr>
              <w:jc w:val="center"/>
              <w:ind w:right="260"/>
              <w:spacing w:after="0"/>
              <w:rPr>
                <w:sz w:val="20"/>
                <w:szCs w:val="20"/>
                <w:color w:val="auto"/>
              </w:rPr>
            </w:pPr>
            <w:r>
              <w:rPr>
                <w:rFonts w:ascii="Arial" w:cs="Arial" w:eastAsia="Arial" w:hAnsi="Arial"/>
                <w:sz w:val="16"/>
                <w:szCs w:val="16"/>
                <w:color w:val="auto"/>
              </w:rPr>
              <w:t>Within 7.5%</w:t>
            </w:r>
          </w:p>
        </w:tc>
        <w:tc>
          <w:tcPr>
            <w:tcW w:w="280" w:type="dxa"/>
            <w:vAlign w:val="bottom"/>
            <w:shd w:val="clear" w:color="auto" w:fill="E5E5E5"/>
          </w:tcPr>
          <w:p>
            <w:pPr>
              <w:spacing w:after="0"/>
              <w:rPr>
                <w:sz w:val="16"/>
                <w:szCs w:val="16"/>
                <w:color w:val="auto"/>
              </w:rPr>
            </w:pPr>
          </w:p>
        </w:tc>
        <w:tc>
          <w:tcPr>
            <w:tcW w:w="1320" w:type="dxa"/>
            <w:vAlign w:val="bottom"/>
            <w:gridSpan w:val="2"/>
            <w:shd w:val="clear" w:color="auto" w:fill="E5E5E5"/>
          </w:tcPr>
          <w:p>
            <w:pPr>
              <w:jc w:val="right"/>
              <w:ind w:right="7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rPr>
              <w:t>0%</w:t>
            </w:r>
          </w:p>
        </w:tc>
        <w:tc>
          <w:tcPr>
            <w:tcW w:w="8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100%</w:t>
            </w:r>
          </w:p>
        </w:tc>
        <w:tc>
          <w:tcPr>
            <w:tcW w:w="1140" w:type="dxa"/>
            <w:vAlign w:val="bottom"/>
            <w:shd w:val="clear" w:color="auto" w:fill="E5E5E5"/>
          </w:tcPr>
          <w:p>
            <w:pPr>
              <w:jc w:val="right"/>
              <w:ind w:right="81"/>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87"/>
        </w:trPr>
        <w:tc>
          <w:tcPr>
            <w:tcW w:w="3640" w:type="dxa"/>
            <w:vAlign w:val="bottom"/>
            <w:tcBorders>
              <w:bottom w:val="single" w:sz="8" w:color="003B71"/>
            </w:tcBorders>
            <w:shd w:val="clear" w:color="auto" w:fill="E5E5E5"/>
          </w:tcPr>
          <w:p>
            <w:pPr>
              <w:spacing w:after="0"/>
              <w:rPr>
                <w:sz w:val="16"/>
                <w:szCs w:val="16"/>
                <w:color w:val="auto"/>
              </w:rPr>
            </w:pPr>
          </w:p>
        </w:tc>
        <w:tc>
          <w:tcPr>
            <w:tcW w:w="320" w:type="dxa"/>
            <w:vAlign w:val="bottom"/>
            <w:tcBorders>
              <w:bottom w:val="single" w:sz="8" w:color="003B71"/>
            </w:tcBorders>
            <w:shd w:val="clear" w:color="auto" w:fill="E5E5E5"/>
          </w:tcPr>
          <w:p>
            <w:pPr>
              <w:spacing w:after="0"/>
              <w:rPr>
                <w:sz w:val="16"/>
                <w:szCs w:val="16"/>
                <w:color w:val="auto"/>
              </w:rPr>
            </w:pPr>
          </w:p>
        </w:tc>
        <w:tc>
          <w:tcPr>
            <w:tcW w:w="840" w:type="dxa"/>
            <w:vAlign w:val="bottom"/>
            <w:tcBorders>
              <w:bottom w:val="single" w:sz="8" w:color="003B71"/>
            </w:tcBorders>
            <w:shd w:val="clear" w:color="auto" w:fill="E5E5E5"/>
          </w:tcPr>
          <w:p>
            <w:pPr>
              <w:spacing w:after="0"/>
              <w:rPr>
                <w:sz w:val="16"/>
                <w:szCs w:val="16"/>
                <w:color w:val="auto"/>
              </w:rPr>
            </w:pPr>
          </w:p>
        </w:tc>
        <w:tc>
          <w:tcPr>
            <w:tcW w:w="220" w:type="dxa"/>
            <w:vAlign w:val="bottom"/>
            <w:tcBorders>
              <w:bottom w:val="single" w:sz="8" w:color="003B71"/>
            </w:tcBorders>
            <w:shd w:val="clear" w:color="auto" w:fill="E5E5E5"/>
          </w:tcPr>
          <w:p>
            <w:pPr>
              <w:spacing w:after="0"/>
              <w:rPr>
                <w:sz w:val="16"/>
                <w:szCs w:val="16"/>
                <w:color w:val="auto"/>
              </w:rPr>
            </w:pPr>
          </w:p>
        </w:tc>
        <w:tc>
          <w:tcPr>
            <w:tcW w:w="1200" w:type="dxa"/>
            <w:vAlign w:val="bottom"/>
            <w:tcBorders>
              <w:bottom w:val="single" w:sz="8" w:color="003B71"/>
            </w:tcBorders>
            <w:shd w:val="clear" w:color="auto" w:fill="E5E5E5"/>
          </w:tcPr>
          <w:p>
            <w:pPr>
              <w:jc w:val="center"/>
              <w:ind w:right="240"/>
              <w:spacing w:after="0"/>
              <w:rPr>
                <w:sz w:val="20"/>
                <w:szCs w:val="20"/>
                <w:color w:val="auto"/>
              </w:rPr>
            </w:pPr>
            <w:r>
              <w:rPr>
                <w:rFonts w:ascii="Arial" w:cs="Arial" w:eastAsia="Arial" w:hAnsi="Arial"/>
                <w:sz w:val="16"/>
                <w:szCs w:val="16"/>
                <w:color w:val="auto"/>
                <w:w w:val="99"/>
              </w:rPr>
              <w:t>of Budget</w:t>
            </w:r>
          </w:p>
        </w:tc>
        <w:tc>
          <w:tcPr>
            <w:tcW w:w="280" w:type="dxa"/>
            <w:vAlign w:val="bottom"/>
            <w:tcBorders>
              <w:bottom w:val="single" w:sz="8" w:color="003B71"/>
            </w:tcBorders>
            <w:shd w:val="clear" w:color="auto" w:fill="E5E5E5"/>
          </w:tcPr>
          <w:p>
            <w:pPr>
              <w:spacing w:after="0"/>
              <w:rPr>
                <w:sz w:val="16"/>
                <w:szCs w:val="16"/>
                <w:color w:val="auto"/>
              </w:rPr>
            </w:pPr>
          </w:p>
        </w:tc>
        <w:tc>
          <w:tcPr>
            <w:tcW w:w="860" w:type="dxa"/>
            <w:vAlign w:val="bottom"/>
            <w:tcBorders>
              <w:bottom w:val="single" w:sz="8" w:color="003B71"/>
            </w:tcBorders>
            <w:shd w:val="clear" w:color="auto" w:fill="E5E5E5"/>
          </w:tcPr>
          <w:p>
            <w:pPr>
              <w:spacing w:after="0"/>
              <w:rPr>
                <w:sz w:val="16"/>
                <w:szCs w:val="16"/>
                <w:color w:val="auto"/>
              </w:rPr>
            </w:pPr>
          </w:p>
        </w:tc>
        <w:tc>
          <w:tcPr>
            <w:tcW w:w="460" w:type="dxa"/>
            <w:vAlign w:val="bottom"/>
            <w:tcBorders>
              <w:bottom w:val="single" w:sz="8" w:color="003B71"/>
            </w:tcBorders>
            <w:shd w:val="clear" w:color="auto" w:fill="E5E5E5"/>
          </w:tcPr>
          <w:p>
            <w:pPr>
              <w:spacing w:after="0"/>
              <w:rPr>
                <w:sz w:val="16"/>
                <w:szCs w:val="16"/>
                <w:color w:val="auto"/>
              </w:rPr>
            </w:pPr>
          </w:p>
        </w:tc>
        <w:tc>
          <w:tcPr>
            <w:tcW w:w="1180" w:type="dxa"/>
            <w:vAlign w:val="bottom"/>
            <w:tcBorders>
              <w:bottom w:val="single" w:sz="8" w:color="003B71"/>
            </w:tcBorders>
            <w:shd w:val="clear" w:color="auto" w:fill="E5E5E5"/>
          </w:tcPr>
          <w:p>
            <w:pPr>
              <w:spacing w:after="0"/>
              <w:rPr>
                <w:sz w:val="16"/>
                <w:szCs w:val="16"/>
                <w:color w:val="auto"/>
              </w:rPr>
            </w:pPr>
          </w:p>
        </w:tc>
        <w:tc>
          <w:tcPr>
            <w:tcW w:w="880" w:type="dxa"/>
            <w:vAlign w:val="bottom"/>
            <w:tcBorders>
              <w:bottom w:val="single" w:sz="8" w:color="003B71"/>
            </w:tcBorders>
            <w:shd w:val="clear" w:color="auto" w:fill="E5E5E5"/>
          </w:tcPr>
          <w:p>
            <w:pPr>
              <w:spacing w:after="0"/>
              <w:rPr>
                <w:sz w:val="16"/>
                <w:szCs w:val="16"/>
                <w:color w:val="auto"/>
              </w:rPr>
            </w:pPr>
          </w:p>
        </w:tc>
        <w:tc>
          <w:tcPr>
            <w:tcW w:w="1140" w:type="dxa"/>
            <w:vAlign w:val="bottom"/>
            <w:tcBorders>
              <w:bottom w:val="single" w:sz="8" w:color="003B71"/>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Dollar amounts are represented in millions.</w:t>
      </w:r>
    </w:p>
    <w:p>
      <w:pPr>
        <w:spacing w:after="0" w:line="86" w:lineRule="exact"/>
        <w:rPr>
          <w:rFonts w:ascii="Arial" w:cs="Arial" w:eastAsia="Arial" w:hAnsi="Arial"/>
          <w:sz w:val="16"/>
          <w:szCs w:val="16"/>
          <w:color w:val="auto"/>
        </w:rPr>
      </w:pPr>
    </w:p>
    <w:p>
      <w:pPr>
        <w:jc w:val="both"/>
        <w:ind w:left="540" w:right="20" w:hanging="424"/>
        <w:spacing w:after="0" w:line="253" w:lineRule="auto"/>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Mr. Mulleady may be awarded the target new store construction bonus if the average actual total construction cost for building each new store opened in fiscal 2019 is within 7.5% of budget. If target EBITDA or better is achieved, the portion of Mr. Mulleady’s bonus associated with new store construction will increase at the same slope as the EBITDA bonus, based on EBITDA achievement.</w:t>
      </w:r>
    </w:p>
    <w:p>
      <w:pPr>
        <w:spacing w:after="0" w:line="198"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At the close of the performance period, the Compensation Committee determined the bonuses for the executive officers, including the NEOs, following the annual audit and reporting of financial results for fiscal 2019 and reported the awards to the Board of Directors. The Compensation Committee authorized bonuses to the executive officers, including the NEOs, in amounts that were commensurate with the results achieved during fiscal 2019; however, in light of the extraordinary impact of the COVID-19 impact on the Company’s near-term liquidity, management recommended, and the Compensation Committee approved, delayed payment of the awards and payment of the awards in stock rather than cash for all NEOs. In reviewing fiscal 2019 results, the Compensation Committee recognized that we exceeded threshold, but did not achieve target EBITDA; we exceeded threshold but did not achieve target Total Revenue and did not achieve target Comparable Store Sales Growth, which resulted in an award below target level performance for substantially all employees. Mr. Jenkins, Mr. Bowman, Mr. DeProspero and Ms. Manning earned 47.6% of their target bonus opportunity for fiscal 2019. Mr. Gleason earned 42.5% of his target bonus. Mr. Mulleady achieved performance at maximum payout level on the portion of his bonus linked to the signed leases and target payout on the portion of his bonus related to the attainment of new store construction objectives; therefore, he</w:t>
      </w:r>
    </w:p>
    <w:p>
      <w:pPr>
        <w:spacing w:after="0" w:line="129"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38</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earned 101.4% of his target bonus opportunity for fiscal 2019. The tables below outline the 2019 performance results and bonus payments earned under the Executive Incentive Plan to each NEO.</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72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Component</w:t>
            </w:r>
          </w:p>
        </w:tc>
        <w:tc>
          <w:tcPr>
            <w:tcW w:w="2380" w:type="dxa"/>
            <w:vAlign w:val="bottom"/>
            <w:tcBorders>
              <w:bottom w:val="single" w:sz="8" w:color="003B71"/>
            </w:tcBorders>
          </w:tcPr>
          <w:p>
            <w:pPr>
              <w:jc w:val="right"/>
              <w:ind w:right="21"/>
              <w:spacing w:after="0"/>
              <w:rPr>
                <w:sz w:val="20"/>
                <w:szCs w:val="20"/>
                <w:color w:val="auto"/>
              </w:rPr>
            </w:pPr>
            <w:r>
              <w:rPr>
                <w:rFonts w:ascii="Arial" w:cs="Arial" w:eastAsia="Arial" w:hAnsi="Arial"/>
                <w:sz w:val="14"/>
                <w:szCs w:val="14"/>
                <w:b w:val="1"/>
                <w:bCs w:val="1"/>
                <w:color w:val="003B71"/>
              </w:rPr>
              <w:t>Target</w:t>
            </w:r>
          </w:p>
        </w:tc>
        <w:tc>
          <w:tcPr>
            <w:tcW w:w="860" w:type="dxa"/>
            <w:vAlign w:val="bottom"/>
            <w:tcBorders>
              <w:bottom w:val="single" w:sz="8" w:color="003B71"/>
            </w:tcBorders>
          </w:tcPr>
          <w:p>
            <w:pPr>
              <w:spacing w:after="0"/>
              <w:rPr>
                <w:sz w:val="15"/>
                <w:szCs w:val="15"/>
                <w:color w:val="auto"/>
              </w:rPr>
            </w:pPr>
          </w:p>
        </w:tc>
        <w:tc>
          <w:tcPr>
            <w:tcW w:w="1240" w:type="dxa"/>
            <w:vAlign w:val="bottom"/>
            <w:tcBorders>
              <w:bottom w:val="single" w:sz="8" w:color="003B71"/>
            </w:tcBorders>
            <w:gridSpan w:val="2"/>
          </w:tcPr>
          <w:p>
            <w:pPr>
              <w:jc w:val="right"/>
              <w:ind w:right="479"/>
              <w:spacing w:after="0"/>
              <w:rPr>
                <w:sz w:val="20"/>
                <w:szCs w:val="20"/>
                <w:color w:val="auto"/>
              </w:rPr>
            </w:pPr>
            <w:r>
              <w:rPr>
                <w:rFonts w:ascii="Arial" w:cs="Arial" w:eastAsia="Arial" w:hAnsi="Arial"/>
                <w:sz w:val="14"/>
                <w:szCs w:val="14"/>
                <w:b w:val="1"/>
                <w:bCs w:val="1"/>
                <w:color w:val="003B71"/>
              </w:rPr>
              <w:t>Actual</w:t>
            </w:r>
          </w:p>
        </w:tc>
        <w:tc>
          <w:tcPr>
            <w:tcW w:w="1660" w:type="dxa"/>
            <w:vAlign w:val="bottom"/>
            <w:tcBorders>
              <w:bottom w:val="single" w:sz="8" w:color="003B71"/>
            </w:tcBorders>
          </w:tcPr>
          <w:p>
            <w:pPr>
              <w:jc w:val="right"/>
              <w:ind w:right="461"/>
              <w:spacing w:after="0"/>
              <w:rPr>
                <w:sz w:val="20"/>
                <w:szCs w:val="20"/>
                <w:color w:val="auto"/>
              </w:rPr>
            </w:pPr>
            <w:r>
              <w:rPr>
                <w:rFonts w:ascii="Arial" w:cs="Arial" w:eastAsia="Arial" w:hAnsi="Arial"/>
                <w:sz w:val="14"/>
                <w:szCs w:val="14"/>
                <w:b w:val="1"/>
                <w:bCs w:val="1"/>
                <w:color w:val="003B71"/>
              </w:rPr>
              <w:t>% of Target</w:t>
            </w:r>
          </w:p>
        </w:tc>
        <w:tc>
          <w:tcPr>
            <w:tcW w:w="1160" w:type="dxa"/>
            <w:vAlign w:val="bottom"/>
            <w:tcBorders>
              <w:bottom w:val="single" w:sz="8" w:color="003B71"/>
            </w:tcBorders>
          </w:tcPr>
          <w:p>
            <w:pPr>
              <w:jc w:val="right"/>
              <w:ind w:right="281"/>
              <w:spacing w:after="0"/>
              <w:rPr>
                <w:sz w:val="20"/>
                <w:szCs w:val="20"/>
                <w:color w:val="auto"/>
              </w:rPr>
            </w:pPr>
            <w:r>
              <w:rPr>
                <w:rFonts w:ascii="Arial" w:cs="Arial" w:eastAsia="Arial" w:hAnsi="Arial"/>
                <w:sz w:val="14"/>
                <w:szCs w:val="14"/>
                <w:b w:val="1"/>
                <w:bCs w:val="1"/>
                <w:color w:val="003B71"/>
              </w:rPr>
              <w:t>Payout %</w:t>
            </w:r>
          </w:p>
        </w:tc>
      </w:tr>
      <w:tr>
        <w:trPr>
          <w:trHeight w:val="183"/>
        </w:trPr>
        <w:tc>
          <w:tcPr>
            <w:tcW w:w="372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EBITDA(1)</w:t>
            </w:r>
          </w:p>
        </w:tc>
        <w:tc>
          <w:tcPr>
            <w:tcW w:w="238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ind w:right="239"/>
              <w:spacing w:after="0" w:line="183" w:lineRule="exact"/>
              <w:rPr>
                <w:sz w:val="20"/>
                <w:szCs w:val="20"/>
                <w:color w:val="auto"/>
              </w:rPr>
            </w:pPr>
            <w:r>
              <w:rPr>
                <w:rFonts w:ascii="Arial" w:cs="Arial" w:eastAsia="Arial" w:hAnsi="Arial"/>
                <w:sz w:val="16"/>
                <w:szCs w:val="16"/>
                <w:color w:val="auto"/>
              </w:rPr>
              <w:t>302.0</w:t>
            </w:r>
          </w:p>
        </w:tc>
        <w:tc>
          <w:tcPr>
            <w:tcW w:w="28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339"/>
              <w:spacing w:after="0" w:line="183" w:lineRule="exact"/>
              <w:rPr>
                <w:sz w:val="20"/>
                <w:szCs w:val="20"/>
                <w:color w:val="auto"/>
              </w:rPr>
            </w:pPr>
            <w:r>
              <w:rPr>
                <w:rFonts w:ascii="Arial" w:cs="Arial" w:eastAsia="Arial" w:hAnsi="Arial"/>
                <w:sz w:val="16"/>
                <w:szCs w:val="16"/>
                <w:color w:val="auto"/>
              </w:rPr>
              <w:t>280.5</w:t>
            </w:r>
          </w:p>
        </w:tc>
        <w:tc>
          <w:tcPr>
            <w:tcW w:w="1660" w:type="dxa"/>
            <w:vAlign w:val="bottom"/>
            <w:shd w:val="clear" w:color="auto" w:fill="E5E5E5"/>
          </w:tcPr>
          <w:p>
            <w:pPr>
              <w:jc w:val="right"/>
              <w:ind w:right="61"/>
              <w:spacing w:after="0" w:line="183" w:lineRule="exact"/>
              <w:rPr>
                <w:sz w:val="20"/>
                <w:szCs w:val="20"/>
                <w:color w:val="auto"/>
              </w:rPr>
            </w:pPr>
            <w:r>
              <w:rPr>
                <w:rFonts w:ascii="Arial" w:cs="Arial" w:eastAsia="Arial" w:hAnsi="Arial"/>
                <w:sz w:val="16"/>
                <w:szCs w:val="16"/>
                <w:color w:val="auto"/>
              </w:rPr>
              <w:t>92.9%</w:t>
            </w:r>
          </w:p>
        </w:tc>
        <w:tc>
          <w:tcPr>
            <w:tcW w:w="1160" w:type="dxa"/>
            <w:vAlign w:val="bottom"/>
            <w:shd w:val="clear" w:color="auto" w:fill="E5E5E5"/>
          </w:tcPr>
          <w:p>
            <w:pPr>
              <w:jc w:val="right"/>
              <w:ind w:right="101"/>
              <w:spacing w:after="0" w:line="183" w:lineRule="exact"/>
              <w:rPr>
                <w:sz w:val="20"/>
                <w:szCs w:val="20"/>
                <w:color w:val="auto"/>
              </w:rPr>
            </w:pPr>
            <w:r>
              <w:rPr>
                <w:rFonts w:ascii="Arial" w:cs="Arial" w:eastAsia="Arial" w:hAnsi="Arial"/>
                <w:sz w:val="16"/>
                <w:szCs w:val="16"/>
                <w:color w:val="auto"/>
              </w:rPr>
              <w:t>52.7%</w:t>
            </w:r>
          </w:p>
        </w:tc>
      </w:tr>
      <w:tr>
        <w:trPr>
          <w:trHeight w:val="189"/>
        </w:trPr>
        <w:tc>
          <w:tcPr>
            <w:tcW w:w="3720" w:type="dxa"/>
            <w:vAlign w:val="bottom"/>
          </w:tcPr>
          <w:p>
            <w:pPr>
              <w:ind w:left="60"/>
              <w:spacing w:after="0"/>
              <w:rPr>
                <w:sz w:val="20"/>
                <w:szCs w:val="20"/>
                <w:color w:val="auto"/>
              </w:rPr>
            </w:pPr>
            <w:r>
              <w:rPr>
                <w:rFonts w:ascii="Arial" w:cs="Arial" w:eastAsia="Arial" w:hAnsi="Arial"/>
                <w:sz w:val="16"/>
                <w:szCs w:val="16"/>
                <w:color w:val="auto"/>
              </w:rPr>
              <w:t>Revenue(1)</w:t>
            </w:r>
          </w:p>
        </w:tc>
        <w:tc>
          <w:tcPr>
            <w:tcW w:w="23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9"/>
              <w:spacing w:after="0"/>
              <w:rPr>
                <w:sz w:val="20"/>
                <w:szCs w:val="20"/>
                <w:color w:val="auto"/>
              </w:rPr>
            </w:pPr>
            <w:r>
              <w:rPr>
                <w:rFonts w:ascii="Arial" w:cs="Arial" w:eastAsia="Arial" w:hAnsi="Arial"/>
                <w:sz w:val="16"/>
                <w:szCs w:val="16"/>
                <w:color w:val="auto"/>
                <w:w w:val="97"/>
              </w:rPr>
              <w:t>1,404.3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39"/>
              <w:spacing w:after="0"/>
              <w:rPr>
                <w:sz w:val="20"/>
                <w:szCs w:val="20"/>
                <w:color w:val="auto"/>
              </w:rPr>
            </w:pPr>
            <w:r>
              <w:rPr>
                <w:rFonts w:ascii="Arial" w:cs="Arial" w:eastAsia="Arial" w:hAnsi="Arial"/>
                <w:sz w:val="16"/>
                <w:szCs w:val="16"/>
                <w:color w:val="auto"/>
                <w:w w:val="97"/>
              </w:rPr>
              <w:t>1,354.7</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96.5%</w:t>
            </w: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64.7%</w:t>
            </w:r>
          </w:p>
        </w:tc>
      </w:tr>
      <w:tr>
        <w:trPr>
          <w:trHeight w:val="189"/>
        </w:trPr>
        <w:tc>
          <w:tcPr>
            <w:tcW w:w="3720" w:type="dxa"/>
            <w:vAlign w:val="bottom"/>
            <w:shd w:val="clear" w:color="auto" w:fill="E5E5E5"/>
          </w:tcPr>
          <w:p>
            <w:pPr>
              <w:ind w:left="60"/>
              <w:spacing w:after="0"/>
              <w:rPr>
                <w:sz w:val="20"/>
                <w:szCs w:val="20"/>
                <w:color w:val="auto"/>
              </w:rPr>
            </w:pPr>
            <w:r>
              <w:rPr>
                <w:rFonts w:ascii="Arial" w:cs="Arial" w:eastAsia="Arial" w:hAnsi="Arial"/>
                <w:sz w:val="16"/>
                <w:szCs w:val="16"/>
                <w:color w:val="auto"/>
              </w:rPr>
              <w:t>Comparable Store Sales Growth</w:t>
            </w:r>
          </w:p>
        </w:tc>
        <w:tc>
          <w:tcPr>
            <w:tcW w:w="238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99"/>
              <w:spacing w:after="0"/>
              <w:rPr>
                <w:sz w:val="20"/>
                <w:szCs w:val="20"/>
                <w:color w:val="auto"/>
              </w:rPr>
            </w:pPr>
            <w:r>
              <w:rPr>
                <w:rFonts w:ascii="Arial" w:cs="Arial" w:eastAsia="Arial" w:hAnsi="Arial"/>
                <w:sz w:val="16"/>
                <w:szCs w:val="16"/>
                <w:color w:val="auto"/>
              </w:rPr>
              <w:t>1.5%</w:t>
            </w:r>
          </w:p>
        </w:tc>
        <w:tc>
          <w:tcPr>
            <w:tcW w:w="28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(2.6)%</w:t>
            </w:r>
          </w:p>
        </w:tc>
        <w:tc>
          <w:tcPr>
            <w:tcW w:w="166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0%</w:t>
            </w:r>
          </w:p>
        </w:tc>
        <w:tc>
          <w:tcPr>
            <w:tcW w:w="116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0%</w:t>
            </w:r>
          </w:p>
        </w:tc>
      </w:tr>
      <w:tr>
        <w:trPr>
          <w:trHeight w:val="189"/>
        </w:trPr>
        <w:tc>
          <w:tcPr>
            <w:tcW w:w="3720" w:type="dxa"/>
            <w:vAlign w:val="bottom"/>
          </w:tcPr>
          <w:p>
            <w:pPr>
              <w:ind w:left="60"/>
              <w:spacing w:after="0"/>
              <w:rPr>
                <w:sz w:val="20"/>
                <w:szCs w:val="20"/>
                <w:color w:val="auto"/>
              </w:rPr>
            </w:pPr>
            <w:r>
              <w:rPr>
                <w:rFonts w:ascii="Arial" w:cs="Arial" w:eastAsia="Arial" w:hAnsi="Arial"/>
                <w:sz w:val="16"/>
                <w:szCs w:val="16"/>
                <w:color w:val="auto"/>
              </w:rPr>
              <w:t>Signed Leases</w:t>
            </w:r>
          </w:p>
        </w:tc>
        <w:tc>
          <w:tcPr>
            <w:tcW w:w="2380" w:type="dxa"/>
            <w:vAlign w:val="bottom"/>
          </w:tcPr>
          <w:p>
            <w:pPr>
              <w:spacing w:after="0"/>
              <w:rPr>
                <w:sz w:val="16"/>
                <w:szCs w:val="16"/>
                <w:color w:val="auto"/>
              </w:rPr>
            </w:pPr>
          </w:p>
        </w:tc>
        <w:tc>
          <w:tcPr>
            <w:tcW w:w="860" w:type="dxa"/>
            <w:vAlign w:val="bottom"/>
          </w:tcPr>
          <w:p>
            <w:pPr>
              <w:jc w:val="right"/>
              <w:ind w:right="239"/>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6"/>
                <w:szCs w:val="16"/>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19</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158.3%</w:t>
            </w: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200.0%</w:t>
            </w:r>
          </w:p>
        </w:tc>
      </w:tr>
      <w:tr>
        <w:trPr>
          <w:trHeight w:val="189"/>
        </w:trPr>
        <w:tc>
          <w:tcPr>
            <w:tcW w:w="3720" w:type="dxa"/>
            <w:vAlign w:val="bottom"/>
            <w:tcBorders>
              <w:bottom w:val="single" w:sz="8" w:color="003B71"/>
            </w:tcBorders>
            <w:shd w:val="clear" w:color="auto" w:fill="E5E5E5"/>
          </w:tcPr>
          <w:p>
            <w:pPr>
              <w:ind w:left="60"/>
              <w:spacing w:after="0"/>
              <w:rPr>
                <w:sz w:val="20"/>
                <w:szCs w:val="20"/>
                <w:color w:val="auto"/>
              </w:rPr>
            </w:pPr>
            <w:r>
              <w:rPr>
                <w:rFonts w:ascii="Arial" w:cs="Arial" w:eastAsia="Arial" w:hAnsi="Arial"/>
                <w:sz w:val="16"/>
                <w:szCs w:val="16"/>
                <w:color w:val="auto"/>
              </w:rPr>
              <w:t>New Store Construction(2)</w:t>
            </w:r>
          </w:p>
        </w:tc>
        <w:tc>
          <w:tcPr>
            <w:tcW w:w="3240" w:type="dxa"/>
            <w:vAlign w:val="bottom"/>
            <w:tcBorders>
              <w:bottom w:val="single" w:sz="8" w:color="003B71"/>
            </w:tcBorders>
            <w:gridSpan w:val="2"/>
            <w:shd w:val="clear" w:color="auto" w:fill="E5E5E5"/>
          </w:tcPr>
          <w:p>
            <w:pPr>
              <w:jc w:val="right"/>
              <w:ind w:right="239"/>
              <w:spacing w:after="0"/>
              <w:rPr>
                <w:sz w:val="20"/>
                <w:szCs w:val="20"/>
                <w:color w:val="auto"/>
              </w:rPr>
            </w:pPr>
            <w:r>
              <w:rPr>
                <w:rFonts w:ascii="Arial" w:cs="Arial" w:eastAsia="Arial" w:hAnsi="Arial"/>
                <w:sz w:val="16"/>
                <w:szCs w:val="16"/>
                <w:color w:val="auto"/>
              </w:rPr>
              <w:t>Within 7.5% of Budget</w:t>
            </w:r>
          </w:p>
        </w:tc>
        <w:tc>
          <w:tcPr>
            <w:tcW w:w="280" w:type="dxa"/>
            <w:vAlign w:val="bottom"/>
            <w:tcBorders>
              <w:bottom w:val="single" w:sz="8" w:color="003B71"/>
            </w:tcBorders>
            <w:shd w:val="clear" w:color="auto" w:fill="E5E5E5"/>
          </w:tcPr>
          <w:p>
            <w:pPr>
              <w:spacing w:after="0"/>
              <w:rPr>
                <w:sz w:val="16"/>
                <w:szCs w:val="16"/>
                <w:color w:val="auto"/>
              </w:rPr>
            </w:pPr>
          </w:p>
        </w:tc>
        <w:tc>
          <w:tcPr>
            <w:tcW w:w="960" w:type="dxa"/>
            <w:vAlign w:val="bottom"/>
            <w:tcBorders>
              <w:bottom w:val="single" w:sz="8" w:color="003B71"/>
            </w:tcBorders>
            <w:shd w:val="clear" w:color="auto" w:fill="E5E5E5"/>
          </w:tcPr>
          <w:p>
            <w:pPr>
              <w:jc w:val="right"/>
              <w:ind w:right="139"/>
              <w:spacing w:after="0"/>
              <w:rPr>
                <w:sz w:val="20"/>
                <w:szCs w:val="20"/>
                <w:color w:val="auto"/>
              </w:rPr>
            </w:pPr>
            <w:r>
              <w:rPr>
                <w:rFonts w:ascii="Arial" w:cs="Arial" w:eastAsia="Arial" w:hAnsi="Arial"/>
                <w:sz w:val="16"/>
                <w:szCs w:val="16"/>
                <w:color w:val="auto"/>
              </w:rPr>
              <w:t>(1.5)%</w:t>
            </w:r>
          </w:p>
        </w:tc>
        <w:tc>
          <w:tcPr>
            <w:tcW w:w="1660" w:type="dxa"/>
            <w:vAlign w:val="bottom"/>
            <w:tcBorders>
              <w:bottom w:val="single" w:sz="8" w:color="003B71"/>
            </w:tcBorders>
            <w:shd w:val="clear" w:color="auto" w:fill="E5E5E5"/>
          </w:tcPr>
          <w:p>
            <w:pPr>
              <w:jc w:val="right"/>
              <w:ind w:right="221"/>
              <w:spacing w:after="0"/>
              <w:rPr>
                <w:sz w:val="20"/>
                <w:szCs w:val="20"/>
                <w:color w:val="auto"/>
              </w:rPr>
            </w:pPr>
            <w:r>
              <w:rPr>
                <w:rFonts w:ascii="Arial" w:cs="Arial" w:eastAsia="Arial" w:hAnsi="Arial"/>
                <w:sz w:val="16"/>
                <w:szCs w:val="16"/>
                <w:color w:val="auto"/>
              </w:rPr>
              <w:t>Target Achieved</w:t>
            </w:r>
          </w:p>
        </w:tc>
        <w:tc>
          <w:tcPr>
            <w:tcW w:w="1160" w:type="dxa"/>
            <w:vAlign w:val="bottom"/>
            <w:tcBorders>
              <w:bottom w:val="single" w:sz="8" w:color="003B71"/>
            </w:tcBorders>
            <w:shd w:val="clear" w:color="auto" w:fill="E5E5E5"/>
          </w:tcPr>
          <w:p>
            <w:pPr>
              <w:jc w:val="right"/>
              <w:ind w:right="101"/>
              <w:spacing w:after="0"/>
              <w:rPr>
                <w:sz w:val="20"/>
                <w:szCs w:val="20"/>
                <w:color w:val="auto"/>
              </w:rPr>
            </w:pPr>
            <w:r>
              <w:rPr>
                <w:rFonts w:ascii="Arial" w:cs="Arial" w:eastAsia="Arial" w:hAnsi="Arial"/>
                <w:sz w:val="16"/>
                <w:szCs w:val="16"/>
                <w:color w:val="auto"/>
              </w:rPr>
              <w:t>100%</w:t>
            </w:r>
          </w:p>
        </w:tc>
      </w:tr>
    </w:tbl>
    <w:p>
      <w:pPr>
        <w:spacing w:after="0" w:line="83" w:lineRule="exact"/>
        <w:rPr>
          <w:sz w:val="20"/>
          <w:szCs w:val="20"/>
          <w:color w:val="auto"/>
        </w:rPr>
      </w:pPr>
    </w:p>
    <w:p>
      <w:pPr>
        <w:ind w:left="540" w:hanging="424"/>
        <w:spacing w:after="0"/>
        <w:tabs>
          <w:tab w:leader="none" w:pos="5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Dollar amounts are represented in millions</w:t>
      </w:r>
    </w:p>
    <w:p>
      <w:pPr>
        <w:spacing w:after="0" w:line="8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average total construction cost for building each new store opened in fiscal 2019 was within target. Therefore, Mr. Mulleady earned a payout of 100% of target for the portion of his bonus associated with new store construction.</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Name</w:t>
            </w:r>
          </w:p>
        </w:tc>
        <w:tc>
          <w:tcPr>
            <w:tcW w:w="4140" w:type="dxa"/>
            <w:vAlign w:val="bottom"/>
            <w:tcBorders>
              <w:bottom w:val="single" w:sz="8" w:color="003B71"/>
            </w:tcBorders>
          </w:tcPr>
          <w:p>
            <w:pPr>
              <w:jc w:val="right"/>
              <w:ind w:right="140"/>
              <w:spacing w:after="0"/>
              <w:rPr>
                <w:sz w:val="20"/>
                <w:szCs w:val="20"/>
                <w:color w:val="auto"/>
              </w:rPr>
            </w:pPr>
            <w:r>
              <w:rPr>
                <w:rFonts w:ascii="Arial" w:cs="Arial" w:eastAsia="Arial" w:hAnsi="Arial"/>
                <w:sz w:val="14"/>
                <w:szCs w:val="14"/>
                <w:b w:val="1"/>
                <w:bCs w:val="1"/>
                <w:color w:val="003B71"/>
              </w:rPr>
              <w:t>Target Bonus</w:t>
            </w:r>
          </w:p>
        </w:tc>
        <w:tc>
          <w:tcPr>
            <w:tcW w:w="1360" w:type="dxa"/>
            <w:vAlign w:val="bottom"/>
            <w:tcBorders>
              <w:bottom w:val="single" w:sz="8" w:color="003B71"/>
            </w:tcBorders>
          </w:tcPr>
          <w:p>
            <w:pPr>
              <w:jc w:val="right"/>
              <w:ind w:right="60"/>
              <w:spacing w:after="0"/>
              <w:rPr>
                <w:sz w:val="20"/>
                <w:szCs w:val="20"/>
                <w:color w:val="auto"/>
              </w:rPr>
            </w:pPr>
            <w:r>
              <w:rPr>
                <w:rFonts w:ascii="Arial" w:cs="Arial" w:eastAsia="Arial" w:hAnsi="Arial"/>
                <w:sz w:val="14"/>
                <w:szCs w:val="14"/>
                <w:b w:val="1"/>
                <w:bCs w:val="1"/>
                <w:color w:val="003B71"/>
              </w:rPr>
              <w:t>Bonus Earned</w:t>
            </w:r>
          </w:p>
        </w:tc>
        <w:tc>
          <w:tcPr>
            <w:tcW w:w="1120" w:type="dxa"/>
            <w:vAlign w:val="bottom"/>
            <w:tcBorders>
              <w:bottom w:val="single" w:sz="8" w:color="003B71"/>
            </w:tcBorders>
          </w:tcPr>
          <w:p>
            <w:pPr>
              <w:jc w:val="right"/>
              <w:ind w:right="140"/>
              <w:spacing w:after="0"/>
              <w:rPr>
                <w:sz w:val="20"/>
                <w:szCs w:val="20"/>
                <w:color w:val="auto"/>
              </w:rPr>
            </w:pPr>
            <w:r>
              <w:rPr>
                <w:rFonts w:ascii="Arial" w:cs="Arial" w:eastAsia="Arial" w:hAnsi="Arial"/>
                <w:sz w:val="14"/>
                <w:szCs w:val="14"/>
                <w:b w:val="1"/>
                <w:bCs w:val="1"/>
                <w:color w:val="003B71"/>
              </w:rPr>
              <w:t>% of Target</w:t>
            </w:r>
          </w:p>
        </w:tc>
      </w:tr>
      <w:tr>
        <w:trPr>
          <w:trHeight w:val="183"/>
        </w:trPr>
        <w:tc>
          <w:tcPr>
            <w:tcW w:w="440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Brian A. Jenkins</w:t>
            </w:r>
          </w:p>
        </w:tc>
        <w:tc>
          <w:tcPr>
            <w:tcW w:w="4140" w:type="dxa"/>
            <w:vAlign w:val="bottom"/>
            <w:shd w:val="clear" w:color="auto" w:fill="E5E5E5"/>
          </w:tcPr>
          <w:p>
            <w:pPr>
              <w:jc w:val="right"/>
              <w:ind w:right="140"/>
              <w:spacing w:after="0" w:line="183" w:lineRule="exact"/>
              <w:rPr>
                <w:sz w:val="20"/>
                <w:szCs w:val="20"/>
                <w:color w:val="auto"/>
              </w:rPr>
            </w:pPr>
            <w:r>
              <w:rPr>
                <w:rFonts w:ascii="Arial" w:cs="Arial" w:eastAsia="Arial" w:hAnsi="Arial"/>
                <w:sz w:val="16"/>
                <w:szCs w:val="16"/>
                <w:color w:val="auto"/>
              </w:rPr>
              <w:t>780,000</w:t>
            </w:r>
          </w:p>
        </w:tc>
        <w:tc>
          <w:tcPr>
            <w:tcW w:w="1360" w:type="dxa"/>
            <w:vAlign w:val="bottom"/>
            <w:shd w:val="clear" w:color="auto" w:fill="E5E5E5"/>
          </w:tcPr>
          <w:p>
            <w:pPr>
              <w:jc w:val="right"/>
              <w:ind w:right="60"/>
              <w:spacing w:after="0" w:line="183" w:lineRule="exact"/>
              <w:rPr>
                <w:sz w:val="20"/>
                <w:szCs w:val="20"/>
                <w:color w:val="auto"/>
              </w:rPr>
            </w:pPr>
            <w:r>
              <w:rPr>
                <w:rFonts w:ascii="Arial" w:cs="Arial" w:eastAsia="Arial" w:hAnsi="Arial"/>
                <w:sz w:val="16"/>
                <w:szCs w:val="16"/>
                <w:color w:val="auto"/>
              </w:rPr>
              <w:t>371,351</w:t>
            </w:r>
          </w:p>
        </w:tc>
        <w:tc>
          <w:tcPr>
            <w:tcW w:w="1120" w:type="dxa"/>
            <w:vAlign w:val="bottom"/>
            <w:shd w:val="clear" w:color="auto" w:fill="E5E5E5"/>
          </w:tcPr>
          <w:p>
            <w:pPr>
              <w:jc w:val="right"/>
              <w:ind w:right="140"/>
              <w:spacing w:after="0" w:line="183" w:lineRule="exact"/>
              <w:rPr>
                <w:sz w:val="20"/>
                <w:szCs w:val="20"/>
                <w:color w:val="auto"/>
              </w:rPr>
            </w:pPr>
            <w:r>
              <w:rPr>
                <w:rFonts w:ascii="Arial" w:cs="Arial" w:eastAsia="Arial" w:hAnsi="Arial"/>
                <w:sz w:val="16"/>
                <w:szCs w:val="16"/>
                <w:color w:val="auto"/>
              </w:rPr>
              <w:t>47.6%</w:t>
            </w:r>
          </w:p>
        </w:tc>
      </w:tr>
      <w:tr>
        <w:trPr>
          <w:trHeight w:val="189"/>
        </w:trPr>
        <w:tc>
          <w:tcPr>
            <w:tcW w:w="4400" w:type="dxa"/>
            <w:vAlign w:val="bottom"/>
          </w:tcPr>
          <w:p>
            <w:pPr>
              <w:ind w:left="80"/>
              <w:spacing w:after="0"/>
              <w:rPr>
                <w:sz w:val="20"/>
                <w:szCs w:val="20"/>
                <w:color w:val="auto"/>
              </w:rPr>
            </w:pPr>
            <w:r>
              <w:rPr>
                <w:rFonts w:ascii="Arial" w:cs="Arial" w:eastAsia="Arial" w:hAnsi="Arial"/>
                <w:sz w:val="16"/>
                <w:szCs w:val="16"/>
                <w:color w:val="auto"/>
              </w:rPr>
              <w:t>Scott Bowman</w:t>
            </w:r>
          </w:p>
        </w:tc>
        <w:tc>
          <w:tcPr>
            <w:tcW w:w="4140" w:type="dxa"/>
            <w:vAlign w:val="bottom"/>
          </w:tcPr>
          <w:p>
            <w:pPr>
              <w:jc w:val="right"/>
              <w:ind w:right="140"/>
              <w:spacing w:after="0"/>
              <w:rPr>
                <w:sz w:val="20"/>
                <w:szCs w:val="20"/>
                <w:color w:val="auto"/>
              </w:rPr>
            </w:pPr>
            <w:r>
              <w:rPr>
                <w:rFonts w:ascii="Arial" w:cs="Arial" w:eastAsia="Arial" w:hAnsi="Arial"/>
                <w:sz w:val="16"/>
                <w:szCs w:val="16"/>
                <w:color w:val="auto"/>
              </w:rPr>
              <w:t>273,000</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129,973</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47.6%</w:t>
            </w:r>
          </w:p>
        </w:tc>
      </w:tr>
      <w:tr>
        <w:trPr>
          <w:trHeight w:val="189"/>
        </w:trPr>
        <w:tc>
          <w:tcPr>
            <w:tcW w:w="4400" w:type="dxa"/>
            <w:vAlign w:val="bottom"/>
            <w:shd w:val="clear" w:color="auto" w:fill="E5E5E5"/>
          </w:tcPr>
          <w:p>
            <w:pPr>
              <w:ind w:left="80"/>
              <w:spacing w:after="0"/>
              <w:rPr>
                <w:sz w:val="20"/>
                <w:szCs w:val="20"/>
                <w:color w:val="auto"/>
              </w:rPr>
            </w:pPr>
            <w:r>
              <w:rPr>
                <w:rFonts w:ascii="Arial" w:cs="Arial" w:eastAsia="Arial" w:hAnsi="Arial"/>
                <w:sz w:val="16"/>
                <w:szCs w:val="16"/>
                <w:color w:val="auto"/>
              </w:rPr>
              <w:t>Joe DeProspero</w:t>
            </w:r>
          </w:p>
        </w:tc>
        <w:tc>
          <w:tcPr>
            <w:tcW w:w="414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150,000</w:t>
            </w:r>
          </w:p>
        </w:tc>
        <w:tc>
          <w:tcPr>
            <w:tcW w:w="136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71,414</w:t>
            </w:r>
          </w:p>
        </w:tc>
        <w:tc>
          <w:tcPr>
            <w:tcW w:w="112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47.6%</w:t>
            </w:r>
          </w:p>
        </w:tc>
      </w:tr>
      <w:tr>
        <w:trPr>
          <w:trHeight w:val="189"/>
        </w:trPr>
        <w:tc>
          <w:tcPr>
            <w:tcW w:w="4400" w:type="dxa"/>
            <w:vAlign w:val="bottom"/>
          </w:tcPr>
          <w:p>
            <w:pPr>
              <w:ind w:left="80"/>
              <w:spacing w:after="0"/>
              <w:rPr>
                <w:sz w:val="20"/>
                <w:szCs w:val="20"/>
                <w:color w:val="auto"/>
              </w:rPr>
            </w:pPr>
            <w:r>
              <w:rPr>
                <w:rFonts w:ascii="Arial" w:cs="Arial" w:eastAsia="Arial" w:hAnsi="Arial"/>
                <w:sz w:val="16"/>
                <w:szCs w:val="16"/>
                <w:color w:val="auto"/>
              </w:rPr>
              <w:t>Sean Gleason</w:t>
            </w:r>
          </w:p>
        </w:tc>
        <w:tc>
          <w:tcPr>
            <w:tcW w:w="4140" w:type="dxa"/>
            <w:vAlign w:val="bottom"/>
          </w:tcPr>
          <w:p>
            <w:pPr>
              <w:jc w:val="right"/>
              <w:ind w:right="140"/>
              <w:spacing w:after="0"/>
              <w:rPr>
                <w:sz w:val="20"/>
                <w:szCs w:val="20"/>
                <w:color w:val="auto"/>
              </w:rPr>
            </w:pPr>
            <w:r>
              <w:rPr>
                <w:rFonts w:ascii="Arial" w:cs="Arial" w:eastAsia="Arial" w:hAnsi="Arial"/>
                <w:sz w:val="16"/>
                <w:szCs w:val="16"/>
                <w:color w:val="auto"/>
              </w:rPr>
              <w:t>246,000</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104,595</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42.5%</w:t>
            </w:r>
          </w:p>
        </w:tc>
      </w:tr>
      <w:tr>
        <w:trPr>
          <w:trHeight w:val="189"/>
        </w:trPr>
        <w:tc>
          <w:tcPr>
            <w:tcW w:w="4400" w:type="dxa"/>
            <w:vAlign w:val="bottom"/>
            <w:shd w:val="clear" w:color="auto" w:fill="E5E5E5"/>
          </w:tcPr>
          <w:p>
            <w:pPr>
              <w:ind w:left="80"/>
              <w:spacing w:after="0"/>
              <w:rPr>
                <w:sz w:val="20"/>
                <w:szCs w:val="20"/>
                <w:color w:val="auto"/>
              </w:rPr>
            </w:pPr>
            <w:r>
              <w:rPr>
                <w:rFonts w:ascii="Arial" w:cs="Arial" w:eastAsia="Arial" w:hAnsi="Arial"/>
                <w:sz w:val="16"/>
                <w:szCs w:val="16"/>
                <w:color w:val="auto"/>
              </w:rPr>
              <w:t>Margo L. Manning</w:t>
            </w:r>
          </w:p>
        </w:tc>
        <w:tc>
          <w:tcPr>
            <w:tcW w:w="414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372,000</w:t>
            </w:r>
          </w:p>
        </w:tc>
        <w:tc>
          <w:tcPr>
            <w:tcW w:w="136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177,106</w:t>
            </w:r>
          </w:p>
        </w:tc>
        <w:tc>
          <w:tcPr>
            <w:tcW w:w="1120" w:type="dxa"/>
            <w:vAlign w:val="bottom"/>
            <w:shd w:val="clear" w:color="auto" w:fill="E5E5E5"/>
          </w:tcPr>
          <w:p>
            <w:pPr>
              <w:jc w:val="right"/>
              <w:ind w:right="140"/>
              <w:spacing w:after="0"/>
              <w:rPr>
                <w:sz w:val="20"/>
                <w:szCs w:val="20"/>
                <w:color w:val="auto"/>
              </w:rPr>
            </w:pPr>
            <w:r>
              <w:rPr>
                <w:rFonts w:ascii="Arial" w:cs="Arial" w:eastAsia="Arial" w:hAnsi="Arial"/>
                <w:sz w:val="16"/>
                <w:szCs w:val="16"/>
                <w:color w:val="auto"/>
              </w:rPr>
              <w:t>47.6%</w:t>
            </w:r>
          </w:p>
        </w:tc>
      </w:tr>
      <w:tr>
        <w:trPr>
          <w:trHeight w:val="189"/>
        </w:trPr>
        <w:tc>
          <w:tcPr>
            <w:tcW w:w="4400" w:type="dxa"/>
            <w:vAlign w:val="bottom"/>
            <w:tcBorders>
              <w:bottom w:val="single" w:sz="8" w:color="003B71"/>
            </w:tcBorders>
          </w:tcPr>
          <w:p>
            <w:pPr>
              <w:ind w:left="80"/>
              <w:spacing w:after="0"/>
              <w:rPr>
                <w:sz w:val="20"/>
                <w:szCs w:val="20"/>
                <w:color w:val="auto"/>
              </w:rPr>
            </w:pPr>
            <w:r>
              <w:rPr>
                <w:rFonts w:ascii="Arial" w:cs="Arial" w:eastAsia="Arial" w:hAnsi="Arial"/>
                <w:sz w:val="16"/>
                <w:szCs w:val="16"/>
                <w:color w:val="auto"/>
              </w:rPr>
              <w:t>John B. Mulleady</w:t>
            </w:r>
          </w:p>
        </w:tc>
        <w:tc>
          <w:tcPr>
            <w:tcW w:w="4140" w:type="dxa"/>
            <w:vAlign w:val="bottom"/>
            <w:tcBorders>
              <w:bottom w:val="single" w:sz="8" w:color="003B71"/>
            </w:tcBorders>
          </w:tcPr>
          <w:p>
            <w:pPr>
              <w:jc w:val="right"/>
              <w:ind w:right="140"/>
              <w:spacing w:after="0"/>
              <w:rPr>
                <w:sz w:val="20"/>
                <w:szCs w:val="20"/>
                <w:color w:val="auto"/>
              </w:rPr>
            </w:pPr>
            <w:r>
              <w:rPr>
                <w:rFonts w:ascii="Arial" w:cs="Arial" w:eastAsia="Arial" w:hAnsi="Arial"/>
                <w:sz w:val="16"/>
                <w:szCs w:val="16"/>
                <w:color w:val="auto"/>
              </w:rPr>
              <w:t>247,200</w:t>
            </w:r>
          </w:p>
        </w:tc>
        <w:tc>
          <w:tcPr>
            <w:tcW w:w="1360" w:type="dxa"/>
            <w:vAlign w:val="bottom"/>
            <w:tcBorders>
              <w:bottom w:val="single" w:sz="8" w:color="003B71"/>
            </w:tcBorders>
          </w:tcPr>
          <w:p>
            <w:pPr>
              <w:jc w:val="right"/>
              <w:ind w:right="60"/>
              <w:spacing w:after="0"/>
              <w:rPr>
                <w:sz w:val="20"/>
                <w:szCs w:val="20"/>
                <w:color w:val="auto"/>
              </w:rPr>
            </w:pPr>
            <w:r>
              <w:rPr>
                <w:rFonts w:ascii="Arial" w:cs="Arial" w:eastAsia="Arial" w:hAnsi="Arial"/>
                <w:sz w:val="16"/>
                <w:szCs w:val="16"/>
                <w:color w:val="auto"/>
              </w:rPr>
              <w:t>250,537</w:t>
            </w:r>
          </w:p>
        </w:tc>
        <w:tc>
          <w:tcPr>
            <w:tcW w:w="1120" w:type="dxa"/>
            <w:vAlign w:val="bottom"/>
            <w:tcBorders>
              <w:bottom w:val="single" w:sz="8" w:color="003B71"/>
            </w:tcBorders>
          </w:tcPr>
          <w:p>
            <w:pPr>
              <w:jc w:val="right"/>
              <w:ind w:right="140"/>
              <w:spacing w:after="0"/>
              <w:rPr>
                <w:sz w:val="20"/>
                <w:szCs w:val="20"/>
                <w:color w:val="auto"/>
              </w:rPr>
            </w:pPr>
            <w:r>
              <w:rPr>
                <w:rFonts w:ascii="Arial" w:cs="Arial" w:eastAsia="Arial" w:hAnsi="Arial"/>
                <w:sz w:val="16"/>
                <w:szCs w:val="16"/>
                <w:color w:val="auto"/>
              </w:rPr>
              <w:t>101.4%</w:t>
            </w:r>
          </w:p>
        </w:tc>
      </w:tr>
    </w:tbl>
    <w:p>
      <w:pPr>
        <w:spacing w:after="0" w:line="21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Compensation Committee believes the incentive awards were warranted and consistent with the performance of each executive officer, including the NEOs, during fiscal 2019 based on the Compensation Committee’s evaluation of each individual’s overall contribution to accomplishing our fiscal 2019 corporate goals and of each individual’s achievement of strategic and individual performance goals during the year.</w:t>
      </w:r>
    </w:p>
    <w:p>
      <w:pPr>
        <w:spacing w:after="0" w:line="20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Compensation Committee made a number of changes to the fiscal 2020 incentive plan following its annual review of the program as further described in Section “COVID-19 Pandemic Action Plan” beginning on page 43.</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Long-term Incentive Awards</w:t>
      </w:r>
    </w:p>
    <w:p>
      <w:pPr>
        <w:spacing w:after="0" w:line="122"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Compensation Committee believes that it is essential to align the interests of the executive officers, including the NEOs, and other key management personnel responsible for our growth with the interests of our shareholders. The Compensation Committee has also identified the need to retain tenured, high performing executives. The Compensation Committee believes that these objectives are accomplished through the provision of cash- and stock-based incentives that align the interests of management personnel with the long-term objectives of enhancing our value, as set forth in the 2014 Stock Incentive Plan.</w:t>
      </w:r>
    </w:p>
    <w:p>
      <w:pPr>
        <w:spacing w:after="0" w:line="202"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Annually, the Compensation Committee determines whether to grant long-term cash- and/or stock-based incentives to executive officers, including the NEOs, and other key management personnel. In determining whether to award grants, the Compensation Committee considers Company performance, individual performance, the significance of individuals’ contributions to the ongoing success of the Company, the valuation of the grants relative to the individual’s total compensation, value creation, and the recommendations of our Chief Executive Officer. In addition, the Compensation Committee considers the benchmarking data and additional analysis provided by the compensation consultant in determining appropriate grant levels for our executive officers, including the NEOs.</w:t>
      </w:r>
    </w:p>
    <w:p>
      <w:pPr>
        <w:spacing w:after="0" w:line="187"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i w:val="1"/>
          <w:iCs w:val="1"/>
          <w:color w:val="auto"/>
        </w:rPr>
        <w:t xml:space="preserve">2019 Long Term Incentive Award Grant. </w:t>
      </w:r>
      <w:r>
        <w:rPr>
          <w:rFonts w:ascii="Arial" w:cs="Arial" w:eastAsia="Arial" w:hAnsi="Arial"/>
          <w:sz w:val="18"/>
          <w:szCs w:val="18"/>
          <w:color w:val="auto"/>
        </w:rPr>
        <w:t>During fiscal 2019, the Compensation Committee awarded to the executive officers,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NEOs, and other key management personnel a combination of service-based non-qualified stock options (“Stock Options”) with gradual vesting schedules, PSUs that vest upon the attainment of pre-established performance targets, and long-term cash incentives (“Performance Cash”) that vest upon the attainment of pre-established performance targets. The Stock Options, which comprise 50% of each NEO’s award, vest in equal</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installments over a three-year period and are exercisable up to a maximum of 10 years. The exercise prices of the</w:t>
      </w:r>
    </w:p>
    <w:p>
      <w:pPr>
        <w:spacing w:after="0" w:line="136"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39</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stock option awards were established as the closing price of the Company’s stock on the date following the date on which the Compensation Committee approved the awards. The PSUs, which comprise 35% of each NEO’s award, and Performance Cash, which comprises 15% of each NEO’s award, vest after three years and are based 66.7% on achieving targeted three-year cumulative EBITDA and 33.3% on achieving a targeted return on capital invested in new stores (“ROIC”). The NEOs face a significant risk of forfeiture or reduced payout if the Company fails to meet either of the targets, as the settlement value of the PSUs and Performance Cash varies between 0% and 200% of the target award, depending on EBITDA and ROIC performance, as depicted in the table below. Further, the value of the Stock Options and the PSUs increases or decreases with the changes in the Company’s stock price. The Compensation Committee believes that the mix of 50% Stock Options, 35% RSUs and 15% Performance Cash provides an appropriate balance promoting retention and motivating and rewarding our executive officers and other key employees to deliver long-term financial success.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20" w:type="dxa"/>
            <w:vAlign w:val="bottom"/>
            <w:gridSpan w:val="4"/>
          </w:tcPr>
          <w:p>
            <w:pPr>
              <w:jc w:val="right"/>
              <w:ind w:right="22"/>
              <w:spacing w:after="0"/>
              <w:rPr>
                <w:sz w:val="20"/>
                <w:szCs w:val="20"/>
                <w:color w:val="auto"/>
              </w:rPr>
            </w:pPr>
            <w:r>
              <w:rPr>
                <w:rFonts w:ascii="Arial" w:cs="Arial" w:eastAsia="Arial" w:hAnsi="Arial"/>
                <w:sz w:val="14"/>
                <w:szCs w:val="14"/>
                <w:b w:val="1"/>
                <w:bCs w:val="1"/>
                <w:color w:val="003B71"/>
              </w:rPr>
              <w:t>2019-2021 PSU and Performance Cash Grant</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5"/>
        </w:trPr>
        <w:tc>
          <w:tcPr>
            <w:tcW w:w="3120" w:type="dxa"/>
            <w:vAlign w:val="bottom"/>
          </w:tcPr>
          <w:p>
            <w:pPr>
              <w:spacing w:after="0"/>
              <w:rPr>
                <w:sz w:val="15"/>
                <w:szCs w:val="15"/>
                <w:color w:val="auto"/>
              </w:rPr>
            </w:pPr>
          </w:p>
        </w:tc>
        <w:tc>
          <w:tcPr>
            <w:tcW w:w="840" w:type="dxa"/>
            <w:vAlign w:val="bottom"/>
            <w:tcBorders>
              <w:bottom w:val="single" w:sz="8" w:color="003B71"/>
            </w:tcBorders>
          </w:tcPr>
          <w:p>
            <w:pPr>
              <w:spacing w:after="0"/>
              <w:rPr>
                <w:sz w:val="15"/>
                <w:szCs w:val="15"/>
                <w:color w:val="auto"/>
              </w:rPr>
            </w:pPr>
          </w:p>
        </w:tc>
        <w:tc>
          <w:tcPr>
            <w:tcW w:w="2120" w:type="dxa"/>
            <w:vAlign w:val="bottom"/>
            <w:tcBorders>
              <w:bottom w:val="single" w:sz="8" w:color="003B71"/>
            </w:tcBorders>
            <w:gridSpan w:val="2"/>
          </w:tcPr>
          <w:p>
            <w:pPr>
              <w:jc w:val="right"/>
              <w:spacing w:after="0"/>
              <w:rPr>
                <w:sz w:val="20"/>
                <w:szCs w:val="20"/>
                <w:color w:val="auto"/>
              </w:rPr>
            </w:pPr>
            <w:r>
              <w:rPr>
                <w:rFonts w:ascii="Arial" w:cs="Arial" w:eastAsia="Arial" w:hAnsi="Arial"/>
                <w:sz w:val="14"/>
                <w:szCs w:val="14"/>
                <w:b w:val="1"/>
                <w:bCs w:val="1"/>
                <w:color w:val="003B71"/>
              </w:rPr>
              <w:t>3-Year Cumulative EBITDA</w:t>
            </w:r>
          </w:p>
        </w:tc>
        <w:tc>
          <w:tcPr>
            <w:tcW w:w="900" w:type="dxa"/>
            <w:vAlign w:val="bottom"/>
            <w:tcBorders>
              <w:bottom w:val="single" w:sz="8" w:color="003B71"/>
            </w:tcBorders>
          </w:tcPr>
          <w:p>
            <w:pPr>
              <w:spacing w:after="0"/>
              <w:rPr>
                <w:sz w:val="15"/>
                <w:szCs w:val="15"/>
                <w:color w:val="auto"/>
              </w:rPr>
            </w:pPr>
          </w:p>
        </w:tc>
        <w:tc>
          <w:tcPr>
            <w:tcW w:w="320" w:type="dxa"/>
            <w:vAlign w:val="bottom"/>
          </w:tcPr>
          <w:p>
            <w:pPr>
              <w:spacing w:after="0"/>
              <w:rPr>
                <w:sz w:val="15"/>
                <w:szCs w:val="15"/>
                <w:color w:val="auto"/>
              </w:rPr>
            </w:pPr>
          </w:p>
        </w:tc>
        <w:tc>
          <w:tcPr>
            <w:tcW w:w="2760" w:type="dxa"/>
            <w:vAlign w:val="bottom"/>
            <w:tcBorders>
              <w:bottom w:val="single" w:sz="8" w:color="003B71"/>
            </w:tcBorders>
            <w:gridSpan w:val="2"/>
          </w:tcPr>
          <w:p>
            <w:pPr>
              <w:jc w:val="right"/>
              <w:spacing w:after="0"/>
              <w:rPr>
                <w:sz w:val="20"/>
                <w:szCs w:val="20"/>
                <w:color w:val="auto"/>
              </w:rPr>
            </w:pPr>
            <w:r>
              <w:rPr>
                <w:rFonts w:ascii="Arial" w:cs="Arial" w:eastAsia="Arial" w:hAnsi="Arial"/>
                <w:sz w:val="14"/>
                <w:szCs w:val="14"/>
                <w:b w:val="1"/>
                <w:bCs w:val="1"/>
                <w:color w:val="003B71"/>
              </w:rPr>
              <w:t>3-Year Cumulative ROIC</w:t>
            </w:r>
          </w:p>
        </w:tc>
        <w:tc>
          <w:tcPr>
            <w:tcW w:w="960" w:type="dxa"/>
            <w:vAlign w:val="bottom"/>
            <w:tcBorders>
              <w:bottom w:val="single" w:sz="8" w:color="003B71"/>
            </w:tcBorders>
          </w:tcPr>
          <w:p>
            <w:pPr>
              <w:spacing w:after="0"/>
              <w:rPr>
                <w:sz w:val="15"/>
                <w:szCs w:val="15"/>
                <w:color w:val="auto"/>
              </w:rPr>
            </w:pPr>
          </w:p>
        </w:tc>
      </w:tr>
      <w:tr>
        <w:trPr>
          <w:trHeight w:val="142"/>
        </w:trPr>
        <w:tc>
          <w:tcPr>
            <w:tcW w:w="3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tcPr>
          <w:p>
            <w:pPr>
              <w:jc w:val="center"/>
              <w:ind w:right="24"/>
              <w:spacing w:after="0" w:line="143" w:lineRule="exact"/>
              <w:rPr>
                <w:sz w:val="20"/>
                <w:szCs w:val="20"/>
                <w:color w:val="auto"/>
              </w:rPr>
            </w:pPr>
            <w:r>
              <w:rPr>
                <w:rFonts w:ascii="Arial" w:cs="Arial" w:eastAsia="Arial" w:hAnsi="Arial"/>
                <w:sz w:val="14"/>
                <w:szCs w:val="14"/>
                <w:b w:val="1"/>
                <w:bCs w:val="1"/>
                <w:color w:val="003B71"/>
              </w:rPr>
              <w:t>Performance</w:t>
            </w:r>
          </w:p>
        </w:tc>
        <w:tc>
          <w:tcPr>
            <w:tcW w:w="900" w:type="dxa"/>
            <w:vAlign w:val="bottom"/>
          </w:tcPr>
          <w:p>
            <w:pPr>
              <w:ind w:left="40"/>
              <w:spacing w:after="0" w:line="143" w:lineRule="exact"/>
              <w:rPr>
                <w:sz w:val="20"/>
                <w:szCs w:val="20"/>
                <w:color w:val="auto"/>
              </w:rPr>
            </w:pPr>
            <w:r>
              <w:rPr>
                <w:rFonts w:ascii="Arial" w:cs="Arial" w:eastAsia="Arial" w:hAnsi="Arial"/>
                <w:sz w:val="14"/>
                <w:szCs w:val="14"/>
                <w:b w:val="1"/>
                <w:bCs w:val="1"/>
                <w:color w:val="003B71"/>
              </w:rPr>
              <w:t>Payout as a</w:t>
            </w:r>
          </w:p>
        </w:tc>
        <w:tc>
          <w:tcPr>
            <w:tcW w:w="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20" w:type="dxa"/>
            <w:vAlign w:val="bottom"/>
          </w:tcPr>
          <w:p>
            <w:pPr>
              <w:jc w:val="center"/>
              <w:spacing w:after="0" w:line="143" w:lineRule="exact"/>
              <w:rPr>
                <w:sz w:val="20"/>
                <w:szCs w:val="20"/>
                <w:color w:val="auto"/>
              </w:rPr>
            </w:pPr>
            <w:r>
              <w:rPr>
                <w:rFonts w:ascii="Arial" w:cs="Arial" w:eastAsia="Arial" w:hAnsi="Arial"/>
                <w:sz w:val="14"/>
                <w:szCs w:val="14"/>
                <w:b w:val="1"/>
                <w:bCs w:val="1"/>
                <w:color w:val="003B71"/>
              </w:rPr>
              <w:t>Performance</w:t>
            </w:r>
          </w:p>
        </w:tc>
        <w:tc>
          <w:tcPr>
            <w:tcW w:w="960" w:type="dxa"/>
            <w:vAlign w:val="bottom"/>
          </w:tcPr>
          <w:p>
            <w:pPr>
              <w:jc w:val="right"/>
              <w:ind w:right="43"/>
              <w:spacing w:after="0" w:line="143" w:lineRule="exact"/>
              <w:rPr>
                <w:sz w:val="20"/>
                <w:szCs w:val="20"/>
                <w:color w:val="auto"/>
              </w:rPr>
            </w:pPr>
            <w:r>
              <w:rPr>
                <w:rFonts w:ascii="Arial" w:cs="Arial" w:eastAsia="Arial" w:hAnsi="Arial"/>
                <w:sz w:val="14"/>
                <w:szCs w:val="14"/>
                <w:b w:val="1"/>
                <w:bCs w:val="1"/>
                <w:color w:val="003B71"/>
              </w:rPr>
              <w:t>Payout as a</w:t>
            </w:r>
          </w:p>
        </w:tc>
      </w:tr>
      <w:tr>
        <w:trPr>
          <w:trHeight w:val="162"/>
        </w:trPr>
        <w:tc>
          <w:tcPr>
            <w:tcW w:w="312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003B71"/>
              </w:rPr>
              <w:t>Performance</w:t>
            </w:r>
          </w:p>
        </w:tc>
        <w:tc>
          <w:tcPr>
            <w:tcW w:w="1460" w:type="dxa"/>
            <w:vAlign w:val="bottom"/>
          </w:tcPr>
          <w:p>
            <w:pPr>
              <w:jc w:val="center"/>
              <w:ind w:right="24"/>
              <w:spacing w:after="0"/>
              <w:rPr>
                <w:sz w:val="20"/>
                <w:szCs w:val="20"/>
                <w:color w:val="auto"/>
              </w:rPr>
            </w:pPr>
            <w:r>
              <w:rPr>
                <w:rFonts w:ascii="Arial" w:cs="Arial" w:eastAsia="Arial" w:hAnsi="Arial"/>
                <w:sz w:val="14"/>
                <w:szCs w:val="14"/>
                <w:b w:val="1"/>
                <w:bCs w:val="1"/>
                <w:color w:val="003B71"/>
              </w:rPr>
              <w:t>as a Percentage</w:t>
            </w: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003B71"/>
              </w:rPr>
              <w:t>Percentage</w:t>
            </w:r>
          </w:p>
        </w:tc>
        <w:tc>
          <w:tcPr>
            <w:tcW w:w="14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3B71"/>
              </w:rPr>
              <w:t>as a Percentage</w:t>
            </w:r>
          </w:p>
        </w:tc>
        <w:tc>
          <w:tcPr>
            <w:tcW w:w="960" w:type="dxa"/>
            <w:vAlign w:val="bottom"/>
          </w:tcPr>
          <w:p>
            <w:pPr>
              <w:jc w:val="right"/>
              <w:ind w:right="63"/>
              <w:spacing w:after="0"/>
              <w:rPr>
                <w:sz w:val="20"/>
                <w:szCs w:val="20"/>
                <w:color w:val="auto"/>
              </w:rPr>
            </w:pPr>
            <w:r>
              <w:rPr>
                <w:rFonts w:ascii="Arial" w:cs="Arial" w:eastAsia="Arial" w:hAnsi="Arial"/>
                <w:sz w:val="14"/>
                <w:szCs w:val="14"/>
                <w:b w:val="1"/>
                <w:bCs w:val="1"/>
                <w:color w:val="003B71"/>
              </w:rPr>
              <w:t>Percentage</w:t>
            </w:r>
          </w:p>
        </w:tc>
      </w:tr>
      <w:tr>
        <w:trPr>
          <w:trHeight w:val="175"/>
        </w:trPr>
        <w:tc>
          <w:tcPr>
            <w:tcW w:w="3120" w:type="dxa"/>
            <w:vAlign w:val="bottom"/>
            <w:tcBorders>
              <w:bottom w:val="single" w:sz="8" w:color="003B71"/>
            </w:tcBorders>
          </w:tcPr>
          <w:p>
            <w:pPr>
              <w:spacing w:after="0"/>
              <w:rPr>
                <w:sz w:val="15"/>
                <w:szCs w:val="15"/>
                <w:color w:val="auto"/>
              </w:rPr>
            </w:pPr>
          </w:p>
        </w:tc>
        <w:tc>
          <w:tcPr>
            <w:tcW w:w="1500" w:type="dxa"/>
            <w:vAlign w:val="bottom"/>
            <w:tcBorders>
              <w:bottom w:val="single" w:sz="8" w:color="003B71"/>
            </w:tcBorders>
            <w:gridSpan w:val="2"/>
          </w:tcPr>
          <w:p>
            <w:pPr>
              <w:jc w:val="center"/>
              <w:spacing w:after="0"/>
              <w:rPr>
                <w:sz w:val="20"/>
                <w:szCs w:val="20"/>
                <w:color w:val="auto"/>
              </w:rPr>
            </w:pPr>
            <w:r>
              <w:rPr>
                <w:rFonts w:ascii="Arial" w:cs="Arial" w:eastAsia="Arial" w:hAnsi="Arial"/>
                <w:sz w:val="14"/>
                <w:szCs w:val="14"/>
                <w:b w:val="1"/>
                <w:bCs w:val="1"/>
                <w:color w:val="003B71"/>
              </w:rPr>
              <w:t>(in millions)</w:t>
            </w:r>
          </w:p>
        </w:tc>
        <w:tc>
          <w:tcPr>
            <w:tcW w:w="1460" w:type="dxa"/>
            <w:vAlign w:val="bottom"/>
            <w:tcBorders>
              <w:bottom w:val="single" w:sz="8" w:color="003B71"/>
            </w:tcBorders>
          </w:tcPr>
          <w:p>
            <w:pPr>
              <w:jc w:val="center"/>
              <w:ind w:right="24"/>
              <w:spacing w:after="0"/>
              <w:rPr>
                <w:sz w:val="20"/>
                <w:szCs w:val="20"/>
                <w:color w:val="auto"/>
              </w:rPr>
            </w:pPr>
            <w:r>
              <w:rPr>
                <w:rFonts w:ascii="Arial" w:cs="Arial" w:eastAsia="Arial" w:hAnsi="Arial"/>
                <w:sz w:val="14"/>
                <w:szCs w:val="14"/>
                <w:b w:val="1"/>
                <w:bCs w:val="1"/>
                <w:color w:val="003B71"/>
              </w:rPr>
              <w:t>of Target</w:t>
            </w:r>
          </w:p>
        </w:tc>
        <w:tc>
          <w:tcPr>
            <w:tcW w:w="1220" w:type="dxa"/>
            <w:vAlign w:val="bottom"/>
            <w:tcBorders>
              <w:bottom w:val="single" w:sz="8" w:color="003B71"/>
            </w:tcBorders>
            <w:gridSpan w:val="2"/>
          </w:tcPr>
          <w:p>
            <w:pPr>
              <w:ind w:left="40"/>
              <w:spacing w:after="0"/>
              <w:rPr>
                <w:sz w:val="20"/>
                <w:szCs w:val="20"/>
                <w:color w:val="auto"/>
              </w:rPr>
            </w:pPr>
            <w:r>
              <w:rPr>
                <w:rFonts w:ascii="Arial" w:cs="Arial" w:eastAsia="Arial" w:hAnsi="Arial"/>
                <w:sz w:val="14"/>
                <w:szCs w:val="14"/>
                <w:b w:val="1"/>
                <w:bCs w:val="1"/>
                <w:color w:val="003B71"/>
              </w:rPr>
              <w:t>of Target(1)</w:t>
            </w:r>
          </w:p>
        </w:tc>
        <w:tc>
          <w:tcPr>
            <w:tcW w:w="1440" w:type="dxa"/>
            <w:vAlign w:val="bottom"/>
            <w:tcBorders>
              <w:bottom w:val="single" w:sz="8" w:color="003B71"/>
            </w:tcBorders>
          </w:tcPr>
          <w:p>
            <w:pPr>
              <w:jc w:val="right"/>
              <w:ind w:right="102"/>
              <w:spacing w:after="0"/>
              <w:rPr>
                <w:sz w:val="20"/>
                <w:szCs w:val="20"/>
                <w:color w:val="auto"/>
              </w:rPr>
            </w:pPr>
            <w:r>
              <w:rPr>
                <w:rFonts w:ascii="Arial" w:cs="Arial" w:eastAsia="Arial" w:hAnsi="Arial"/>
                <w:sz w:val="14"/>
                <w:szCs w:val="14"/>
                <w:b w:val="1"/>
                <w:bCs w:val="1"/>
                <w:color w:val="003B71"/>
              </w:rPr>
              <w:t>Performance(2)</w:t>
            </w:r>
          </w:p>
        </w:tc>
        <w:tc>
          <w:tcPr>
            <w:tcW w:w="132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of Target</w:t>
            </w:r>
          </w:p>
        </w:tc>
        <w:tc>
          <w:tcPr>
            <w:tcW w:w="960" w:type="dxa"/>
            <w:vAlign w:val="bottom"/>
            <w:tcBorders>
              <w:bottom w:val="single" w:sz="8" w:color="003B71"/>
            </w:tcBorders>
          </w:tcPr>
          <w:p>
            <w:pPr>
              <w:jc w:val="right"/>
              <w:ind w:right="63"/>
              <w:spacing w:after="0"/>
              <w:rPr>
                <w:sz w:val="20"/>
                <w:szCs w:val="20"/>
                <w:color w:val="auto"/>
              </w:rPr>
            </w:pPr>
            <w:r>
              <w:rPr>
                <w:rFonts w:ascii="Arial" w:cs="Arial" w:eastAsia="Arial" w:hAnsi="Arial"/>
                <w:sz w:val="14"/>
                <w:szCs w:val="14"/>
                <w:b w:val="1"/>
                <w:bCs w:val="1"/>
                <w:color w:val="003B71"/>
              </w:rPr>
              <w:t>of Target(1)</w:t>
            </w:r>
          </w:p>
        </w:tc>
      </w:tr>
      <w:tr>
        <w:trPr>
          <w:trHeight w:val="183"/>
        </w:trPr>
        <w:tc>
          <w:tcPr>
            <w:tcW w:w="312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Below Threshold</w:t>
            </w:r>
          </w:p>
        </w:tc>
        <w:tc>
          <w:tcPr>
            <w:tcW w:w="840" w:type="dxa"/>
            <w:vAlign w:val="bottom"/>
            <w:shd w:val="clear" w:color="auto" w:fill="E5E5E5"/>
          </w:tcPr>
          <w:p>
            <w:pPr>
              <w:ind w:left="260"/>
              <w:spacing w:after="0" w:line="183" w:lineRule="exact"/>
              <w:rPr>
                <w:sz w:val="20"/>
                <w:szCs w:val="20"/>
                <w:color w:val="auto"/>
              </w:rPr>
            </w:pPr>
            <w:r>
              <w:rPr>
                <w:rFonts w:ascii="Arial" w:cs="Arial" w:eastAsia="Arial" w:hAnsi="Arial"/>
                <w:sz w:val="16"/>
                <w:szCs w:val="16"/>
                <w:color w:val="auto"/>
                <w:w w:val="98"/>
              </w:rPr>
              <w:t>Below $</w:t>
            </w:r>
          </w:p>
        </w:tc>
        <w:tc>
          <w:tcPr>
            <w:tcW w:w="660" w:type="dxa"/>
            <w:vAlign w:val="bottom"/>
            <w:shd w:val="clear" w:color="auto" w:fill="E5E5E5"/>
          </w:tcPr>
          <w:p>
            <w:pPr>
              <w:jc w:val="right"/>
              <w:ind w:right="41"/>
              <w:spacing w:after="0" w:line="183" w:lineRule="exact"/>
              <w:rPr>
                <w:sz w:val="20"/>
                <w:szCs w:val="20"/>
                <w:color w:val="auto"/>
              </w:rPr>
            </w:pPr>
            <w:r>
              <w:rPr>
                <w:rFonts w:ascii="Arial" w:cs="Arial" w:eastAsia="Arial" w:hAnsi="Arial"/>
                <w:sz w:val="16"/>
                <w:szCs w:val="16"/>
                <w:color w:val="auto"/>
              </w:rPr>
              <w:t>832.2</w:t>
            </w:r>
          </w:p>
        </w:tc>
        <w:tc>
          <w:tcPr>
            <w:tcW w:w="1460" w:type="dxa"/>
            <w:vAlign w:val="bottom"/>
            <w:shd w:val="clear" w:color="auto" w:fill="E5E5E5"/>
          </w:tcPr>
          <w:p>
            <w:pPr>
              <w:jc w:val="right"/>
              <w:ind w:right="144"/>
              <w:spacing w:after="0" w:line="183" w:lineRule="exact"/>
              <w:rPr>
                <w:sz w:val="20"/>
                <w:szCs w:val="20"/>
                <w:color w:val="auto"/>
              </w:rPr>
            </w:pPr>
            <w:r>
              <w:rPr>
                <w:rFonts w:ascii="Arial" w:cs="Arial" w:eastAsia="Arial" w:hAnsi="Arial"/>
                <w:sz w:val="16"/>
                <w:szCs w:val="16"/>
                <w:color w:val="auto"/>
              </w:rPr>
              <w:t>Below 85.0%</w:t>
            </w:r>
          </w:p>
        </w:tc>
        <w:tc>
          <w:tcPr>
            <w:tcW w:w="9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0.0%</w:t>
            </w:r>
          </w:p>
        </w:tc>
        <w:tc>
          <w:tcPr>
            <w:tcW w:w="320" w:type="dxa"/>
            <w:vAlign w:val="bottom"/>
            <w:shd w:val="clear" w:color="auto" w:fill="E5E5E5"/>
          </w:tcPr>
          <w:p>
            <w:pPr>
              <w:spacing w:after="0"/>
              <w:rPr>
                <w:sz w:val="15"/>
                <w:szCs w:val="15"/>
                <w:color w:val="auto"/>
              </w:rPr>
            </w:pPr>
          </w:p>
        </w:tc>
        <w:tc>
          <w:tcPr>
            <w:tcW w:w="1440" w:type="dxa"/>
            <w:vAlign w:val="bottom"/>
            <w:shd w:val="clear" w:color="auto" w:fill="E5E5E5"/>
          </w:tcPr>
          <w:p>
            <w:pPr>
              <w:jc w:val="right"/>
              <w:ind w:right="102"/>
              <w:spacing w:after="0" w:line="183" w:lineRule="exact"/>
              <w:rPr>
                <w:sz w:val="20"/>
                <w:szCs w:val="20"/>
                <w:color w:val="auto"/>
              </w:rPr>
            </w:pPr>
            <w:r>
              <w:rPr>
                <w:rFonts w:ascii="Arial" w:cs="Arial" w:eastAsia="Arial" w:hAnsi="Arial"/>
                <w:sz w:val="16"/>
                <w:szCs w:val="16"/>
                <w:color w:val="auto"/>
              </w:rPr>
              <w:t>Below 2.6%</w:t>
            </w:r>
          </w:p>
        </w:tc>
        <w:tc>
          <w:tcPr>
            <w:tcW w:w="1320" w:type="dxa"/>
            <w:vAlign w:val="bottom"/>
            <w:shd w:val="clear" w:color="auto" w:fill="E5E5E5"/>
          </w:tcPr>
          <w:p>
            <w:pPr>
              <w:jc w:val="right"/>
              <w:ind w:right="43"/>
              <w:spacing w:after="0" w:line="183" w:lineRule="exact"/>
              <w:rPr>
                <w:sz w:val="20"/>
                <w:szCs w:val="20"/>
                <w:color w:val="auto"/>
              </w:rPr>
            </w:pPr>
            <w:r>
              <w:rPr>
                <w:rFonts w:ascii="Arial" w:cs="Arial" w:eastAsia="Arial" w:hAnsi="Arial"/>
                <w:sz w:val="16"/>
                <w:szCs w:val="16"/>
                <w:color w:val="auto"/>
              </w:rPr>
              <w:t>Below 85.0%</w:t>
            </w:r>
          </w:p>
        </w:tc>
        <w:tc>
          <w:tcPr>
            <w:tcW w:w="960" w:type="dxa"/>
            <w:vAlign w:val="bottom"/>
            <w:shd w:val="clear" w:color="auto" w:fill="E5E5E5"/>
          </w:tcPr>
          <w:p>
            <w:pPr>
              <w:jc w:val="right"/>
              <w:ind w:right="43"/>
              <w:spacing w:after="0" w:line="183" w:lineRule="exact"/>
              <w:rPr>
                <w:sz w:val="20"/>
                <w:szCs w:val="20"/>
                <w:color w:val="auto"/>
              </w:rPr>
            </w:pPr>
            <w:r>
              <w:rPr>
                <w:rFonts w:ascii="Arial" w:cs="Arial" w:eastAsia="Arial" w:hAnsi="Arial"/>
                <w:sz w:val="16"/>
                <w:szCs w:val="16"/>
                <w:color w:val="auto"/>
              </w:rPr>
              <w:t>0.0%</w:t>
            </w:r>
          </w:p>
        </w:tc>
      </w:tr>
      <w:tr>
        <w:trPr>
          <w:trHeight w:val="189"/>
        </w:trPr>
        <w:tc>
          <w:tcPr>
            <w:tcW w:w="3120" w:type="dxa"/>
            <w:vAlign w:val="bottom"/>
          </w:tcPr>
          <w:p>
            <w:pPr>
              <w:ind w:left="80"/>
              <w:spacing w:after="0"/>
              <w:rPr>
                <w:sz w:val="20"/>
                <w:szCs w:val="20"/>
                <w:color w:val="auto"/>
              </w:rPr>
            </w:pPr>
            <w:r>
              <w:rPr>
                <w:rFonts w:ascii="Arial" w:cs="Arial" w:eastAsia="Arial" w:hAnsi="Arial"/>
                <w:sz w:val="16"/>
                <w:szCs w:val="16"/>
                <w:color w:val="auto"/>
              </w:rPr>
              <w:t>Threshold</w:t>
            </w:r>
          </w:p>
        </w:tc>
        <w:tc>
          <w:tcPr>
            <w:tcW w:w="840" w:type="dxa"/>
            <w:vAlign w:val="bottom"/>
          </w:tcPr>
          <w:p>
            <w:pPr>
              <w:jc w:val="center"/>
              <w:ind w:left="66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832.2</w:t>
            </w:r>
          </w:p>
        </w:tc>
        <w:tc>
          <w:tcPr>
            <w:tcW w:w="1460" w:type="dxa"/>
            <w:vAlign w:val="bottom"/>
          </w:tcPr>
          <w:p>
            <w:pPr>
              <w:jc w:val="right"/>
              <w:ind w:right="144"/>
              <w:spacing w:after="0"/>
              <w:rPr>
                <w:sz w:val="20"/>
                <w:szCs w:val="20"/>
                <w:color w:val="auto"/>
              </w:rPr>
            </w:pPr>
            <w:r>
              <w:rPr>
                <w:rFonts w:ascii="Arial" w:cs="Arial" w:eastAsia="Arial" w:hAnsi="Arial"/>
                <w:sz w:val="16"/>
                <w:szCs w:val="16"/>
                <w:color w:val="auto"/>
              </w:rPr>
              <w:t>85.0%</w:t>
            </w:r>
          </w:p>
        </w:tc>
        <w:tc>
          <w:tcPr>
            <w:tcW w:w="900" w:type="dxa"/>
            <w:vAlign w:val="bottom"/>
          </w:tcPr>
          <w:p>
            <w:pPr>
              <w:jc w:val="right"/>
              <w:spacing w:after="0"/>
              <w:rPr>
                <w:sz w:val="20"/>
                <w:szCs w:val="20"/>
                <w:color w:val="auto"/>
              </w:rPr>
            </w:pPr>
            <w:r>
              <w:rPr>
                <w:rFonts w:ascii="Arial" w:cs="Arial" w:eastAsia="Arial" w:hAnsi="Arial"/>
                <w:sz w:val="16"/>
                <w:szCs w:val="16"/>
                <w:color w:val="auto"/>
              </w:rPr>
              <w:t>50.0%</w:t>
            </w:r>
          </w:p>
        </w:tc>
        <w:tc>
          <w:tcPr>
            <w:tcW w:w="320" w:type="dxa"/>
            <w:vAlign w:val="bottom"/>
          </w:tcPr>
          <w:p>
            <w:pPr>
              <w:spacing w:after="0"/>
              <w:rPr>
                <w:sz w:val="16"/>
                <w:szCs w:val="16"/>
                <w:color w:val="auto"/>
              </w:rPr>
            </w:pPr>
          </w:p>
        </w:tc>
        <w:tc>
          <w:tcPr>
            <w:tcW w:w="1440" w:type="dxa"/>
            <w:vAlign w:val="bottom"/>
          </w:tcPr>
          <w:p>
            <w:pPr>
              <w:jc w:val="right"/>
              <w:ind w:right="102"/>
              <w:spacing w:after="0"/>
              <w:rPr>
                <w:sz w:val="20"/>
                <w:szCs w:val="20"/>
                <w:color w:val="auto"/>
              </w:rPr>
            </w:pPr>
            <w:r>
              <w:rPr>
                <w:rFonts w:ascii="Arial" w:cs="Arial" w:eastAsia="Arial" w:hAnsi="Arial"/>
                <w:sz w:val="16"/>
                <w:szCs w:val="16"/>
                <w:color w:val="auto"/>
              </w:rPr>
              <w:t>2.6%</w:t>
            </w: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85.0%</w:t>
            </w: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50.0%</w:t>
            </w:r>
          </w:p>
        </w:tc>
      </w:tr>
      <w:tr>
        <w:trPr>
          <w:trHeight w:val="189"/>
        </w:trPr>
        <w:tc>
          <w:tcPr>
            <w:tcW w:w="3120" w:type="dxa"/>
            <w:vAlign w:val="bottom"/>
            <w:shd w:val="clear" w:color="auto" w:fill="E5E5E5"/>
          </w:tcPr>
          <w:p>
            <w:pPr>
              <w:ind w:left="80"/>
              <w:spacing w:after="0"/>
              <w:rPr>
                <w:sz w:val="20"/>
                <w:szCs w:val="20"/>
                <w:color w:val="auto"/>
              </w:rPr>
            </w:pPr>
            <w:r>
              <w:rPr>
                <w:rFonts w:ascii="Arial" w:cs="Arial" w:eastAsia="Arial" w:hAnsi="Arial"/>
                <w:sz w:val="16"/>
                <w:szCs w:val="16"/>
                <w:color w:val="auto"/>
              </w:rPr>
              <w:t>Target</w:t>
            </w:r>
          </w:p>
        </w:tc>
        <w:tc>
          <w:tcPr>
            <w:tcW w:w="840" w:type="dxa"/>
            <w:vAlign w:val="bottom"/>
            <w:shd w:val="clear" w:color="auto" w:fill="E5E5E5"/>
          </w:tcPr>
          <w:p>
            <w:pPr>
              <w:jc w:val="center"/>
              <w:ind w:left="662"/>
              <w:spacing w:after="0"/>
              <w:rPr>
                <w:sz w:val="20"/>
                <w:szCs w:val="20"/>
                <w:color w:val="auto"/>
              </w:rPr>
            </w:pPr>
            <w:r>
              <w:rPr>
                <w:rFonts w:ascii="Arial" w:cs="Arial" w:eastAsia="Arial" w:hAnsi="Arial"/>
                <w:sz w:val="16"/>
                <w:szCs w:val="16"/>
                <w:color w:val="auto"/>
              </w:rPr>
              <w:t>$</w:t>
            </w:r>
          </w:p>
        </w:tc>
        <w:tc>
          <w:tcPr>
            <w:tcW w:w="66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979.0</w:t>
            </w:r>
          </w:p>
        </w:tc>
        <w:tc>
          <w:tcPr>
            <w:tcW w:w="1460" w:type="dxa"/>
            <w:vAlign w:val="bottom"/>
            <w:shd w:val="clear" w:color="auto" w:fill="E5E5E5"/>
          </w:tcPr>
          <w:p>
            <w:pPr>
              <w:jc w:val="right"/>
              <w:ind w:right="144"/>
              <w:spacing w:after="0"/>
              <w:rPr>
                <w:sz w:val="20"/>
                <w:szCs w:val="20"/>
                <w:color w:val="auto"/>
              </w:rPr>
            </w:pPr>
            <w:r>
              <w:rPr>
                <w:rFonts w:ascii="Arial" w:cs="Arial" w:eastAsia="Arial" w:hAnsi="Arial"/>
                <w:sz w:val="16"/>
                <w:szCs w:val="16"/>
                <w:color w:val="auto"/>
              </w:rPr>
              <w:t>100.0%</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100.0%</w:t>
            </w:r>
          </w:p>
        </w:tc>
        <w:tc>
          <w:tcPr>
            <w:tcW w:w="320" w:type="dxa"/>
            <w:vAlign w:val="bottom"/>
            <w:shd w:val="clear" w:color="auto" w:fill="E5E5E5"/>
          </w:tcPr>
          <w:p>
            <w:pPr>
              <w:spacing w:after="0"/>
              <w:rPr>
                <w:sz w:val="16"/>
                <w:szCs w:val="16"/>
                <w:color w:val="auto"/>
              </w:rPr>
            </w:pPr>
          </w:p>
        </w:tc>
        <w:tc>
          <w:tcPr>
            <w:tcW w:w="144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3.0%</w:t>
            </w:r>
          </w:p>
        </w:tc>
        <w:tc>
          <w:tcPr>
            <w:tcW w:w="1320" w:type="dxa"/>
            <w:vAlign w:val="bottom"/>
            <w:shd w:val="clear" w:color="auto" w:fill="E5E5E5"/>
          </w:tcPr>
          <w:p>
            <w:pPr>
              <w:jc w:val="right"/>
              <w:ind w:right="43"/>
              <w:spacing w:after="0"/>
              <w:rPr>
                <w:sz w:val="20"/>
                <w:szCs w:val="20"/>
                <w:color w:val="auto"/>
              </w:rPr>
            </w:pPr>
            <w:r>
              <w:rPr>
                <w:rFonts w:ascii="Arial" w:cs="Arial" w:eastAsia="Arial" w:hAnsi="Arial"/>
                <w:sz w:val="16"/>
                <w:szCs w:val="16"/>
                <w:color w:val="auto"/>
              </w:rPr>
              <w:t>100.0%</w:t>
            </w:r>
          </w:p>
        </w:tc>
        <w:tc>
          <w:tcPr>
            <w:tcW w:w="960" w:type="dxa"/>
            <w:vAlign w:val="bottom"/>
            <w:shd w:val="clear" w:color="auto" w:fill="E5E5E5"/>
          </w:tcPr>
          <w:p>
            <w:pPr>
              <w:jc w:val="right"/>
              <w:ind w:right="43"/>
              <w:spacing w:after="0"/>
              <w:rPr>
                <w:sz w:val="20"/>
                <w:szCs w:val="20"/>
                <w:color w:val="auto"/>
              </w:rPr>
            </w:pPr>
            <w:r>
              <w:rPr>
                <w:rFonts w:ascii="Arial" w:cs="Arial" w:eastAsia="Arial" w:hAnsi="Arial"/>
                <w:sz w:val="16"/>
                <w:szCs w:val="16"/>
                <w:color w:val="auto"/>
              </w:rPr>
              <w:t>100.0%</w:t>
            </w:r>
          </w:p>
        </w:tc>
      </w:tr>
      <w:tr>
        <w:trPr>
          <w:trHeight w:val="189"/>
        </w:trPr>
        <w:tc>
          <w:tcPr>
            <w:tcW w:w="3120" w:type="dxa"/>
            <w:vAlign w:val="bottom"/>
            <w:tcBorders>
              <w:bottom w:val="single" w:sz="8" w:color="003B71"/>
            </w:tcBorders>
          </w:tcPr>
          <w:p>
            <w:pPr>
              <w:ind w:left="80"/>
              <w:spacing w:after="0"/>
              <w:rPr>
                <w:sz w:val="20"/>
                <w:szCs w:val="20"/>
                <w:color w:val="auto"/>
              </w:rPr>
            </w:pPr>
            <w:r>
              <w:rPr>
                <w:rFonts w:ascii="Arial" w:cs="Arial" w:eastAsia="Arial" w:hAnsi="Arial"/>
                <w:sz w:val="16"/>
                <w:szCs w:val="16"/>
                <w:color w:val="auto"/>
              </w:rPr>
              <w:t>Maximum</w:t>
            </w:r>
          </w:p>
        </w:tc>
        <w:tc>
          <w:tcPr>
            <w:tcW w:w="840" w:type="dxa"/>
            <w:vAlign w:val="bottom"/>
            <w:tcBorders>
              <w:bottom w:val="single" w:sz="8" w:color="003B71"/>
            </w:tcBorders>
          </w:tcPr>
          <w:p>
            <w:pPr>
              <w:jc w:val="center"/>
              <w:ind w:left="66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003B71"/>
            </w:tcBorders>
          </w:tcPr>
          <w:p>
            <w:pPr>
              <w:jc w:val="right"/>
              <w:ind w:right="41"/>
              <w:spacing w:after="0"/>
              <w:rPr>
                <w:sz w:val="20"/>
                <w:szCs w:val="20"/>
                <w:color w:val="auto"/>
              </w:rPr>
            </w:pPr>
            <w:r>
              <w:rPr>
                <w:rFonts w:ascii="Arial" w:cs="Arial" w:eastAsia="Arial" w:hAnsi="Arial"/>
                <w:sz w:val="16"/>
                <w:szCs w:val="16"/>
                <w:color w:val="auto"/>
                <w:w w:val="97"/>
              </w:rPr>
              <w:t>1,174.8</w:t>
            </w:r>
          </w:p>
        </w:tc>
        <w:tc>
          <w:tcPr>
            <w:tcW w:w="1460" w:type="dxa"/>
            <w:vAlign w:val="bottom"/>
            <w:tcBorders>
              <w:bottom w:val="single" w:sz="8" w:color="003B71"/>
            </w:tcBorders>
          </w:tcPr>
          <w:p>
            <w:pPr>
              <w:jc w:val="right"/>
              <w:ind w:right="144"/>
              <w:spacing w:after="0"/>
              <w:rPr>
                <w:sz w:val="20"/>
                <w:szCs w:val="20"/>
                <w:color w:val="auto"/>
              </w:rPr>
            </w:pPr>
            <w:r>
              <w:rPr>
                <w:rFonts w:ascii="Arial" w:cs="Arial" w:eastAsia="Arial" w:hAnsi="Arial"/>
                <w:sz w:val="16"/>
                <w:szCs w:val="16"/>
                <w:color w:val="auto"/>
              </w:rPr>
              <w:t>120.0%</w:t>
            </w:r>
          </w:p>
        </w:tc>
        <w:tc>
          <w:tcPr>
            <w:tcW w:w="900" w:type="dxa"/>
            <w:vAlign w:val="bottom"/>
            <w:tcBorders>
              <w:bottom w:val="single" w:sz="8" w:color="003B71"/>
            </w:tcBorders>
          </w:tcPr>
          <w:p>
            <w:pPr>
              <w:jc w:val="right"/>
              <w:spacing w:after="0"/>
              <w:rPr>
                <w:sz w:val="20"/>
                <w:szCs w:val="20"/>
                <w:color w:val="auto"/>
              </w:rPr>
            </w:pPr>
            <w:r>
              <w:rPr>
                <w:rFonts w:ascii="Arial" w:cs="Arial" w:eastAsia="Arial" w:hAnsi="Arial"/>
                <w:sz w:val="16"/>
                <w:szCs w:val="16"/>
                <w:color w:val="auto"/>
              </w:rPr>
              <w:t>200.0%</w:t>
            </w:r>
          </w:p>
        </w:tc>
        <w:tc>
          <w:tcPr>
            <w:tcW w:w="320" w:type="dxa"/>
            <w:vAlign w:val="bottom"/>
            <w:tcBorders>
              <w:bottom w:val="single" w:sz="8" w:color="003B71"/>
            </w:tcBorders>
          </w:tcPr>
          <w:p>
            <w:pPr>
              <w:spacing w:after="0"/>
              <w:rPr>
                <w:sz w:val="16"/>
                <w:szCs w:val="16"/>
                <w:color w:val="auto"/>
              </w:rPr>
            </w:pPr>
          </w:p>
        </w:tc>
        <w:tc>
          <w:tcPr>
            <w:tcW w:w="1440" w:type="dxa"/>
            <w:vAlign w:val="bottom"/>
            <w:tcBorders>
              <w:bottom w:val="single" w:sz="8" w:color="003B71"/>
            </w:tcBorders>
          </w:tcPr>
          <w:p>
            <w:pPr>
              <w:jc w:val="right"/>
              <w:ind w:right="102"/>
              <w:spacing w:after="0"/>
              <w:rPr>
                <w:sz w:val="20"/>
                <w:szCs w:val="20"/>
                <w:color w:val="auto"/>
              </w:rPr>
            </w:pPr>
            <w:r>
              <w:rPr>
                <w:rFonts w:ascii="Arial" w:cs="Arial" w:eastAsia="Arial" w:hAnsi="Arial"/>
                <w:sz w:val="16"/>
                <w:szCs w:val="16"/>
                <w:color w:val="auto"/>
              </w:rPr>
              <w:t>3.6%</w:t>
            </w:r>
          </w:p>
        </w:tc>
        <w:tc>
          <w:tcPr>
            <w:tcW w:w="1320" w:type="dxa"/>
            <w:vAlign w:val="bottom"/>
            <w:tcBorders>
              <w:bottom w:val="single" w:sz="8" w:color="003B71"/>
            </w:tcBorders>
          </w:tcPr>
          <w:p>
            <w:pPr>
              <w:jc w:val="right"/>
              <w:ind w:right="43"/>
              <w:spacing w:after="0"/>
              <w:rPr>
                <w:sz w:val="20"/>
                <w:szCs w:val="20"/>
                <w:color w:val="auto"/>
              </w:rPr>
            </w:pPr>
            <w:r>
              <w:rPr>
                <w:rFonts w:ascii="Arial" w:cs="Arial" w:eastAsia="Arial" w:hAnsi="Arial"/>
                <w:sz w:val="16"/>
                <w:szCs w:val="16"/>
                <w:color w:val="auto"/>
              </w:rPr>
              <w:t>120.0%</w:t>
            </w:r>
          </w:p>
        </w:tc>
        <w:tc>
          <w:tcPr>
            <w:tcW w:w="960" w:type="dxa"/>
            <w:vAlign w:val="bottom"/>
            <w:tcBorders>
              <w:bottom w:val="single" w:sz="8" w:color="003B71"/>
            </w:tcBorders>
          </w:tcPr>
          <w:p>
            <w:pPr>
              <w:jc w:val="right"/>
              <w:ind w:right="43"/>
              <w:spacing w:after="0"/>
              <w:rPr>
                <w:sz w:val="20"/>
                <w:szCs w:val="20"/>
                <w:color w:val="auto"/>
              </w:rPr>
            </w:pPr>
            <w:r>
              <w:rPr>
                <w:rFonts w:ascii="Arial" w:cs="Arial" w:eastAsia="Arial" w:hAnsi="Arial"/>
                <w:sz w:val="16"/>
                <w:szCs w:val="16"/>
                <w:color w:val="auto"/>
              </w:rPr>
              <w:t>200.0%</w:t>
            </w:r>
          </w:p>
        </w:tc>
      </w:tr>
    </w:tbl>
    <w:p>
      <w:pPr>
        <w:spacing w:after="0" w:line="83" w:lineRule="exact"/>
        <w:rPr>
          <w:sz w:val="20"/>
          <w:szCs w:val="20"/>
          <w:color w:val="auto"/>
        </w:rPr>
      </w:pPr>
    </w:p>
    <w:p>
      <w:pPr>
        <w:ind w:left="540" w:hanging="424"/>
        <w:spacing w:after="0"/>
        <w:tabs>
          <w:tab w:leader="none" w:pos="5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Performance and payouts are subject to straight-line interpolation between points.</w:t>
      </w:r>
    </w:p>
    <w:p>
      <w:pPr>
        <w:spacing w:after="0" w:line="86" w:lineRule="exact"/>
        <w:rPr>
          <w:rFonts w:ascii="Arial" w:cs="Arial" w:eastAsia="Arial" w:hAnsi="Arial"/>
          <w:sz w:val="16"/>
          <w:szCs w:val="16"/>
          <w:color w:val="auto"/>
        </w:rPr>
      </w:pPr>
    </w:p>
    <w:p>
      <w:pPr>
        <w:ind w:left="540" w:hanging="424"/>
        <w:spacing w:after="0"/>
        <w:tabs>
          <w:tab w:leader="none" w:pos="5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Monthly ROIC for new stores opening during the three-year performance period.</w:t>
      </w:r>
    </w:p>
    <w:p>
      <w:pPr>
        <w:spacing w:after="0" w:line="200"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i w:val="1"/>
          <w:iCs w:val="1"/>
          <w:color w:val="auto"/>
        </w:rPr>
        <w:t xml:space="preserve">Off-Cycle Grants. </w:t>
      </w:r>
      <w:r>
        <w:rPr>
          <w:rFonts w:ascii="Arial" w:cs="Arial" w:eastAsia="Arial" w:hAnsi="Arial"/>
          <w:sz w:val="18"/>
          <w:szCs w:val="18"/>
          <w:color w:val="auto"/>
        </w:rPr>
        <w:t>During fiscal year 2019, the Compensation Committee did not award any off-cycle grants to any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NEOs, except for Mr. Bowman’s grant of time-based RSUs in connection with his joining the Company as CFO in May 2019. The RSUs vest in three equal installments on the first, second and third anniversary of the grant.</w:t>
      </w:r>
    </w:p>
    <w:p>
      <w:pPr>
        <w:spacing w:after="0" w:line="177" w:lineRule="exact"/>
        <w:rPr>
          <w:sz w:val="20"/>
          <w:szCs w:val="20"/>
          <w:color w:val="auto"/>
        </w:rPr>
      </w:pPr>
    </w:p>
    <w:p>
      <w:pPr>
        <w:jc w:val="both"/>
        <w:ind w:left="120" w:right="20"/>
        <w:spacing w:after="0" w:line="245" w:lineRule="auto"/>
        <w:rPr>
          <w:sz w:val="20"/>
          <w:szCs w:val="20"/>
          <w:color w:val="auto"/>
        </w:rPr>
      </w:pPr>
      <w:r>
        <w:rPr>
          <w:rFonts w:ascii="Arial" w:cs="Arial" w:eastAsia="Arial" w:hAnsi="Arial"/>
          <w:sz w:val="18"/>
          <w:szCs w:val="18"/>
          <w:i w:val="1"/>
          <w:iCs w:val="1"/>
          <w:color w:val="auto"/>
        </w:rPr>
        <w:t>2017 Long Term Incentive Award Payout</w:t>
      </w:r>
      <w:r>
        <w:rPr>
          <w:rFonts w:ascii="Arial" w:cs="Arial" w:eastAsia="Arial" w:hAnsi="Arial"/>
          <w:sz w:val="18"/>
          <w:szCs w:val="18"/>
          <w:color w:val="auto"/>
        </w:rPr>
        <w:t>. During fiscal 2017, the Compensation Committee awarded executive officers,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NEOs, and other key management personnel a combination of service-based Stock Options with gradual vesting schedules, and RSUs and Performance Cash that would vest upon the attainment of pre-established cumulative performance targets during the 2017, 2018, and 2019 fiscal years.</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140" w:type="dxa"/>
            <w:vAlign w:val="bottom"/>
            <w:gridSpan w:val="4"/>
          </w:tcPr>
          <w:p>
            <w:pPr>
              <w:jc w:val="right"/>
              <w:spacing w:after="0"/>
              <w:rPr>
                <w:sz w:val="20"/>
                <w:szCs w:val="20"/>
                <w:color w:val="auto"/>
              </w:rPr>
            </w:pPr>
            <w:r>
              <w:rPr>
                <w:rFonts w:ascii="Arial" w:cs="Arial" w:eastAsia="Arial" w:hAnsi="Arial"/>
                <w:sz w:val="14"/>
                <w:szCs w:val="14"/>
                <w:b w:val="1"/>
                <w:bCs w:val="1"/>
                <w:color w:val="003B71"/>
              </w:rPr>
              <w:t>2017-2019 PSU and Performance Cash Grant</w:t>
            </w: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5"/>
        </w:trPr>
        <w:tc>
          <w:tcPr>
            <w:tcW w:w="3240" w:type="dxa"/>
            <w:vAlign w:val="bottom"/>
          </w:tcPr>
          <w:p>
            <w:pPr>
              <w:spacing w:after="0"/>
              <w:rPr>
                <w:sz w:val="15"/>
                <w:szCs w:val="15"/>
                <w:color w:val="auto"/>
              </w:rPr>
            </w:pPr>
          </w:p>
        </w:tc>
        <w:tc>
          <w:tcPr>
            <w:tcW w:w="2860" w:type="dxa"/>
            <w:vAlign w:val="bottom"/>
            <w:tcBorders>
              <w:bottom w:val="single" w:sz="8" w:color="003B71"/>
            </w:tcBorders>
            <w:gridSpan w:val="2"/>
          </w:tcPr>
          <w:p>
            <w:pPr>
              <w:jc w:val="right"/>
              <w:spacing w:after="0"/>
              <w:rPr>
                <w:sz w:val="20"/>
                <w:szCs w:val="20"/>
                <w:color w:val="auto"/>
              </w:rPr>
            </w:pPr>
            <w:r>
              <w:rPr>
                <w:rFonts w:ascii="Arial" w:cs="Arial" w:eastAsia="Arial" w:hAnsi="Arial"/>
                <w:sz w:val="14"/>
                <w:szCs w:val="14"/>
                <w:b w:val="1"/>
                <w:bCs w:val="1"/>
                <w:color w:val="003B71"/>
              </w:rPr>
              <w:t>3-Year Cumulative EBITDA</w:t>
            </w:r>
          </w:p>
        </w:tc>
        <w:tc>
          <w:tcPr>
            <w:tcW w:w="880" w:type="dxa"/>
            <w:vAlign w:val="bottom"/>
            <w:tcBorders>
              <w:bottom w:val="single" w:sz="8" w:color="003B71"/>
            </w:tcBorders>
          </w:tcPr>
          <w:p>
            <w:pPr>
              <w:spacing w:after="0"/>
              <w:rPr>
                <w:sz w:val="15"/>
                <w:szCs w:val="15"/>
                <w:color w:val="auto"/>
              </w:rPr>
            </w:pPr>
          </w:p>
        </w:tc>
        <w:tc>
          <w:tcPr>
            <w:tcW w:w="320" w:type="dxa"/>
            <w:vAlign w:val="bottom"/>
          </w:tcPr>
          <w:p>
            <w:pPr>
              <w:spacing w:after="0"/>
              <w:rPr>
                <w:sz w:val="15"/>
                <w:szCs w:val="15"/>
                <w:color w:val="auto"/>
              </w:rPr>
            </w:pPr>
          </w:p>
        </w:tc>
        <w:tc>
          <w:tcPr>
            <w:tcW w:w="2760" w:type="dxa"/>
            <w:vAlign w:val="bottom"/>
            <w:tcBorders>
              <w:bottom w:val="single" w:sz="8" w:color="003B71"/>
            </w:tcBorders>
            <w:gridSpan w:val="2"/>
          </w:tcPr>
          <w:p>
            <w:pPr>
              <w:jc w:val="right"/>
              <w:spacing w:after="0"/>
              <w:rPr>
                <w:sz w:val="20"/>
                <w:szCs w:val="20"/>
                <w:color w:val="auto"/>
              </w:rPr>
            </w:pPr>
            <w:r>
              <w:rPr>
                <w:rFonts w:ascii="Arial" w:cs="Arial" w:eastAsia="Arial" w:hAnsi="Arial"/>
                <w:sz w:val="14"/>
                <w:szCs w:val="14"/>
                <w:b w:val="1"/>
                <w:bCs w:val="1"/>
                <w:color w:val="003B71"/>
              </w:rPr>
              <w:t>3-Year Cumulative ROIC</w:t>
            </w:r>
          </w:p>
        </w:tc>
        <w:tc>
          <w:tcPr>
            <w:tcW w:w="960" w:type="dxa"/>
            <w:vAlign w:val="bottom"/>
            <w:tcBorders>
              <w:bottom w:val="single" w:sz="8" w:color="003B71"/>
            </w:tcBorders>
          </w:tcPr>
          <w:p>
            <w:pPr>
              <w:spacing w:after="0"/>
              <w:rPr>
                <w:sz w:val="15"/>
                <w:szCs w:val="15"/>
                <w:color w:val="auto"/>
              </w:rPr>
            </w:pPr>
          </w:p>
        </w:tc>
      </w:tr>
      <w:tr>
        <w:trPr>
          <w:trHeight w:val="142"/>
        </w:trPr>
        <w:tc>
          <w:tcPr>
            <w:tcW w:w="3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80" w:type="dxa"/>
            <w:vAlign w:val="bottom"/>
          </w:tcPr>
          <w:p>
            <w:pPr>
              <w:jc w:val="center"/>
              <w:ind w:right="44"/>
              <w:spacing w:after="0" w:line="143" w:lineRule="exact"/>
              <w:rPr>
                <w:sz w:val="20"/>
                <w:szCs w:val="20"/>
                <w:color w:val="auto"/>
              </w:rPr>
            </w:pPr>
            <w:r>
              <w:rPr>
                <w:rFonts w:ascii="Arial" w:cs="Arial" w:eastAsia="Arial" w:hAnsi="Arial"/>
                <w:sz w:val="14"/>
                <w:szCs w:val="14"/>
                <w:b w:val="1"/>
                <w:bCs w:val="1"/>
                <w:color w:val="003B71"/>
              </w:rPr>
              <w:t>Performance</w:t>
            </w:r>
          </w:p>
        </w:tc>
        <w:tc>
          <w:tcPr>
            <w:tcW w:w="880" w:type="dxa"/>
            <w:vAlign w:val="bottom"/>
          </w:tcPr>
          <w:p>
            <w:pPr>
              <w:ind w:left="20"/>
              <w:spacing w:after="0" w:line="143" w:lineRule="exact"/>
              <w:rPr>
                <w:sz w:val="20"/>
                <w:szCs w:val="20"/>
                <w:color w:val="auto"/>
              </w:rPr>
            </w:pPr>
            <w:r>
              <w:rPr>
                <w:rFonts w:ascii="Arial" w:cs="Arial" w:eastAsia="Arial" w:hAnsi="Arial"/>
                <w:sz w:val="14"/>
                <w:szCs w:val="14"/>
                <w:b w:val="1"/>
                <w:bCs w:val="1"/>
                <w:color w:val="003B71"/>
              </w:rPr>
              <w:t>Payout as a</w:t>
            </w: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00" w:type="dxa"/>
            <w:vAlign w:val="bottom"/>
          </w:tcPr>
          <w:p>
            <w:pPr>
              <w:jc w:val="center"/>
              <w:spacing w:after="0" w:line="143" w:lineRule="exact"/>
              <w:rPr>
                <w:sz w:val="20"/>
                <w:szCs w:val="20"/>
                <w:color w:val="auto"/>
              </w:rPr>
            </w:pPr>
            <w:r>
              <w:rPr>
                <w:rFonts w:ascii="Arial" w:cs="Arial" w:eastAsia="Arial" w:hAnsi="Arial"/>
                <w:sz w:val="14"/>
                <w:szCs w:val="14"/>
                <w:b w:val="1"/>
                <w:bCs w:val="1"/>
                <w:color w:val="003B71"/>
              </w:rPr>
              <w:t>Performance</w:t>
            </w:r>
          </w:p>
        </w:tc>
        <w:tc>
          <w:tcPr>
            <w:tcW w:w="960" w:type="dxa"/>
            <w:vAlign w:val="bottom"/>
          </w:tcPr>
          <w:p>
            <w:pPr>
              <w:jc w:val="right"/>
              <w:ind w:right="43"/>
              <w:spacing w:after="0" w:line="143" w:lineRule="exact"/>
              <w:rPr>
                <w:sz w:val="20"/>
                <w:szCs w:val="20"/>
                <w:color w:val="auto"/>
              </w:rPr>
            </w:pPr>
            <w:r>
              <w:rPr>
                <w:rFonts w:ascii="Arial" w:cs="Arial" w:eastAsia="Arial" w:hAnsi="Arial"/>
                <w:sz w:val="14"/>
                <w:szCs w:val="14"/>
                <w:b w:val="1"/>
                <w:bCs w:val="1"/>
                <w:color w:val="003B71"/>
              </w:rPr>
              <w:t>Payout as a</w:t>
            </w:r>
          </w:p>
        </w:tc>
      </w:tr>
      <w:tr>
        <w:trPr>
          <w:trHeight w:val="162"/>
        </w:trPr>
        <w:tc>
          <w:tcPr>
            <w:tcW w:w="3240" w:type="dxa"/>
            <w:vAlign w:val="bottom"/>
          </w:tcPr>
          <w:p>
            <w:pPr>
              <w:spacing w:after="0"/>
              <w:rPr>
                <w:sz w:val="14"/>
                <w:szCs w:val="14"/>
                <w:color w:val="auto"/>
              </w:rPr>
            </w:pPr>
          </w:p>
        </w:tc>
        <w:tc>
          <w:tcPr>
            <w:tcW w:w="1380" w:type="dxa"/>
            <w:vAlign w:val="bottom"/>
          </w:tcPr>
          <w:p>
            <w:pPr>
              <w:jc w:val="right"/>
              <w:ind w:right="123"/>
              <w:spacing w:after="0"/>
              <w:rPr>
                <w:sz w:val="20"/>
                <w:szCs w:val="20"/>
                <w:color w:val="auto"/>
              </w:rPr>
            </w:pPr>
            <w:r>
              <w:rPr>
                <w:rFonts w:ascii="Arial" w:cs="Arial" w:eastAsia="Arial" w:hAnsi="Arial"/>
                <w:sz w:val="14"/>
                <w:szCs w:val="14"/>
                <w:b w:val="1"/>
                <w:bCs w:val="1"/>
                <w:color w:val="003B71"/>
              </w:rPr>
              <w:t>Performance</w:t>
            </w:r>
          </w:p>
        </w:tc>
        <w:tc>
          <w:tcPr>
            <w:tcW w:w="1480" w:type="dxa"/>
            <w:vAlign w:val="bottom"/>
          </w:tcPr>
          <w:p>
            <w:pPr>
              <w:jc w:val="center"/>
              <w:ind w:right="44"/>
              <w:spacing w:after="0"/>
              <w:rPr>
                <w:sz w:val="20"/>
                <w:szCs w:val="20"/>
                <w:color w:val="auto"/>
              </w:rPr>
            </w:pPr>
            <w:r>
              <w:rPr>
                <w:rFonts w:ascii="Arial" w:cs="Arial" w:eastAsia="Arial" w:hAnsi="Arial"/>
                <w:sz w:val="14"/>
                <w:szCs w:val="14"/>
                <w:b w:val="1"/>
                <w:bCs w:val="1"/>
                <w:color w:val="003B71"/>
              </w:rPr>
              <w:t>as a Percentage</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003B71"/>
              </w:rPr>
              <w:t>Percentage</w:t>
            </w:r>
          </w:p>
        </w:tc>
        <w:tc>
          <w:tcPr>
            <w:tcW w:w="14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3B71"/>
              </w:rPr>
              <w:t>as a Percentage</w:t>
            </w:r>
          </w:p>
        </w:tc>
        <w:tc>
          <w:tcPr>
            <w:tcW w:w="960" w:type="dxa"/>
            <w:vAlign w:val="bottom"/>
          </w:tcPr>
          <w:p>
            <w:pPr>
              <w:jc w:val="right"/>
              <w:ind w:right="63"/>
              <w:spacing w:after="0"/>
              <w:rPr>
                <w:sz w:val="20"/>
                <w:szCs w:val="20"/>
                <w:color w:val="auto"/>
              </w:rPr>
            </w:pPr>
            <w:r>
              <w:rPr>
                <w:rFonts w:ascii="Arial" w:cs="Arial" w:eastAsia="Arial" w:hAnsi="Arial"/>
                <w:sz w:val="14"/>
                <w:szCs w:val="14"/>
                <w:b w:val="1"/>
                <w:bCs w:val="1"/>
                <w:color w:val="003B71"/>
              </w:rPr>
              <w:t>Percentage</w:t>
            </w:r>
          </w:p>
        </w:tc>
      </w:tr>
      <w:tr>
        <w:trPr>
          <w:trHeight w:val="175"/>
        </w:trPr>
        <w:tc>
          <w:tcPr>
            <w:tcW w:w="3240" w:type="dxa"/>
            <w:vAlign w:val="bottom"/>
            <w:tcBorders>
              <w:bottom w:val="single" w:sz="8" w:color="003B71"/>
            </w:tcBorders>
          </w:tcPr>
          <w:p>
            <w:pPr>
              <w:spacing w:after="0"/>
              <w:rPr>
                <w:sz w:val="15"/>
                <w:szCs w:val="15"/>
                <w:color w:val="auto"/>
              </w:rPr>
            </w:pPr>
          </w:p>
        </w:tc>
        <w:tc>
          <w:tcPr>
            <w:tcW w:w="1380" w:type="dxa"/>
            <w:vAlign w:val="bottom"/>
            <w:tcBorders>
              <w:bottom w:val="single" w:sz="8" w:color="003B71"/>
            </w:tcBorders>
          </w:tcPr>
          <w:p>
            <w:pPr>
              <w:jc w:val="right"/>
              <w:ind w:right="163"/>
              <w:spacing w:after="0"/>
              <w:rPr>
                <w:sz w:val="20"/>
                <w:szCs w:val="20"/>
                <w:color w:val="auto"/>
              </w:rPr>
            </w:pPr>
            <w:r>
              <w:rPr>
                <w:rFonts w:ascii="Arial" w:cs="Arial" w:eastAsia="Arial" w:hAnsi="Arial"/>
                <w:sz w:val="14"/>
                <w:szCs w:val="14"/>
                <w:b w:val="1"/>
                <w:bCs w:val="1"/>
                <w:color w:val="003B71"/>
              </w:rPr>
              <w:t>(in millions)</w:t>
            </w:r>
          </w:p>
        </w:tc>
        <w:tc>
          <w:tcPr>
            <w:tcW w:w="1480" w:type="dxa"/>
            <w:vAlign w:val="bottom"/>
            <w:tcBorders>
              <w:bottom w:val="single" w:sz="8" w:color="003B71"/>
            </w:tcBorders>
          </w:tcPr>
          <w:p>
            <w:pPr>
              <w:jc w:val="center"/>
              <w:ind w:right="44"/>
              <w:spacing w:after="0"/>
              <w:rPr>
                <w:sz w:val="20"/>
                <w:szCs w:val="20"/>
                <w:color w:val="auto"/>
              </w:rPr>
            </w:pPr>
            <w:r>
              <w:rPr>
                <w:rFonts w:ascii="Arial" w:cs="Arial" w:eastAsia="Arial" w:hAnsi="Arial"/>
                <w:sz w:val="14"/>
                <w:szCs w:val="14"/>
                <w:b w:val="1"/>
                <w:bCs w:val="1"/>
                <w:color w:val="003B71"/>
              </w:rPr>
              <w:t>of Target</w:t>
            </w:r>
          </w:p>
        </w:tc>
        <w:tc>
          <w:tcPr>
            <w:tcW w:w="1200" w:type="dxa"/>
            <w:vAlign w:val="bottom"/>
            <w:tcBorders>
              <w:bottom w:val="single" w:sz="8" w:color="003B71"/>
            </w:tcBorders>
            <w:gridSpan w:val="2"/>
          </w:tcPr>
          <w:p>
            <w:pPr>
              <w:ind w:left="20"/>
              <w:spacing w:after="0"/>
              <w:rPr>
                <w:sz w:val="20"/>
                <w:szCs w:val="20"/>
                <w:color w:val="auto"/>
              </w:rPr>
            </w:pPr>
            <w:r>
              <w:rPr>
                <w:rFonts w:ascii="Arial" w:cs="Arial" w:eastAsia="Arial" w:hAnsi="Arial"/>
                <w:sz w:val="14"/>
                <w:szCs w:val="14"/>
                <w:b w:val="1"/>
                <w:bCs w:val="1"/>
                <w:color w:val="003B71"/>
              </w:rPr>
              <w:t>of Target(1)</w:t>
            </w:r>
          </w:p>
        </w:tc>
        <w:tc>
          <w:tcPr>
            <w:tcW w:w="1460" w:type="dxa"/>
            <w:vAlign w:val="bottom"/>
            <w:tcBorders>
              <w:bottom w:val="single" w:sz="8" w:color="003B71"/>
            </w:tcBorders>
          </w:tcPr>
          <w:p>
            <w:pPr>
              <w:jc w:val="right"/>
              <w:ind w:right="122"/>
              <w:spacing w:after="0"/>
              <w:rPr>
                <w:sz w:val="20"/>
                <w:szCs w:val="20"/>
                <w:color w:val="auto"/>
              </w:rPr>
            </w:pPr>
            <w:r>
              <w:rPr>
                <w:rFonts w:ascii="Arial" w:cs="Arial" w:eastAsia="Arial" w:hAnsi="Arial"/>
                <w:sz w:val="14"/>
                <w:szCs w:val="14"/>
                <w:b w:val="1"/>
                <w:bCs w:val="1"/>
                <w:color w:val="003B71"/>
              </w:rPr>
              <w:t>Performance(2)</w:t>
            </w:r>
          </w:p>
        </w:tc>
        <w:tc>
          <w:tcPr>
            <w:tcW w:w="130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of Target</w:t>
            </w:r>
          </w:p>
        </w:tc>
        <w:tc>
          <w:tcPr>
            <w:tcW w:w="960" w:type="dxa"/>
            <w:vAlign w:val="bottom"/>
            <w:tcBorders>
              <w:bottom w:val="single" w:sz="8" w:color="003B71"/>
            </w:tcBorders>
          </w:tcPr>
          <w:p>
            <w:pPr>
              <w:jc w:val="right"/>
              <w:ind w:right="63"/>
              <w:spacing w:after="0"/>
              <w:rPr>
                <w:sz w:val="20"/>
                <w:szCs w:val="20"/>
                <w:color w:val="auto"/>
              </w:rPr>
            </w:pPr>
            <w:r>
              <w:rPr>
                <w:rFonts w:ascii="Arial" w:cs="Arial" w:eastAsia="Arial" w:hAnsi="Arial"/>
                <w:sz w:val="14"/>
                <w:szCs w:val="14"/>
                <w:b w:val="1"/>
                <w:bCs w:val="1"/>
                <w:color w:val="003B71"/>
              </w:rPr>
              <w:t>of Target(1)</w:t>
            </w:r>
          </w:p>
        </w:tc>
      </w:tr>
      <w:tr>
        <w:trPr>
          <w:trHeight w:val="183"/>
        </w:trPr>
        <w:tc>
          <w:tcPr>
            <w:tcW w:w="324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Below Threshold</w:t>
            </w:r>
          </w:p>
        </w:tc>
        <w:tc>
          <w:tcPr>
            <w:tcW w:w="1380" w:type="dxa"/>
            <w:vAlign w:val="bottom"/>
            <w:shd w:val="clear" w:color="auto" w:fill="E5E5E5"/>
          </w:tcPr>
          <w:p>
            <w:pPr>
              <w:jc w:val="right"/>
              <w:ind w:right="43"/>
              <w:spacing w:after="0" w:line="183" w:lineRule="exact"/>
              <w:rPr>
                <w:sz w:val="20"/>
                <w:szCs w:val="20"/>
                <w:color w:val="auto"/>
              </w:rPr>
            </w:pPr>
            <w:r>
              <w:rPr>
                <w:rFonts w:ascii="Arial" w:cs="Arial" w:eastAsia="Arial" w:hAnsi="Arial"/>
                <w:sz w:val="16"/>
                <w:szCs w:val="16"/>
                <w:color w:val="auto"/>
              </w:rPr>
              <w:t>Below $783.1</w:t>
            </w:r>
          </w:p>
        </w:tc>
        <w:tc>
          <w:tcPr>
            <w:tcW w:w="1480" w:type="dxa"/>
            <w:vAlign w:val="bottom"/>
            <w:shd w:val="clear" w:color="auto" w:fill="E5E5E5"/>
          </w:tcPr>
          <w:p>
            <w:pPr>
              <w:jc w:val="right"/>
              <w:ind w:right="164"/>
              <w:spacing w:after="0" w:line="183" w:lineRule="exact"/>
              <w:rPr>
                <w:sz w:val="20"/>
                <w:szCs w:val="20"/>
                <w:color w:val="auto"/>
              </w:rPr>
            </w:pPr>
            <w:r>
              <w:rPr>
                <w:rFonts w:ascii="Arial" w:cs="Arial" w:eastAsia="Arial" w:hAnsi="Arial"/>
                <w:sz w:val="16"/>
                <w:szCs w:val="16"/>
                <w:color w:val="auto"/>
              </w:rPr>
              <w:t>Below 85.0%</w:t>
            </w:r>
          </w:p>
        </w:tc>
        <w:tc>
          <w:tcPr>
            <w:tcW w:w="88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0.0%</w:t>
            </w:r>
          </w:p>
        </w:tc>
        <w:tc>
          <w:tcPr>
            <w:tcW w:w="320" w:type="dxa"/>
            <w:vAlign w:val="bottom"/>
            <w:shd w:val="clear" w:color="auto" w:fill="E5E5E5"/>
          </w:tcPr>
          <w:p>
            <w:pPr>
              <w:spacing w:after="0"/>
              <w:rPr>
                <w:sz w:val="15"/>
                <w:szCs w:val="15"/>
                <w:color w:val="auto"/>
              </w:rPr>
            </w:pPr>
          </w:p>
        </w:tc>
        <w:tc>
          <w:tcPr>
            <w:tcW w:w="1460" w:type="dxa"/>
            <w:vAlign w:val="bottom"/>
            <w:shd w:val="clear" w:color="auto" w:fill="E5E5E5"/>
          </w:tcPr>
          <w:p>
            <w:pPr>
              <w:jc w:val="right"/>
              <w:ind w:right="122"/>
              <w:spacing w:after="0" w:line="183" w:lineRule="exact"/>
              <w:rPr>
                <w:sz w:val="20"/>
                <w:szCs w:val="20"/>
                <w:color w:val="auto"/>
              </w:rPr>
            </w:pPr>
            <w:r>
              <w:rPr>
                <w:rFonts w:ascii="Arial" w:cs="Arial" w:eastAsia="Arial" w:hAnsi="Arial"/>
                <w:sz w:val="16"/>
                <w:szCs w:val="16"/>
                <w:color w:val="auto"/>
              </w:rPr>
              <w:t>Below 2.13%</w:t>
            </w:r>
          </w:p>
        </w:tc>
        <w:tc>
          <w:tcPr>
            <w:tcW w:w="1300" w:type="dxa"/>
            <w:vAlign w:val="bottom"/>
            <w:shd w:val="clear" w:color="auto" w:fill="E5E5E5"/>
          </w:tcPr>
          <w:p>
            <w:pPr>
              <w:jc w:val="right"/>
              <w:ind w:right="43"/>
              <w:spacing w:after="0" w:line="183" w:lineRule="exact"/>
              <w:rPr>
                <w:sz w:val="20"/>
                <w:szCs w:val="20"/>
                <w:color w:val="auto"/>
              </w:rPr>
            </w:pPr>
            <w:r>
              <w:rPr>
                <w:rFonts w:ascii="Arial" w:cs="Arial" w:eastAsia="Arial" w:hAnsi="Arial"/>
                <w:sz w:val="16"/>
                <w:szCs w:val="16"/>
                <w:color w:val="auto"/>
              </w:rPr>
              <w:t>Below 85.0%</w:t>
            </w:r>
          </w:p>
        </w:tc>
        <w:tc>
          <w:tcPr>
            <w:tcW w:w="960" w:type="dxa"/>
            <w:vAlign w:val="bottom"/>
            <w:shd w:val="clear" w:color="auto" w:fill="E5E5E5"/>
          </w:tcPr>
          <w:p>
            <w:pPr>
              <w:jc w:val="right"/>
              <w:ind w:right="43"/>
              <w:spacing w:after="0" w:line="183" w:lineRule="exact"/>
              <w:rPr>
                <w:sz w:val="20"/>
                <w:szCs w:val="20"/>
                <w:color w:val="auto"/>
              </w:rPr>
            </w:pPr>
            <w:r>
              <w:rPr>
                <w:rFonts w:ascii="Arial" w:cs="Arial" w:eastAsia="Arial" w:hAnsi="Arial"/>
                <w:sz w:val="16"/>
                <w:szCs w:val="16"/>
                <w:color w:val="auto"/>
              </w:rPr>
              <w:t>0.0%</w:t>
            </w:r>
          </w:p>
        </w:tc>
      </w:tr>
      <w:tr>
        <w:trPr>
          <w:trHeight w:val="189"/>
        </w:trPr>
        <w:tc>
          <w:tcPr>
            <w:tcW w:w="3240" w:type="dxa"/>
            <w:vAlign w:val="bottom"/>
          </w:tcPr>
          <w:p>
            <w:pPr>
              <w:ind w:left="80"/>
              <w:spacing w:after="0"/>
              <w:rPr>
                <w:sz w:val="20"/>
                <w:szCs w:val="20"/>
                <w:color w:val="auto"/>
              </w:rPr>
            </w:pPr>
            <w:r>
              <w:rPr>
                <w:rFonts w:ascii="Arial" w:cs="Arial" w:eastAsia="Arial" w:hAnsi="Arial"/>
                <w:sz w:val="16"/>
                <w:szCs w:val="16"/>
                <w:color w:val="auto"/>
              </w:rPr>
              <w:t>Threshold</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$783.1</w:t>
            </w:r>
          </w:p>
        </w:tc>
        <w:tc>
          <w:tcPr>
            <w:tcW w:w="1480" w:type="dxa"/>
            <w:vAlign w:val="bottom"/>
          </w:tcPr>
          <w:p>
            <w:pPr>
              <w:jc w:val="right"/>
              <w:ind w:right="164"/>
              <w:spacing w:after="0"/>
              <w:rPr>
                <w:sz w:val="20"/>
                <w:szCs w:val="20"/>
                <w:color w:val="auto"/>
              </w:rPr>
            </w:pPr>
            <w:r>
              <w:rPr>
                <w:rFonts w:ascii="Arial" w:cs="Arial" w:eastAsia="Arial" w:hAnsi="Arial"/>
                <w:sz w:val="16"/>
                <w:szCs w:val="16"/>
                <w:color w:val="auto"/>
              </w:rPr>
              <w:t>85.0%</w:t>
            </w:r>
          </w:p>
        </w:tc>
        <w:tc>
          <w:tcPr>
            <w:tcW w:w="880" w:type="dxa"/>
            <w:vAlign w:val="bottom"/>
          </w:tcPr>
          <w:p>
            <w:pPr>
              <w:jc w:val="right"/>
              <w:spacing w:after="0"/>
              <w:rPr>
                <w:sz w:val="20"/>
                <w:szCs w:val="20"/>
                <w:color w:val="auto"/>
              </w:rPr>
            </w:pPr>
            <w:r>
              <w:rPr>
                <w:rFonts w:ascii="Arial" w:cs="Arial" w:eastAsia="Arial" w:hAnsi="Arial"/>
                <w:sz w:val="16"/>
                <w:szCs w:val="16"/>
                <w:color w:val="auto"/>
              </w:rPr>
              <w:t>50.0%</w:t>
            </w:r>
          </w:p>
        </w:tc>
        <w:tc>
          <w:tcPr>
            <w:tcW w:w="320" w:type="dxa"/>
            <w:vAlign w:val="bottom"/>
          </w:tcPr>
          <w:p>
            <w:pPr>
              <w:spacing w:after="0"/>
              <w:rPr>
                <w:sz w:val="16"/>
                <w:szCs w:val="16"/>
                <w:color w:val="auto"/>
              </w:rPr>
            </w:pPr>
          </w:p>
        </w:tc>
        <w:tc>
          <w:tcPr>
            <w:tcW w:w="1460" w:type="dxa"/>
            <w:vAlign w:val="bottom"/>
          </w:tcPr>
          <w:p>
            <w:pPr>
              <w:jc w:val="right"/>
              <w:ind w:right="122"/>
              <w:spacing w:after="0"/>
              <w:rPr>
                <w:sz w:val="20"/>
                <w:szCs w:val="20"/>
                <w:color w:val="auto"/>
              </w:rPr>
            </w:pPr>
            <w:r>
              <w:rPr>
                <w:rFonts w:ascii="Arial" w:cs="Arial" w:eastAsia="Arial" w:hAnsi="Arial"/>
                <w:sz w:val="16"/>
                <w:szCs w:val="16"/>
                <w:color w:val="auto"/>
              </w:rPr>
              <w:t>2.13%</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85.0%</w:t>
            </w:r>
          </w:p>
        </w:tc>
        <w:tc>
          <w:tcPr>
            <w:tcW w:w="960" w:type="dxa"/>
            <w:vAlign w:val="bottom"/>
          </w:tcPr>
          <w:p>
            <w:pPr>
              <w:jc w:val="right"/>
              <w:ind w:right="43"/>
              <w:spacing w:after="0"/>
              <w:rPr>
                <w:sz w:val="20"/>
                <w:szCs w:val="20"/>
                <w:color w:val="auto"/>
              </w:rPr>
            </w:pPr>
            <w:r>
              <w:rPr>
                <w:rFonts w:ascii="Arial" w:cs="Arial" w:eastAsia="Arial" w:hAnsi="Arial"/>
                <w:sz w:val="16"/>
                <w:szCs w:val="16"/>
                <w:color w:val="auto"/>
              </w:rPr>
              <w:t>50.0%</w:t>
            </w:r>
          </w:p>
        </w:tc>
      </w:tr>
      <w:tr>
        <w:trPr>
          <w:trHeight w:val="189"/>
        </w:trPr>
        <w:tc>
          <w:tcPr>
            <w:tcW w:w="3240" w:type="dxa"/>
            <w:vAlign w:val="bottom"/>
            <w:shd w:val="clear" w:color="auto" w:fill="E5E5E5"/>
          </w:tcPr>
          <w:p>
            <w:pPr>
              <w:ind w:left="80"/>
              <w:spacing w:after="0"/>
              <w:rPr>
                <w:sz w:val="20"/>
                <w:szCs w:val="20"/>
                <w:color w:val="auto"/>
              </w:rPr>
            </w:pPr>
            <w:r>
              <w:rPr>
                <w:rFonts w:ascii="Arial" w:cs="Arial" w:eastAsia="Arial" w:hAnsi="Arial"/>
                <w:sz w:val="16"/>
                <w:szCs w:val="16"/>
                <w:color w:val="auto"/>
              </w:rPr>
              <w:t>Target</w:t>
            </w:r>
          </w:p>
        </w:tc>
        <w:tc>
          <w:tcPr>
            <w:tcW w:w="1380" w:type="dxa"/>
            <w:vAlign w:val="bottom"/>
            <w:shd w:val="clear" w:color="auto" w:fill="E5E5E5"/>
          </w:tcPr>
          <w:p>
            <w:pPr>
              <w:jc w:val="right"/>
              <w:ind w:right="43"/>
              <w:spacing w:after="0"/>
              <w:rPr>
                <w:sz w:val="20"/>
                <w:szCs w:val="20"/>
                <w:color w:val="auto"/>
              </w:rPr>
            </w:pPr>
            <w:r>
              <w:rPr>
                <w:rFonts w:ascii="Arial" w:cs="Arial" w:eastAsia="Arial" w:hAnsi="Arial"/>
                <w:sz w:val="16"/>
                <w:szCs w:val="16"/>
                <w:color w:val="auto"/>
              </w:rPr>
              <w:t>$921.3</w:t>
            </w:r>
          </w:p>
        </w:tc>
        <w:tc>
          <w:tcPr>
            <w:tcW w:w="1480" w:type="dxa"/>
            <w:vAlign w:val="bottom"/>
            <w:shd w:val="clear" w:color="auto" w:fill="E5E5E5"/>
          </w:tcPr>
          <w:p>
            <w:pPr>
              <w:jc w:val="right"/>
              <w:ind w:right="164"/>
              <w:spacing w:after="0"/>
              <w:rPr>
                <w:sz w:val="20"/>
                <w:szCs w:val="20"/>
                <w:color w:val="auto"/>
              </w:rPr>
            </w:pPr>
            <w:r>
              <w:rPr>
                <w:rFonts w:ascii="Arial" w:cs="Arial" w:eastAsia="Arial" w:hAnsi="Arial"/>
                <w:sz w:val="16"/>
                <w:szCs w:val="16"/>
                <w:color w:val="auto"/>
              </w:rPr>
              <w:t>100.0%</w:t>
            </w: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100.0%</w:t>
            </w:r>
          </w:p>
        </w:tc>
        <w:tc>
          <w:tcPr>
            <w:tcW w:w="320" w:type="dxa"/>
            <w:vAlign w:val="bottom"/>
            <w:shd w:val="clear" w:color="auto" w:fill="E5E5E5"/>
          </w:tcPr>
          <w:p>
            <w:pPr>
              <w:spacing w:after="0"/>
              <w:rPr>
                <w:sz w:val="16"/>
                <w:szCs w:val="16"/>
                <w:color w:val="auto"/>
              </w:rPr>
            </w:pPr>
          </w:p>
        </w:tc>
        <w:tc>
          <w:tcPr>
            <w:tcW w:w="1460" w:type="dxa"/>
            <w:vAlign w:val="bottom"/>
            <w:shd w:val="clear" w:color="auto" w:fill="E5E5E5"/>
          </w:tcPr>
          <w:p>
            <w:pPr>
              <w:jc w:val="right"/>
              <w:ind w:right="122"/>
              <w:spacing w:after="0"/>
              <w:rPr>
                <w:sz w:val="20"/>
                <w:szCs w:val="20"/>
                <w:color w:val="auto"/>
              </w:rPr>
            </w:pPr>
            <w:r>
              <w:rPr>
                <w:rFonts w:ascii="Arial" w:cs="Arial" w:eastAsia="Arial" w:hAnsi="Arial"/>
                <w:sz w:val="16"/>
                <w:szCs w:val="16"/>
                <w:color w:val="auto"/>
              </w:rPr>
              <w:t>2.50%</w:t>
            </w:r>
          </w:p>
        </w:tc>
        <w:tc>
          <w:tcPr>
            <w:tcW w:w="1300" w:type="dxa"/>
            <w:vAlign w:val="bottom"/>
            <w:shd w:val="clear" w:color="auto" w:fill="E5E5E5"/>
          </w:tcPr>
          <w:p>
            <w:pPr>
              <w:jc w:val="right"/>
              <w:ind w:right="43"/>
              <w:spacing w:after="0"/>
              <w:rPr>
                <w:sz w:val="20"/>
                <w:szCs w:val="20"/>
                <w:color w:val="auto"/>
              </w:rPr>
            </w:pPr>
            <w:r>
              <w:rPr>
                <w:rFonts w:ascii="Arial" w:cs="Arial" w:eastAsia="Arial" w:hAnsi="Arial"/>
                <w:sz w:val="16"/>
                <w:szCs w:val="16"/>
                <w:color w:val="auto"/>
              </w:rPr>
              <w:t>100.0%</w:t>
            </w:r>
          </w:p>
        </w:tc>
        <w:tc>
          <w:tcPr>
            <w:tcW w:w="960" w:type="dxa"/>
            <w:vAlign w:val="bottom"/>
            <w:shd w:val="clear" w:color="auto" w:fill="E5E5E5"/>
          </w:tcPr>
          <w:p>
            <w:pPr>
              <w:jc w:val="right"/>
              <w:ind w:right="43"/>
              <w:spacing w:after="0"/>
              <w:rPr>
                <w:sz w:val="20"/>
                <w:szCs w:val="20"/>
                <w:color w:val="auto"/>
              </w:rPr>
            </w:pPr>
            <w:r>
              <w:rPr>
                <w:rFonts w:ascii="Arial" w:cs="Arial" w:eastAsia="Arial" w:hAnsi="Arial"/>
                <w:sz w:val="16"/>
                <w:szCs w:val="16"/>
                <w:color w:val="auto"/>
              </w:rPr>
              <w:t>100.0%</w:t>
            </w:r>
          </w:p>
        </w:tc>
      </w:tr>
      <w:tr>
        <w:trPr>
          <w:trHeight w:val="189"/>
        </w:trPr>
        <w:tc>
          <w:tcPr>
            <w:tcW w:w="3240" w:type="dxa"/>
            <w:vAlign w:val="bottom"/>
            <w:tcBorders>
              <w:bottom w:val="single" w:sz="8" w:color="003B71"/>
            </w:tcBorders>
          </w:tcPr>
          <w:p>
            <w:pPr>
              <w:ind w:left="80"/>
              <w:spacing w:after="0"/>
              <w:rPr>
                <w:sz w:val="20"/>
                <w:szCs w:val="20"/>
                <w:color w:val="auto"/>
              </w:rPr>
            </w:pPr>
            <w:r>
              <w:rPr>
                <w:rFonts w:ascii="Arial" w:cs="Arial" w:eastAsia="Arial" w:hAnsi="Arial"/>
                <w:sz w:val="16"/>
                <w:szCs w:val="16"/>
                <w:color w:val="auto"/>
              </w:rPr>
              <w:t>Maximum</w:t>
            </w:r>
          </w:p>
        </w:tc>
        <w:tc>
          <w:tcPr>
            <w:tcW w:w="1380" w:type="dxa"/>
            <w:vAlign w:val="bottom"/>
            <w:tcBorders>
              <w:bottom w:val="single" w:sz="8" w:color="003B71"/>
            </w:tcBorders>
          </w:tcPr>
          <w:p>
            <w:pPr>
              <w:jc w:val="right"/>
              <w:ind w:right="43"/>
              <w:spacing w:after="0"/>
              <w:rPr>
                <w:sz w:val="20"/>
                <w:szCs w:val="20"/>
                <w:color w:val="auto"/>
              </w:rPr>
            </w:pPr>
            <w:r>
              <w:rPr>
                <w:rFonts w:ascii="Arial" w:cs="Arial" w:eastAsia="Arial" w:hAnsi="Arial"/>
                <w:sz w:val="16"/>
                <w:szCs w:val="16"/>
                <w:color w:val="auto"/>
              </w:rPr>
              <w:t>$1,105.6</w:t>
            </w:r>
          </w:p>
        </w:tc>
        <w:tc>
          <w:tcPr>
            <w:tcW w:w="1480" w:type="dxa"/>
            <w:vAlign w:val="bottom"/>
            <w:tcBorders>
              <w:bottom w:val="single" w:sz="8" w:color="003B71"/>
            </w:tcBorders>
          </w:tcPr>
          <w:p>
            <w:pPr>
              <w:jc w:val="right"/>
              <w:ind w:right="164"/>
              <w:spacing w:after="0"/>
              <w:rPr>
                <w:sz w:val="20"/>
                <w:szCs w:val="20"/>
                <w:color w:val="auto"/>
              </w:rPr>
            </w:pPr>
            <w:r>
              <w:rPr>
                <w:rFonts w:ascii="Arial" w:cs="Arial" w:eastAsia="Arial" w:hAnsi="Arial"/>
                <w:sz w:val="16"/>
                <w:szCs w:val="16"/>
                <w:color w:val="auto"/>
              </w:rPr>
              <w:t>120.0%</w:t>
            </w:r>
          </w:p>
        </w:tc>
        <w:tc>
          <w:tcPr>
            <w:tcW w:w="880" w:type="dxa"/>
            <w:vAlign w:val="bottom"/>
            <w:tcBorders>
              <w:bottom w:val="single" w:sz="8" w:color="003B71"/>
            </w:tcBorders>
          </w:tcPr>
          <w:p>
            <w:pPr>
              <w:jc w:val="right"/>
              <w:spacing w:after="0"/>
              <w:rPr>
                <w:sz w:val="20"/>
                <w:szCs w:val="20"/>
                <w:color w:val="auto"/>
              </w:rPr>
            </w:pPr>
            <w:r>
              <w:rPr>
                <w:rFonts w:ascii="Arial" w:cs="Arial" w:eastAsia="Arial" w:hAnsi="Arial"/>
                <w:sz w:val="16"/>
                <w:szCs w:val="16"/>
                <w:color w:val="auto"/>
              </w:rPr>
              <w:t>200.0%</w:t>
            </w:r>
          </w:p>
        </w:tc>
        <w:tc>
          <w:tcPr>
            <w:tcW w:w="320" w:type="dxa"/>
            <w:vAlign w:val="bottom"/>
            <w:tcBorders>
              <w:bottom w:val="single" w:sz="8" w:color="003B71"/>
            </w:tcBorders>
          </w:tcPr>
          <w:p>
            <w:pPr>
              <w:spacing w:after="0"/>
              <w:rPr>
                <w:sz w:val="16"/>
                <w:szCs w:val="16"/>
                <w:color w:val="auto"/>
              </w:rPr>
            </w:pPr>
          </w:p>
        </w:tc>
        <w:tc>
          <w:tcPr>
            <w:tcW w:w="1460" w:type="dxa"/>
            <w:vAlign w:val="bottom"/>
            <w:tcBorders>
              <w:bottom w:val="single" w:sz="8" w:color="003B71"/>
            </w:tcBorders>
          </w:tcPr>
          <w:p>
            <w:pPr>
              <w:jc w:val="right"/>
              <w:ind w:right="122"/>
              <w:spacing w:after="0"/>
              <w:rPr>
                <w:sz w:val="20"/>
                <w:szCs w:val="20"/>
                <w:color w:val="auto"/>
              </w:rPr>
            </w:pPr>
            <w:r>
              <w:rPr>
                <w:rFonts w:ascii="Arial" w:cs="Arial" w:eastAsia="Arial" w:hAnsi="Arial"/>
                <w:sz w:val="16"/>
                <w:szCs w:val="16"/>
                <w:color w:val="auto"/>
              </w:rPr>
              <w:t>3.00%</w:t>
            </w:r>
          </w:p>
        </w:tc>
        <w:tc>
          <w:tcPr>
            <w:tcW w:w="1300" w:type="dxa"/>
            <w:vAlign w:val="bottom"/>
            <w:tcBorders>
              <w:bottom w:val="single" w:sz="8" w:color="003B71"/>
            </w:tcBorders>
          </w:tcPr>
          <w:p>
            <w:pPr>
              <w:jc w:val="right"/>
              <w:ind w:right="43"/>
              <w:spacing w:after="0"/>
              <w:rPr>
                <w:sz w:val="20"/>
                <w:szCs w:val="20"/>
                <w:color w:val="auto"/>
              </w:rPr>
            </w:pPr>
            <w:r>
              <w:rPr>
                <w:rFonts w:ascii="Arial" w:cs="Arial" w:eastAsia="Arial" w:hAnsi="Arial"/>
                <w:sz w:val="16"/>
                <w:szCs w:val="16"/>
                <w:color w:val="auto"/>
              </w:rPr>
              <w:t>120.0%</w:t>
            </w:r>
          </w:p>
        </w:tc>
        <w:tc>
          <w:tcPr>
            <w:tcW w:w="960" w:type="dxa"/>
            <w:vAlign w:val="bottom"/>
            <w:tcBorders>
              <w:bottom w:val="single" w:sz="8" w:color="003B71"/>
            </w:tcBorders>
          </w:tcPr>
          <w:p>
            <w:pPr>
              <w:jc w:val="right"/>
              <w:ind w:right="43"/>
              <w:spacing w:after="0"/>
              <w:rPr>
                <w:sz w:val="20"/>
                <w:szCs w:val="20"/>
                <w:color w:val="auto"/>
              </w:rPr>
            </w:pPr>
            <w:r>
              <w:rPr>
                <w:rFonts w:ascii="Arial" w:cs="Arial" w:eastAsia="Arial" w:hAnsi="Arial"/>
                <w:sz w:val="16"/>
                <w:szCs w:val="16"/>
                <w:color w:val="auto"/>
              </w:rPr>
              <w:t>200.0%</w:t>
            </w:r>
          </w:p>
        </w:tc>
      </w:tr>
    </w:tbl>
    <w:p>
      <w:pPr>
        <w:spacing w:after="0" w:line="83" w:lineRule="exact"/>
        <w:rPr>
          <w:sz w:val="20"/>
          <w:szCs w:val="20"/>
          <w:color w:val="auto"/>
        </w:rPr>
      </w:pPr>
    </w:p>
    <w:p>
      <w:pPr>
        <w:ind w:left="540" w:hanging="424"/>
        <w:spacing w:after="0"/>
        <w:tabs>
          <w:tab w:leader="none" w:pos="5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Performance and payouts are subject to straight-line interpolation between points.</w:t>
      </w:r>
    </w:p>
    <w:p>
      <w:pPr>
        <w:spacing w:after="0" w:line="86" w:lineRule="exact"/>
        <w:rPr>
          <w:rFonts w:ascii="Arial" w:cs="Arial" w:eastAsia="Arial" w:hAnsi="Arial"/>
          <w:sz w:val="16"/>
          <w:szCs w:val="16"/>
          <w:color w:val="auto"/>
        </w:rPr>
      </w:pPr>
    </w:p>
    <w:p>
      <w:pPr>
        <w:ind w:left="540" w:hanging="424"/>
        <w:spacing w:after="0"/>
        <w:tabs>
          <w:tab w:leader="none" w:pos="5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Monthly ROIC for new stores opening during the three-year performance period.</w:t>
      </w:r>
    </w:p>
    <w:p>
      <w:pPr>
        <w:spacing w:after="0" w:line="142"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40</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At the close of the performance period, the Compensation Committee determined the RSU and Performance Cash payouts for the executive officers, including the NEOs, following the annual audit and reporting of financial results for fiscal 2019 and reported the amounts to the Board of Directors. The Compensation Committee authorized payouts to the executive officers, including the NEOs, in amounts that were commensurate with the results achieved during the performance period. In reviewing fiscal 2019 results, the Compensation Committee recognized that we achieved results between target and maximum cumulative EBITDA and exceeded maximum cumulative ROIC, which resulted in a combined payout at 113.1% of target level performance for all participating employees, including the NEOs. The tables below outline the performance results and payouts that will be made to each NEO.</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84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Component</w:t>
            </w:r>
          </w:p>
        </w:tc>
        <w:tc>
          <w:tcPr>
            <w:tcW w:w="3600" w:type="dxa"/>
            <w:vAlign w:val="bottom"/>
            <w:tcBorders>
              <w:bottom w:val="single" w:sz="8" w:color="003B71"/>
            </w:tcBorders>
          </w:tcPr>
          <w:p>
            <w:pPr>
              <w:jc w:val="right"/>
              <w:ind w:right="122"/>
              <w:spacing w:after="0"/>
              <w:rPr>
                <w:sz w:val="20"/>
                <w:szCs w:val="20"/>
                <w:color w:val="auto"/>
              </w:rPr>
            </w:pPr>
            <w:r>
              <w:rPr>
                <w:rFonts w:ascii="Arial" w:cs="Arial" w:eastAsia="Arial" w:hAnsi="Arial"/>
                <w:sz w:val="14"/>
                <w:szCs w:val="14"/>
                <w:b w:val="1"/>
                <w:bCs w:val="1"/>
                <w:color w:val="003B71"/>
              </w:rPr>
              <w:t>Target</w:t>
            </w:r>
          </w:p>
        </w:tc>
        <w:tc>
          <w:tcPr>
            <w:tcW w:w="740" w:type="dxa"/>
            <w:vAlign w:val="bottom"/>
            <w:tcBorders>
              <w:bottom w:val="single" w:sz="8" w:color="003B71"/>
            </w:tcBorders>
          </w:tcPr>
          <w:p>
            <w:pPr>
              <w:jc w:val="right"/>
              <w:ind w:right="82"/>
              <w:spacing w:after="0"/>
              <w:rPr>
                <w:sz w:val="20"/>
                <w:szCs w:val="20"/>
                <w:color w:val="auto"/>
              </w:rPr>
            </w:pPr>
            <w:r>
              <w:rPr>
                <w:rFonts w:ascii="Arial" w:cs="Arial" w:eastAsia="Arial" w:hAnsi="Arial"/>
                <w:sz w:val="14"/>
                <w:szCs w:val="14"/>
                <w:b w:val="1"/>
                <w:bCs w:val="1"/>
                <w:color w:val="003B71"/>
              </w:rPr>
              <w:t>Actual</w:t>
            </w:r>
          </w:p>
        </w:tc>
        <w:tc>
          <w:tcPr>
            <w:tcW w:w="1000" w:type="dxa"/>
            <w:vAlign w:val="bottom"/>
            <w:tcBorders>
              <w:bottom w:val="single" w:sz="8" w:color="003B71"/>
            </w:tcBorders>
          </w:tcPr>
          <w:p>
            <w:pPr>
              <w:jc w:val="right"/>
              <w:ind w:right="22"/>
              <w:spacing w:after="0"/>
              <w:rPr>
                <w:sz w:val="20"/>
                <w:szCs w:val="20"/>
                <w:color w:val="auto"/>
              </w:rPr>
            </w:pPr>
            <w:r>
              <w:rPr>
                <w:rFonts w:ascii="Arial" w:cs="Arial" w:eastAsia="Arial" w:hAnsi="Arial"/>
                <w:sz w:val="14"/>
                <w:szCs w:val="14"/>
                <w:b w:val="1"/>
                <w:bCs w:val="1"/>
                <w:color w:val="003B71"/>
              </w:rPr>
              <w:t>% of Target</w:t>
            </w:r>
          </w:p>
        </w:tc>
        <w:tc>
          <w:tcPr>
            <w:tcW w:w="840" w:type="dxa"/>
            <w:vAlign w:val="bottom"/>
            <w:tcBorders>
              <w:bottom w:val="single" w:sz="8" w:color="003B71"/>
            </w:tcBorders>
          </w:tcPr>
          <w:p>
            <w:pPr>
              <w:jc w:val="right"/>
              <w:ind w:right="42"/>
              <w:spacing w:after="0"/>
              <w:rPr>
                <w:sz w:val="20"/>
                <w:szCs w:val="20"/>
                <w:color w:val="auto"/>
              </w:rPr>
            </w:pPr>
            <w:r>
              <w:rPr>
                <w:rFonts w:ascii="Arial" w:cs="Arial" w:eastAsia="Arial" w:hAnsi="Arial"/>
                <w:sz w:val="14"/>
                <w:szCs w:val="14"/>
                <w:b w:val="1"/>
                <w:bCs w:val="1"/>
                <w:color w:val="003B71"/>
              </w:rPr>
              <w:t>Payout %</w:t>
            </w:r>
          </w:p>
        </w:tc>
      </w:tr>
      <w:tr>
        <w:trPr>
          <w:trHeight w:val="183"/>
        </w:trPr>
        <w:tc>
          <w:tcPr>
            <w:tcW w:w="484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Cumulative EBITDA(1)</w:t>
            </w:r>
          </w:p>
        </w:tc>
        <w:tc>
          <w:tcPr>
            <w:tcW w:w="3600" w:type="dxa"/>
            <w:vAlign w:val="bottom"/>
            <w:shd w:val="clear" w:color="auto" w:fill="E5E5E5"/>
          </w:tcPr>
          <w:p>
            <w:pPr>
              <w:jc w:val="right"/>
              <w:ind w:right="62"/>
              <w:spacing w:after="0" w:line="183" w:lineRule="exact"/>
              <w:rPr>
                <w:sz w:val="20"/>
                <w:szCs w:val="20"/>
                <w:color w:val="auto"/>
              </w:rPr>
            </w:pPr>
            <w:r>
              <w:rPr>
                <w:rFonts w:ascii="Arial" w:cs="Arial" w:eastAsia="Arial" w:hAnsi="Arial"/>
                <w:sz w:val="16"/>
                <w:szCs w:val="16"/>
                <w:color w:val="auto"/>
              </w:rPr>
              <w:t>$921.3</w:t>
            </w:r>
          </w:p>
        </w:tc>
        <w:tc>
          <w:tcPr>
            <w:tcW w:w="740" w:type="dxa"/>
            <w:vAlign w:val="bottom"/>
            <w:shd w:val="clear" w:color="auto" w:fill="E5E5E5"/>
          </w:tcPr>
          <w:p>
            <w:pPr>
              <w:jc w:val="right"/>
              <w:ind w:right="62"/>
              <w:spacing w:after="0" w:line="183" w:lineRule="exact"/>
              <w:rPr>
                <w:sz w:val="20"/>
                <w:szCs w:val="20"/>
                <w:color w:val="auto"/>
              </w:rPr>
            </w:pPr>
            <w:r>
              <w:rPr>
                <w:rFonts w:ascii="Arial" w:cs="Arial" w:eastAsia="Arial" w:hAnsi="Arial"/>
                <w:sz w:val="16"/>
                <w:szCs w:val="16"/>
                <w:color w:val="auto"/>
              </w:rPr>
              <w:t>836.2</w:t>
            </w:r>
          </w:p>
        </w:tc>
        <w:tc>
          <w:tcPr>
            <w:tcW w:w="1000" w:type="dxa"/>
            <w:vAlign w:val="bottom"/>
            <w:shd w:val="clear" w:color="auto" w:fill="E5E5E5"/>
          </w:tcPr>
          <w:p>
            <w:pPr>
              <w:jc w:val="right"/>
              <w:ind w:right="2"/>
              <w:spacing w:after="0" w:line="183" w:lineRule="exact"/>
              <w:rPr>
                <w:sz w:val="20"/>
                <w:szCs w:val="20"/>
                <w:color w:val="auto"/>
              </w:rPr>
            </w:pPr>
            <w:r>
              <w:rPr>
                <w:rFonts w:ascii="Arial" w:cs="Arial" w:eastAsia="Arial" w:hAnsi="Arial"/>
                <w:sz w:val="16"/>
                <w:szCs w:val="16"/>
                <w:color w:val="auto"/>
              </w:rPr>
              <w:t>90.8%</w:t>
            </w:r>
          </w:p>
        </w:tc>
        <w:tc>
          <w:tcPr>
            <w:tcW w:w="840" w:type="dxa"/>
            <w:vAlign w:val="bottom"/>
            <w:shd w:val="clear" w:color="auto" w:fill="E5E5E5"/>
          </w:tcPr>
          <w:p>
            <w:pPr>
              <w:jc w:val="right"/>
              <w:ind w:right="42"/>
              <w:spacing w:after="0" w:line="183" w:lineRule="exact"/>
              <w:rPr>
                <w:sz w:val="20"/>
                <w:szCs w:val="20"/>
                <w:color w:val="auto"/>
              </w:rPr>
            </w:pPr>
            <w:r>
              <w:rPr>
                <w:rFonts w:ascii="Arial" w:cs="Arial" w:eastAsia="Arial" w:hAnsi="Arial"/>
                <w:sz w:val="16"/>
                <w:szCs w:val="16"/>
                <w:color w:val="auto"/>
              </w:rPr>
              <w:t>69.2%</w:t>
            </w:r>
          </w:p>
        </w:tc>
      </w:tr>
      <w:tr>
        <w:trPr>
          <w:trHeight w:val="189"/>
        </w:trPr>
        <w:tc>
          <w:tcPr>
            <w:tcW w:w="4840" w:type="dxa"/>
            <w:vAlign w:val="bottom"/>
            <w:tcBorders>
              <w:bottom w:val="single" w:sz="8" w:color="003B71"/>
            </w:tcBorders>
          </w:tcPr>
          <w:p>
            <w:pPr>
              <w:ind w:left="80"/>
              <w:spacing w:after="0"/>
              <w:rPr>
                <w:sz w:val="20"/>
                <w:szCs w:val="20"/>
                <w:color w:val="auto"/>
              </w:rPr>
            </w:pPr>
            <w:r>
              <w:rPr>
                <w:rFonts w:ascii="Arial" w:cs="Arial" w:eastAsia="Arial" w:hAnsi="Arial"/>
                <w:sz w:val="16"/>
                <w:szCs w:val="16"/>
                <w:color w:val="auto"/>
              </w:rPr>
              <w:t>3-Year Cumulative ROIC</w:t>
            </w:r>
          </w:p>
        </w:tc>
        <w:tc>
          <w:tcPr>
            <w:tcW w:w="3600" w:type="dxa"/>
            <w:vAlign w:val="bottom"/>
            <w:tcBorders>
              <w:bottom w:val="single" w:sz="8" w:color="003B71"/>
            </w:tcBorders>
          </w:tcPr>
          <w:p>
            <w:pPr>
              <w:jc w:val="right"/>
              <w:ind w:right="62"/>
              <w:spacing w:after="0"/>
              <w:rPr>
                <w:sz w:val="20"/>
                <w:szCs w:val="20"/>
                <w:color w:val="auto"/>
              </w:rPr>
            </w:pPr>
            <w:r>
              <w:rPr>
                <w:rFonts w:ascii="Arial" w:cs="Arial" w:eastAsia="Arial" w:hAnsi="Arial"/>
                <w:sz w:val="16"/>
                <w:szCs w:val="16"/>
                <w:color w:val="auto"/>
              </w:rPr>
              <w:t>2.5%</w:t>
            </w:r>
          </w:p>
        </w:tc>
        <w:tc>
          <w:tcPr>
            <w:tcW w:w="740" w:type="dxa"/>
            <w:vAlign w:val="bottom"/>
            <w:tcBorders>
              <w:bottom w:val="single" w:sz="8" w:color="003B71"/>
            </w:tcBorders>
          </w:tcPr>
          <w:p>
            <w:pPr>
              <w:jc w:val="right"/>
              <w:ind w:right="62"/>
              <w:spacing w:after="0"/>
              <w:rPr>
                <w:sz w:val="20"/>
                <w:szCs w:val="20"/>
                <w:color w:val="auto"/>
              </w:rPr>
            </w:pPr>
            <w:r>
              <w:rPr>
                <w:rFonts w:ascii="Arial" w:cs="Arial" w:eastAsia="Arial" w:hAnsi="Arial"/>
                <w:sz w:val="16"/>
                <w:szCs w:val="16"/>
                <w:color w:val="auto"/>
              </w:rPr>
              <w:t>3.8%</w:t>
            </w:r>
          </w:p>
        </w:tc>
        <w:tc>
          <w:tcPr>
            <w:tcW w:w="1000" w:type="dxa"/>
            <w:vAlign w:val="bottom"/>
            <w:tcBorders>
              <w:bottom w:val="single" w:sz="8" w:color="003B71"/>
            </w:tcBorders>
          </w:tcPr>
          <w:p>
            <w:pPr>
              <w:jc w:val="right"/>
              <w:ind w:right="2"/>
              <w:spacing w:after="0"/>
              <w:rPr>
                <w:sz w:val="20"/>
                <w:szCs w:val="20"/>
                <w:color w:val="auto"/>
              </w:rPr>
            </w:pPr>
            <w:r>
              <w:rPr>
                <w:rFonts w:ascii="Arial" w:cs="Arial" w:eastAsia="Arial" w:hAnsi="Arial"/>
                <w:sz w:val="16"/>
                <w:szCs w:val="16"/>
                <w:color w:val="auto"/>
              </w:rPr>
              <w:t>152.0%</w:t>
            </w:r>
          </w:p>
        </w:tc>
        <w:tc>
          <w:tcPr>
            <w:tcW w:w="840" w:type="dxa"/>
            <w:vAlign w:val="bottom"/>
            <w:tcBorders>
              <w:bottom w:val="single" w:sz="8" w:color="003B71"/>
            </w:tcBorders>
          </w:tcPr>
          <w:p>
            <w:pPr>
              <w:jc w:val="right"/>
              <w:ind w:right="42"/>
              <w:spacing w:after="0"/>
              <w:rPr>
                <w:sz w:val="20"/>
                <w:szCs w:val="20"/>
                <w:color w:val="auto"/>
              </w:rPr>
            </w:pPr>
            <w:r>
              <w:rPr>
                <w:rFonts w:ascii="Arial" w:cs="Arial" w:eastAsia="Arial" w:hAnsi="Arial"/>
                <w:sz w:val="16"/>
                <w:szCs w:val="16"/>
                <w:color w:val="auto"/>
              </w:rPr>
              <w:t>200.0%</w:t>
            </w:r>
          </w:p>
        </w:tc>
      </w:tr>
    </w:tbl>
    <w:p>
      <w:pPr>
        <w:spacing w:after="0" w:line="83" w:lineRule="exact"/>
        <w:rPr>
          <w:sz w:val="20"/>
          <w:szCs w:val="20"/>
          <w:color w:val="auto"/>
        </w:rPr>
      </w:pPr>
    </w:p>
    <w:p>
      <w:pPr>
        <w:ind w:left="540" w:hanging="424"/>
        <w:spacing w:after="0"/>
        <w:tabs>
          <w:tab w:leader="none" w:pos="5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Dollar amounts are represented in millions and include allowable pre-established adjustments for non-recurring items.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center"/>
              <w:ind w:right="222"/>
              <w:spacing w:after="0"/>
              <w:rPr>
                <w:sz w:val="20"/>
                <w:szCs w:val="20"/>
                <w:color w:val="auto"/>
              </w:rPr>
            </w:pPr>
            <w:r>
              <w:rPr>
                <w:rFonts w:ascii="Arial" w:cs="Arial" w:eastAsia="Arial" w:hAnsi="Arial"/>
                <w:sz w:val="14"/>
                <w:szCs w:val="14"/>
                <w:b w:val="1"/>
                <w:bCs w:val="1"/>
                <w:color w:val="003B71"/>
              </w:rPr>
              <w:t>Target</w:t>
            </w:r>
          </w:p>
        </w:tc>
        <w:tc>
          <w:tcPr>
            <w:tcW w:w="300" w:type="dxa"/>
            <w:vAlign w:val="bottom"/>
          </w:tcPr>
          <w:p>
            <w:pPr>
              <w:spacing w:after="0"/>
              <w:rPr>
                <w:sz w:val="14"/>
                <w:szCs w:val="14"/>
                <w:color w:val="auto"/>
              </w:rPr>
            </w:pPr>
          </w:p>
        </w:tc>
        <w:tc>
          <w:tcPr>
            <w:tcW w:w="840" w:type="dxa"/>
            <w:vAlign w:val="bottom"/>
          </w:tcPr>
          <w:p>
            <w:pPr>
              <w:jc w:val="center"/>
              <w:ind w:right="202"/>
              <w:spacing w:after="0"/>
              <w:rPr>
                <w:sz w:val="20"/>
                <w:szCs w:val="20"/>
                <w:color w:val="auto"/>
              </w:rPr>
            </w:pPr>
            <w:r>
              <w:rPr>
                <w:rFonts w:ascii="Arial" w:cs="Arial" w:eastAsia="Arial" w:hAnsi="Arial"/>
                <w:sz w:val="14"/>
                <w:szCs w:val="14"/>
                <w:b w:val="1"/>
                <w:bCs w:val="1"/>
                <w:color w:val="003B71"/>
              </w:rPr>
              <w:t>Actual</w:t>
            </w:r>
          </w:p>
        </w:tc>
      </w:tr>
      <w:tr>
        <w:trPr>
          <w:trHeight w:val="162"/>
        </w:trPr>
        <w:tc>
          <w:tcPr>
            <w:tcW w:w="4300" w:type="dxa"/>
            <w:vAlign w:val="bottom"/>
          </w:tcPr>
          <w:p>
            <w:pPr>
              <w:spacing w:after="0"/>
              <w:rPr>
                <w:sz w:val="14"/>
                <w:szCs w:val="14"/>
                <w:color w:val="auto"/>
              </w:rPr>
            </w:pPr>
          </w:p>
        </w:tc>
        <w:tc>
          <w:tcPr>
            <w:tcW w:w="3540" w:type="dxa"/>
            <w:vAlign w:val="bottom"/>
          </w:tcPr>
          <w:p>
            <w:pPr>
              <w:jc w:val="center"/>
              <w:ind w:left="2602"/>
              <w:spacing w:after="0"/>
              <w:rPr>
                <w:sz w:val="20"/>
                <w:szCs w:val="20"/>
                <w:color w:val="auto"/>
              </w:rPr>
            </w:pPr>
            <w:r>
              <w:rPr>
                <w:rFonts w:ascii="Arial" w:cs="Arial" w:eastAsia="Arial" w:hAnsi="Arial"/>
                <w:sz w:val="14"/>
                <w:szCs w:val="14"/>
                <w:b w:val="1"/>
                <w:bCs w:val="1"/>
                <w:color w:val="003B71"/>
                <w:w w:val="98"/>
              </w:rPr>
              <w:t>Target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003B71"/>
              </w:rPr>
              <w:t>Actual</w:t>
            </w: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003B71"/>
              </w:rPr>
              <w:t>Performance</w:t>
            </w: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003B71"/>
              </w:rPr>
              <w:t>Performance</w:t>
            </w:r>
          </w:p>
        </w:tc>
      </w:tr>
      <w:tr>
        <w:trPr>
          <w:trHeight w:val="162"/>
        </w:trPr>
        <w:tc>
          <w:tcPr>
            <w:tcW w:w="4300" w:type="dxa"/>
            <w:vAlign w:val="bottom"/>
          </w:tcPr>
          <w:p>
            <w:pPr>
              <w:spacing w:after="0"/>
              <w:rPr>
                <w:sz w:val="14"/>
                <w:szCs w:val="14"/>
                <w:color w:val="auto"/>
              </w:rPr>
            </w:pPr>
          </w:p>
        </w:tc>
        <w:tc>
          <w:tcPr>
            <w:tcW w:w="3540" w:type="dxa"/>
            <w:vAlign w:val="bottom"/>
          </w:tcPr>
          <w:p>
            <w:pPr>
              <w:jc w:val="center"/>
              <w:ind w:left="2602"/>
              <w:spacing w:after="0"/>
              <w:rPr>
                <w:sz w:val="20"/>
                <w:szCs w:val="20"/>
                <w:color w:val="auto"/>
              </w:rPr>
            </w:pPr>
            <w:r>
              <w:rPr>
                <w:rFonts w:ascii="Arial" w:cs="Arial" w:eastAsia="Arial" w:hAnsi="Arial"/>
                <w:sz w:val="14"/>
                <w:szCs w:val="14"/>
                <w:b w:val="1"/>
                <w:bCs w:val="1"/>
                <w:color w:val="003B71"/>
              </w:rPr>
              <w:t>RSUs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003B71"/>
              </w:rPr>
              <w:t>RSUs</w:t>
            </w:r>
          </w:p>
        </w:tc>
        <w:tc>
          <w:tcPr>
            <w:tcW w:w="360" w:type="dxa"/>
            <w:vAlign w:val="bottom"/>
          </w:tcPr>
          <w:p>
            <w:pPr>
              <w:spacing w:after="0"/>
              <w:rPr>
                <w:sz w:val="14"/>
                <w:szCs w:val="14"/>
                <w:color w:val="auto"/>
              </w:rPr>
            </w:pPr>
          </w:p>
        </w:tc>
        <w:tc>
          <w:tcPr>
            <w:tcW w:w="860" w:type="dxa"/>
            <w:vAlign w:val="bottom"/>
          </w:tcPr>
          <w:p>
            <w:pPr>
              <w:jc w:val="center"/>
              <w:ind w:right="222"/>
              <w:spacing w:after="0"/>
              <w:rPr>
                <w:sz w:val="20"/>
                <w:szCs w:val="20"/>
                <w:color w:val="auto"/>
              </w:rPr>
            </w:pPr>
            <w:r>
              <w:rPr>
                <w:rFonts w:ascii="Arial" w:cs="Arial" w:eastAsia="Arial" w:hAnsi="Arial"/>
                <w:sz w:val="14"/>
                <w:szCs w:val="14"/>
                <w:b w:val="1"/>
                <w:bCs w:val="1"/>
                <w:color w:val="003B71"/>
              </w:rPr>
              <w:t>Cash</w:t>
            </w:r>
          </w:p>
        </w:tc>
        <w:tc>
          <w:tcPr>
            <w:tcW w:w="300" w:type="dxa"/>
            <w:vAlign w:val="bottom"/>
          </w:tcPr>
          <w:p>
            <w:pPr>
              <w:spacing w:after="0"/>
              <w:rPr>
                <w:sz w:val="14"/>
                <w:szCs w:val="14"/>
                <w:color w:val="auto"/>
              </w:rPr>
            </w:pPr>
          </w:p>
        </w:tc>
        <w:tc>
          <w:tcPr>
            <w:tcW w:w="840" w:type="dxa"/>
            <w:vAlign w:val="bottom"/>
          </w:tcPr>
          <w:p>
            <w:pPr>
              <w:jc w:val="center"/>
              <w:ind w:right="202"/>
              <w:spacing w:after="0"/>
              <w:rPr>
                <w:sz w:val="20"/>
                <w:szCs w:val="20"/>
                <w:color w:val="auto"/>
              </w:rPr>
            </w:pPr>
            <w:r>
              <w:rPr>
                <w:rFonts w:ascii="Arial" w:cs="Arial" w:eastAsia="Arial" w:hAnsi="Arial"/>
                <w:sz w:val="14"/>
                <w:szCs w:val="14"/>
                <w:b w:val="1"/>
                <w:bCs w:val="1"/>
                <w:color w:val="003B71"/>
              </w:rPr>
              <w:t>Cash</w:t>
            </w:r>
          </w:p>
        </w:tc>
      </w:tr>
      <w:tr>
        <w:trPr>
          <w:trHeight w:val="189"/>
        </w:trPr>
        <w:tc>
          <w:tcPr>
            <w:tcW w:w="430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Name</w:t>
            </w:r>
          </w:p>
        </w:tc>
        <w:tc>
          <w:tcPr>
            <w:tcW w:w="3540" w:type="dxa"/>
            <w:vAlign w:val="bottom"/>
            <w:tcBorders>
              <w:bottom w:val="single" w:sz="8" w:color="003B71"/>
            </w:tcBorders>
          </w:tcPr>
          <w:p>
            <w:pPr>
              <w:jc w:val="center"/>
              <w:ind w:left="2602"/>
              <w:spacing w:after="0"/>
              <w:rPr>
                <w:sz w:val="20"/>
                <w:szCs w:val="20"/>
                <w:color w:val="auto"/>
              </w:rPr>
            </w:pPr>
            <w:r>
              <w:rPr>
                <w:rFonts w:ascii="Arial" w:cs="Arial" w:eastAsia="Arial" w:hAnsi="Arial"/>
                <w:sz w:val="14"/>
                <w:szCs w:val="14"/>
                <w:b w:val="1"/>
                <w:bCs w:val="1"/>
                <w:color w:val="003B71"/>
              </w:rPr>
              <w:t>(#)</w:t>
            </w:r>
          </w:p>
        </w:tc>
        <w:tc>
          <w:tcPr>
            <w:tcW w:w="82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w:t>
            </w:r>
          </w:p>
        </w:tc>
        <w:tc>
          <w:tcPr>
            <w:tcW w:w="360" w:type="dxa"/>
            <w:vAlign w:val="bottom"/>
            <w:tcBorders>
              <w:bottom w:val="single" w:sz="8" w:color="003B71"/>
            </w:tcBorders>
          </w:tcPr>
          <w:p>
            <w:pPr>
              <w:spacing w:after="0"/>
              <w:rPr>
                <w:sz w:val="16"/>
                <w:szCs w:val="16"/>
                <w:color w:val="auto"/>
              </w:rPr>
            </w:pPr>
          </w:p>
        </w:tc>
        <w:tc>
          <w:tcPr>
            <w:tcW w:w="860" w:type="dxa"/>
            <w:vAlign w:val="bottom"/>
            <w:tcBorders>
              <w:bottom w:val="single" w:sz="8" w:color="003B71"/>
            </w:tcBorders>
          </w:tcPr>
          <w:p>
            <w:pPr>
              <w:jc w:val="center"/>
              <w:ind w:right="242"/>
              <w:spacing w:after="0"/>
              <w:rPr>
                <w:sz w:val="20"/>
                <w:szCs w:val="20"/>
                <w:color w:val="auto"/>
              </w:rPr>
            </w:pPr>
            <w:r>
              <w:rPr>
                <w:rFonts w:ascii="Arial" w:cs="Arial" w:eastAsia="Arial" w:hAnsi="Arial"/>
                <w:sz w:val="14"/>
                <w:szCs w:val="14"/>
                <w:b w:val="1"/>
                <w:bCs w:val="1"/>
                <w:color w:val="003B71"/>
              </w:rPr>
              <w:t>($)</w:t>
            </w:r>
          </w:p>
        </w:tc>
        <w:tc>
          <w:tcPr>
            <w:tcW w:w="300" w:type="dxa"/>
            <w:vAlign w:val="bottom"/>
            <w:tcBorders>
              <w:bottom w:val="single" w:sz="8" w:color="003B71"/>
            </w:tcBorders>
          </w:tcPr>
          <w:p>
            <w:pPr>
              <w:spacing w:after="0"/>
              <w:rPr>
                <w:sz w:val="16"/>
                <w:szCs w:val="16"/>
                <w:color w:val="auto"/>
              </w:rPr>
            </w:pPr>
          </w:p>
        </w:tc>
        <w:tc>
          <w:tcPr>
            <w:tcW w:w="840" w:type="dxa"/>
            <w:vAlign w:val="bottom"/>
            <w:tcBorders>
              <w:bottom w:val="single" w:sz="8" w:color="003B71"/>
            </w:tcBorders>
          </w:tcPr>
          <w:p>
            <w:pPr>
              <w:jc w:val="center"/>
              <w:ind w:right="202"/>
              <w:spacing w:after="0"/>
              <w:rPr>
                <w:sz w:val="20"/>
                <w:szCs w:val="20"/>
                <w:color w:val="auto"/>
              </w:rPr>
            </w:pPr>
            <w:r>
              <w:rPr>
                <w:rFonts w:ascii="Arial" w:cs="Arial" w:eastAsia="Arial" w:hAnsi="Arial"/>
                <w:sz w:val="14"/>
                <w:szCs w:val="14"/>
                <w:b w:val="1"/>
                <w:bCs w:val="1"/>
                <w:color w:val="003B71"/>
                <w:w w:val="93"/>
              </w:rPr>
              <w:t>($)</w:t>
            </w:r>
          </w:p>
        </w:tc>
      </w:tr>
      <w:tr>
        <w:trPr>
          <w:trHeight w:val="183"/>
        </w:trPr>
        <w:tc>
          <w:tcPr>
            <w:tcW w:w="430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Brian A. Jenkins</w:t>
            </w:r>
          </w:p>
        </w:tc>
        <w:tc>
          <w:tcPr>
            <w:tcW w:w="3540" w:type="dxa"/>
            <w:vAlign w:val="bottom"/>
            <w:shd w:val="clear" w:color="auto" w:fill="E5E5E5"/>
          </w:tcPr>
          <w:p>
            <w:pPr>
              <w:jc w:val="right"/>
              <w:ind w:right="102"/>
              <w:spacing w:after="0" w:line="183" w:lineRule="exact"/>
              <w:rPr>
                <w:sz w:val="20"/>
                <w:szCs w:val="20"/>
                <w:color w:val="auto"/>
              </w:rPr>
            </w:pPr>
            <w:r>
              <w:rPr>
                <w:rFonts w:ascii="Arial" w:cs="Arial" w:eastAsia="Arial" w:hAnsi="Arial"/>
                <w:sz w:val="16"/>
                <w:szCs w:val="16"/>
                <w:color w:val="auto"/>
              </w:rPr>
              <w:t>3,613</w:t>
            </w:r>
          </w:p>
        </w:tc>
        <w:tc>
          <w:tcPr>
            <w:tcW w:w="820" w:type="dxa"/>
            <w:vAlign w:val="bottom"/>
            <w:shd w:val="clear" w:color="auto" w:fill="E5E5E5"/>
          </w:tcPr>
          <w:p>
            <w:pPr>
              <w:jc w:val="right"/>
              <w:ind w:right="102"/>
              <w:spacing w:after="0" w:line="183" w:lineRule="exact"/>
              <w:rPr>
                <w:sz w:val="20"/>
                <w:szCs w:val="20"/>
                <w:color w:val="auto"/>
              </w:rPr>
            </w:pPr>
            <w:r>
              <w:rPr>
                <w:rFonts w:ascii="Arial" w:cs="Arial" w:eastAsia="Arial" w:hAnsi="Arial"/>
                <w:sz w:val="16"/>
                <w:szCs w:val="16"/>
                <w:color w:val="auto"/>
              </w:rPr>
              <w:t>4,076</w:t>
            </w:r>
          </w:p>
        </w:tc>
        <w:tc>
          <w:tcPr>
            <w:tcW w:w="360" w:type="dxa"/>
            <w:vAlign w:val="bottom"/>
            <w:shd w:val="clear" w:color="auto" w:fill="E5E5E5"/>
          </w:tcPr>
          <w:p>
            <w:pPr>
              <w:ind w:left="20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ind w:right="62"/>
              <w:spacing w:after="0" w:line="183" w:lineRule="exact"/>
              <w:rPr>
                <w:sz w:val="20"/>
                <w:szCs w:val="20"/>
                <w:color w:val="auto"/>
              </w:rPr>
            </w:pPr>
            <w:r>
              <w:rPr>
                <w:rFonts w:ascii="Arial" w:cs="Arial" w:eastAsia="Arial" w:hAnsi="Arial"/>
                <w:sz w:val="16"/>
                <w:szCs w:val="16"/>
                <w:color w:val="auto"/>
              </w:rPr>
              <w:t>92,400</w:t>
            </w:r>
          </w:p>
        </w:tc>
        <w:tc>
          <w:tcPr>
            <w:tcW w:w="300" w:type="dxa"/>
            <w:vAlign w:val="bottom"/>
            <w:shd w:val="clear" w:color="auto" w:fill="E5E5E5"/>
          </w:tcPr>
          <w:p>
            <w:pPr>
              <w:ind w:left="140"/>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42"/>
              <w:spacing w:after="0" w:line="183" w:lineRule="exact"/>
              <w:rPr>
                <w:sz w:val="20"/>
                <w:szCs w:val="20"/>
                <w:color w:val="auto"/>
              </w:rPr>
            </w:pPr>
            <w:r>
              <w:rPr>
                <w:rFonts w:ascii="Arial" w:cs="Arial" w:eastAsia="Arial" w:hAnsi="Arial"/>
                <w:sz w:val="16"/>
                <w:szCs w:val="16"/>
                <w:color w:val="auto"/>
              </w:rPr>
              <w:t>104,227</w:t>
            </w:r>
          </w:p>
        </w:tc>
      </w:tr>
      <w:tr>
        <w:trPr>
          <w:trHeight w:val="189"/>
        </w:trPr>
        <w:tc>
          <w:tcPr>
            <w:tcW w:w="4300" w:type="dxa"/>
            <w:vAlign w:val="bottom"/>
          </w:tcPr>
          <w:p>
            <w:pPr>
              <w:ind w:left="80"/>
              <w:spacing w:after="0"/>
              <w:rPr>
                <w:sz w:val="20"/>
                <w:szCs w:val="20"/>
                <w:color w:val="auto"/>
              </w:rPr>
            </w:pPr>
            <w:r>
              <w:rPr>
                <w:rFonts w:ascii="Arial" w:cs="Arial" w:eastAsia="Arial" w:hAnsi="Arial"/>
                <w:sz w:val="16"/>
                <w:szCs w:val="16"/>
                <w:color w:val="auto"/>
              </w:rPr>
              <w:t>Joe DeProspero</w:t>
            </w:r>
          </w:p>
        </w:tc>
        <w:tc>
          <w:tcPr>
            <w:tcW w:w="3540" w:type="dxa"/>
            <w:vAlign w:val="bottom"/>
          </w:tcPr>
          <w:p>
            <w:pPr>
              <w:jc w:val="right"/>
              <w:ind w:right="102"/>
              <w:spacing w:after="0"/>
              <w:rPr>
                <w:sz w:val="20"/>
                <w:szCs w:val="20"/>
                <w:color w:val="auto"/>
              </w:rPr>
            </w:pPr>
            <w:r>
              <w:rPr>
                <w:rFonts w:ascii="Arial" w:cs="Arial" w:eastAsia="Arial" w:hAnsi="Arial"/>
                <w:sz w:val="16"/>
                <w:szCs w:val="16"/>
                <w:color w:val="auto"/>
              </w:rPr>
              <w:t>462</w:t>
            </w:r>
          </w:p>
        </w:tc>
        <w:tc>
          <w:tcPr>
            <w:tcW w:w="820" w:type="dxa"/>
            <w:vAlign w:val="bottom"/>
          </w:tcPr>
          <w:p>
            <w:pPr>
              <w:jc w:val="right"/>
              <w:ind w:right="102"/>
              <w:spacing w:after="0"/>
              <w:rPr>
                <w:sz w:val="20"/>
                <w:szCs w:val="20"/>
                <w:color w:val="auto"/>
              </w:rPr>
            </w:pPr>
            <w:r>
              <w:rPr>
                <w:rFonts w:ascii="Arial" w:cs="Arial" w:eastAsia="Arial" w:hAnsi="Arial"/>
                <w:sz w:val="16"/>
                <w:szCs w:val="16"/>
                <w:color w:val="auto"/>
              </w:rPr>
              <w:t>522</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11,835</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13,350</w:t>
            </w:r>
          </w:p>
        </w:tc>
      </w:tr>
      <w:tr>
        <w:trPr>
          <w:trHeight w:val="189"/>
        </w:trPr>
        <w:tc>
          <w:tcPr>
            <w:tcW w:w="4300" w:type="dxa"/>
            <w:vAlign w:val="bottom"/>
            <w:shd w:val="clear" w:color="auto" w:fill="E5E5E5"/>
          </w:tcPr>
          <w:p>
            <w:pPr>
              <w:ind w:left="80"/>
              <w:spacing w:after="0"/>
              <w:rPr>
                <w:sz w:val="20"/>
                <w:szCs w:val="20"/>
                <w:color w:val="auto"/>
              </w:rPr>
            </w:pPr>
            <w:r>
              <w:rPr>
                <w:rFonts w:ascii="Arial" w:cs="Arial" w:eastAsia="Arial" w:hAnsi="Arial"/>
                <w:sz w:val="16"/>
                <w:szCs w:val="16"/>
                <w:color w:val="auto"/>
              </w:rPr>
              <w:t>Sean Gleason</w:t>
            </w:r>
          </w:p>
        </w:tc>
        <w:tc>
          <w:tcPr>
            <w:tcW w:w="354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1,354</w:t>
            </w:r>
          </w:p>
        </w:tc>
        <w:tc>
          <w:tcPr>
            <w:tcW w:w="82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1,527</w:t>
            </w:r>
          </w:p>
        </w:tc>
        <w:tc>
          <w:tcPr>
            <w:tcW w:w="360" w:type="dxa"/>
            <w:vAlign w:val="bottom"/>
            <w:shd w:val="clear" w:color="auto" w:fill="E5E5E5"/>
          </w:tcPr>
          <w:p>
            <w:pPr>
              <w:ind w:lef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rPr>
              <w:t>34,650</w:t>
            </w:r>
          </w:p>
        </w:tc>
        <w:tc>
          <w:tcPr>
            <w:tcW w:w="300" w:type="dxa"/>
            <w:vAlign w:val="bottom"/>
            <w:shd w:val="clear" w:color="auto" w:fill="E5E5E5"/>
          </w:tcPr>
          <w:p>
            <w:pPr>
              <w:ind w:lef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ind w:right="42"/>
              <w:spacing w:after="0"/>
              <w:rPr>
                <w:sz w:val="20"/>
                <w:szCs w:val="20"/>
                <w:color w:val="auto"/>
              </w:rPr>
            </w:pPr>
            <w:r>
              <w:rPr>
                <w:rFonts w:ascii="Arial" w:cs="Arial" w:eastAsia="Arial" w:hAnsi="Arial"/>
                <w:sz w:val="16"/>
                <w:szCs w:val="16"/>
                <w:color w:val="auto"/>
              </w:rPr>
              <w:t>39,085</w:t>
            </w:r>
          </w:p>
        </w:tc>
      </w:tr>
      <w:tr>
        <w:trPr>
          <w:trHeight w:val="189"/>
        </w:trPr>
        <w:tc>
          <w:tcPr>
            <w:tcW w:w="4300" w:type="dxa"/>
            <w:vAlign w:val="bottom"/>
          </w:tcPr>
          <w:p>
            <w:pPr>
              <w:ind w:left="80"/>
              <w:spacing w:after="0"/>
              <w:rPr>
                <w:sz w:val="20"/>
                <w:szCs w:val="20"/>
                <w:color w:val="auto"/>
              </w:rPr>
            </w:pPr>
            <w:r>
              <w:rPr>
                <w:rFonts w:ascii="Arial" w:cs="Arial" w:eastAsia="Arial" w:hAnsi="Arial"/>
                <w:sz w:val="16"/>
                <w:szCs w:val="16"/>
                <w:color w:val="auto"/>
              </w:rPr>
              <w:t>Margo L. Manning</w:t>
            </w:r>
          </w:p>
        </w:tc>
        <w:tc>
          <w:tcPr>
            <w:tcW w:w="3540" w:type="dxa"/>
            <w:vAlign w:val="bottom"/>
          </w:tcPr>
          <w:p>
            <w:pPr>
              <w:jc w:val="right"/>
              <w:ind w:right="102"/>
              <w:spacing w:after="0"/>
              <w:rPr>
                <w:sz w:val="20"/>
                <w:szCs w:val="20"/>
                <w:color w:val="auto"/>
              </w:rPr>
            </w:pPr>
            <w:r>
              <w:rPr>
                <w:rFonts w:ascii="Arial" w:cs="Arial" w:eastAsia="Arial" w:hAnsi="Arial"/>
                <w:sz w:val="16"/>
                <w:szCs w:val="16"/>
                <w:color w:val="auto"/>
              </w:rPr>
              <w:t>3,660</w:t>
            </w:r>
          </w:p>
        </w:tc>
        <w:tc>
          <w:tcPr>
            <w:tcW w:w="820" w:type="dxa"/>
            <w:vAlign w:val="bottom"/>
          </w:tcPr>
          <w:p>
            <w:pPr>
              <w:jc w:val="right"/>
              <w:ind w:right="102"/>
              <w:spacing w:after="0"/>
              <w:rPr>
                <w:sz w:val="20"/>
                <w:szCs w:val="20"/>
                <w:color w:val="auto"/>
              </w:rPr>
            </w:pPr>
            <w:r>
              <w:rPr>
                <w:rFonts w:ascii="Arial" w:cs="Arial" w:eastAsia="Arial" w:hAnsi="Arial"/>
                <w:sz w:val="16"/>
                <w:szCs w:val="16"/>
                <w:color w:val="auto"/>
              </w:rPr>
              <w:t>4,129</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93,600</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105,581</w:t>
            </w:r>
          </w:p>
        </w:tc>
      </w:tr>
      <w:tr>
        <w:trPr>
          <w:trHeight w:val="189"/>
        </w:trPr>
        <w:tc>
          <w:tcPr>
            <w:tcW w:w="4300" w:type="dxa"/>
            <w:vAlign w:val="bottom"/>
            <w:tcBorders>
              <w:bottom w:val="single" w:sz="8" w:color="003B71"/>
            </w:tcBorders>
            <w:shd w:val="clear" w:color="auto" w:fill="E5E5E5"/>
          </w:tcPr>
          <w:p>
            <w:pPr>
              <w:ind w:left="80"/>
              <w:spacing w:after="0"/>
              <w:rPr>
                <w:sz w:val="20"/>
                <w:szCs w:val="20"/>
                <w:color w:val="auto"/>
              </w:rPr>
            </w:pPr>
            <w:r>
              <w:rPr>
                <w:rFonts w:ascii="Arial" w:cs="Arial" w:eastAsia="Arial" w:hAnsi="Arial"/>
                <w:sz w:val="16"/>
                <w:szCs w:val="16"/>
                <w:color w:val="auto"/>
              </w:rPr>
              <w:t>John B. Mulleady</w:t>
            </w:r>
          </w:p>
        </w:tc>
        <w:tc>
          <w:tcPr>
            <w:tcW w:w="3540" w:type="dxa"/>
            <w:vAlign w:val="bottom"/>
            <w:tcBorders>
              <w:bottom w:val="single" w:sz="8" w:color="003B71"/>
            </w:tcBorders>
            <w:shd w:val="clear" w:color="auto" w:fill="E5E5E5"/>
          </w:tcPr>
          <w:p>
            <w:pPr>
              <w:jc w:val="right"/>
              <w:ind w:right="102"/>
              <w:spacing w:after="0"/>
              <w:rPr>
                <w:sz w:val="20"/>
                <w:szCs w:val="20"/>
                <w:color w:val="auto"/>
              </w:rPr>
            </w:pPr>
            <w:r>
              <w:rPr>
                <w:rFonts w:ascii="Arial" w:cs="Arial" w:eastAsia="Arial" w:hAnsi="Arial"/>
                <w:sz w:val="16"/>
                <w:szCs w:val="16"/>
                <w:color w:val="auto"/>
              </w:rPr>
              <w:t>2,292</w:t>
            </w:r>
          </w:p>
        </w:tc>
        <w:tc>
          <w:tcPr>
            <w:tcW w:w="820" w:type="dxa"/>
            <w:vAlign w:val="bottom"/>
            <w:tcBorders>
              <w:bottom w:val="single" w:sz="8" w:color="003B71"/>
            </w:tcBorders>
            <w:shd w:val="clear" w:color="auto" w:fill="E5E5E5"/>
          </w:tcPr>
          <w:p>
            <w:pPr>
              <w:jc w:val="right"/>
              <w:ind w:right="102"/>
              <w:spacing w:after="0"/>
              <w:rPr>
                <w:sz w:val="20"/>
                <w:szCs w:val="20"/>
                <w:color w:val="auto"/>
              </w:rPr>
            </w:pPr>
            <w:r>
              <w:rPr>
                <w:rFonts w:ascii="Arial" w:cs="Arial" w:eastAsia="Arial" w:hAnsi="Arial"/>
                <w:sz w:val="16"/>
                <w:szCs w:val="16"/>
                <w:color w:val="auto"/>
              </w:rPr>
              <w:t>2,586</w:t>
            </w:r>
          </w:p>
        </w:tc>
        <w:tc>
          <w:tcPr>
            <w:tcW w:w="360" w:type="dxa"/>
            <w:vAlign w:val="bottom"/>
            <w:tcBorders>
              <w:bottom w:val="single" w:sz="8" w:color="003B71"/>
            </w:tcBorders>
            <w:shd w:val="clear" w:color="auto" w:fill="E5E5E5"/>
          </w:tcPr>
          <w:p>
            <w:pPr>
              <w:ind w:lef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003B71"/>
            </w:tcBorders>
            <w:shd w:val="clear" w:color="auto" w:fill="E5E5E5"/>
          </w:tcPr>
          <w:p>
            <w:pPr>
              <w:jc w:val="right"/>
              <w:ind w:right="62"/>
              <w:spacing w:after="0"/>
              <w:rPr>
                <w:sz w:val="20"/>
                <w:szCs w:val="20"/>
                <w:color w:val="auto"/>
              </w:rPr>
            </w:pPr>
            <w:r>
              <w:rPr>
                <w:rFonts w:ascii="Arial" w:cs="Arial" w:eastAsia="Arial" w:hAnsi="Arial"/>
                <w:sz w:val="16"/>
                <w:szCs w:val="16"/>
                <w:color w:val="auto"/>
              </w:rPr>
              <w:t>58,616</w:t>
            </w:r>
          </w:p>
        </w:tc>
        <w:tc>
          <w:tcPr>
            <w:tcW w:w="300" w:type="dxa"/>
            <w:vAlign w:val="bottom"/>
            <w:tcBorders>
              <w:bottom w:val="single" w:sz="8" w:color="003B71"/>
            </w:tcBorders>
            <w:shd w:val="clear" w:color="auto" w:fill="E5E5E5"/>
          </w:tcPr>
          <w:p>
            <w:pPr>
              <w:ind w:lef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003B71"/>
            </w:tcBorders>
            <w:shd w:val="clear" w:color="auto" w:fill="E5E5E5"/>
          </w:tcPr>
          <w:p>
            <w:pPr>
              <w:jc w:val="right"/>
              <w:ind w:right="42"/>
              <w:spacing w:after="0"/>
              <w:rPr>
                <w:sz w:val="20"/>
                <w:szCs w:val="20"/>
                <w:color w:val="auto"/>
              </w:rPr>
            </w:pPr>
            <w:r>
              <w:rPr>
                <w:rFonts w:ascii="Arial" w:cs="Arial" w:eastAsia="Arial" w:hAnsi="Arial"/>
                <w:sz w:val="16"/>
                <w:szCs w:val="16"/>
                <w:color w:val="auto"/>
              </w:rPr>
              <w:t>66,120</w:t>
            </w: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Benefits</w:t>
      </w:r>
    </w:p>
    <w:p>
      <w:pPr>
        <w:spacing w:after="0" w:line="104" w:lineRule="exact"/>
        <w:rPr>
          <w:sz w:val="20"/>
          <w:szCs w:val="20"/>
          <w:color w:val="auto"/>
        </w:rPr>
      </w:pPr>
    </w:p>
    <w:p>
      <w:pPr>
        <w:jc w:val="both"/>
        <w:ind w:left="120"/>
        <w:spacing w:after="0" w:line="245" w:lineRule="auto"/>
        <w:rPr>
          <w:sz w:val="20"/>
          <w:szCs w:val="20"/>
          <w:color w:val="auto"/>
        </w:rPr>
      </w:pPr>
      <w:r>
        <w:rPr>
          <w:rFonts w:ascii="Arial" w:cs="Arial" w:eastAsia="Arial" w:hAnsi="Arial"/>
          <w:sz w:val="18"/>
          <w:szCs w:val="18"/>
          <w:i w:val="1"/>
          <w:iCs w:val="1"/>
          <w:color w:val="auto"/>
        </w:rPr>
        <w:t>Retirement Benefits</w:t>
      </w:r>
      <w:r>
        <w:rPr>
          <w:rFonts w:ascii="Arial" w:cs="Arial" w:eastAsia="Arial" w:hAnsi="Arial"/>
          <w:sz w:val="18"/>
          <w:szCs w:val="18"/>
          <w:color w:val="auto"/>
        </w:rPr>
        <w:t>. Our employees, including our NEOs, are eligible to participate in the 401(k) retirement plan on the same basis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 employees. However, tax regulations impose a limit on the amount of compensation that may be deferred for purposes of retirement savings. As a result, we established the Select Executive Retirement Plan (the “SERP”). See “</w:t>
      </w:r>
      <w:r>
        <w:rPr>
          <w:rFonts w:ascii="Arial" w:cs="Arial" w:eastAsia="Arial" w:hAnsi="Arial"/>
          <w:sz w:val="18"/>
          <w:szCs w:val="18"/>
          <w:i w:val="1"/>
          <w:iCs w:val="1"/>
          <w:color w:val="auto"/>
        </w:rPr>
        <w:t>2019 Nonqualified Deferred Compensation</w:t>
      </w:r>
      <w:r>
        <w:rPr>
          <w:rFonts w:ascii="Arial" w:cs="Arial" w:eastAsia="Arial" w:hAnsi="Arial"/>
          <w:sz w:val="18"/>
          <w:szCs w:val="18"/>
          <w:color w:val="auto"/>
        </w:rPr>
        <w:t>” for a discussion of the SERP.</w:t>
      </w:r>
    </w:p>
    <w:p>
      <w:pPr>
        <w:spacing w:after="0" w:line="181" w:lineRule="exact"/>
        <w:rPr>
          <w:sz w:val="20"/>
          <w:szCs w:val="20"/>
          <w:color w:val="auto"/>
        </w:rPr>
      </w:pPr>
    </w:p>
    <w:p>
      <w:pPr>
        <w:jc w:val="both"/>
        <w:ind w:left="120"/>
        <w:spacing w:after="0" w:line="250" w:lineRule="auto"/>
        <w:rPr>
          <w:sz w:val="20"/>
          <w:szCs w:val="20"/>
          <w:color w:val="auto"/>
        </w:rPr>
      </w:pPr>
      <w:r>
        <w:rPr>
          <w:rFonts w:ascii="Arial" w:cs="Arial" w:eastAsia="Arial" w:hAnsi="Arial"/>
          <w:sz w:val="18"/>
          <w:szCs w:val="18"/>
          <w:i w:val="1"/>
          <w:iCs w:val="1"/>
          <w:color w:val="auto"/>
        </w:rPr>
        <w:t>Perquisites and Other Benefits</w:t>
      </w:r>
      <w:r>
        <w:rPr>
          <w:rFonts w:ascii="Arial" w:cs="Arial" w:eastAsia="Arial" w:hAnsi="Arial"/>
          <w:sz w:val="18"/>
          <w:szCs w:val="18"/>
          <w:color w:val="auto"/>
        </w:rPr>
        <w:t>. We offer our NEOs a modest perquisite allowance and an annual executive physical. We believe these</w:t>
      </w:r>
      <w:r>
        <w:rPr>
          <w:rFonts w:ascii="Arial" w:cs="Arial" w:eastAsia="Arial" w:hAnsi="Arial"/>
          <w:sz w:val="18"/>
          <w:szCs w:val="18"/>
          <w:i w:val="1"/>
          <w:iCs w:val="1"/>
          <w:color w:val="auto"/>
        </w:rPr>
        <w:t xml:space="preserve"> </w:t>
      </w:r>
      <w:r>
        <w:rPr>
          <w:rFonts w:ascii="Arial" w:cs="Arial" w:eastAsia="Arial" w:hAnsi="Arial"/>
          <w:sz w:val="18"/>
          <w:szCs w:val="18"/>
          <w:color w:val="auto"/>
        </w:rPr>
        <w:t>perquisites, which comprise less than 5% of each NEO’s total compensation, are reasonable and round out a competitive compensation program that enhances our ability to attract and retain executive talent. See “</w:t>
      </w:r>
      <w:r>
        <w:rPr>
          <w:rFonts w:ascii="Arial" w:cs="Arial" w:eastAsia="Arial" w:hAnsi="Arial"/>
          <w:sz w:val="18"/>
          <w:szCs w:val="18"/>
          <w:i w:val="1"/>
          <w:iCs w:val="1"/>
          <w:color w:val="auto"/>
        </w:rPr>
        <w:t>2019 Summary Compensation Table</w:t>
      </w:r>
      <w:r>
        <w:rPr>
          <w:rFonts w:ascii="Arial" w:cs="Arial" w:eastAsia="Arial" w:hAnsi="Arial"/>
          <w:sz w:val="18"/>
          <w:szCs w:val="18"/>
          <w:color w:val="auto"/>
        </w:rPr>
        <w:t>.”</w:t>
      </w:r>
    </w:p>
    <w:p>
      <w:pPr>
        <w:spacing w:after="0" w:line="177" w:lineRule="exact"/>
        <w:rPr>
          <w:sz w:val="20"/>
          <w:szCs w:val="20"/>
          <w:color w:val="auto"/>
        </w:rPr>
      </w:pPr>
    </w:p>
    <w:p>
      <w:pPr>
        <w:jc w:val="both"/>
        <w:ind w:left="120"/>
        <w:spacing w:after="0" w:line="250" w:lineRule="auto"/>
        <w:rPr>
          <w:sz w:val="20"/>
          <w:szCs w:val="20"/>
          <w:color w:val="auto"/>
        </w:rPr>
      </w:pPr>
      <w:r>
        <w:rPr>
          <w:rFonts w:ascii="Arial" w:cs="Arial" w:eastAsia="Arial" w:hAnsi="Arial"/>
          <w:sz w:val="18"/>
          <w:szCs w:val="18"/>
          <w:i w:val="1"/>
          <w:iCs w:val="1"/>
          <w:color w:val="auto"/>
        </w:rPr>
        <w:t>Severance Benefits</w:t>
      </w:r>
      <w:r>
        <w:rPr>
          <w:rFonts w:ascii="Arial" w:cs="Arial" w:eastAsia="Arial" w:hAnsi="Arial"/>
          <w:sz w:val="18"/>
          <w:szCs w:val="18"/>
          <w:color w:val="auto"/>
        </w:rPr>
        <w:t>. We have entered into employment agreements with each of our NEOs. These agreements provide our NEOs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severance benefits in the event of involuntary termination or adverse job changes and are key to attracting and retaining key executives. See “</w:t>
      </w:r>
      <w:r>
        <w:rPr>
          <w:rFonts w:ascii="Arial" w:cs="Arial" w:eastAsia="Arial" w:hAnsi="Arial"/>
          <w:sz w:val="18"/>
          <w:szCs w:val="18"/>
          <w:i w:val="1"/>
          <w:iCs w:val="1"/>
          <w:color w:val="auto"/>
        </w:rPr>
        <w:t>Employment Agreements</w:t>
      </w:r>
      <w:r>
        <w:rPr>
          <w:rFonts w:ascii="Arial" w:cs="Arial" w:eastAsia="Arial" w:hAnsi="Arial"/>
          <w:sz w:val="18"/>
          <w:szCs w:val="18"/>
          <w:color w:val="auto"/>
        </w:rPr>
        <w:t>.”</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Deductibility of Executive Compensation</w:t>
      </w:r>
    </w:p>
    <w:p>
      <w:pPr>
        <w:spacing w:after="0" w:line="126"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We consider objectives such as attracting, retaining and motivating leaders when we design our executive compensation programs. We also consider the tax-deductibility of compensation, but it is not our sole consideration. U.S. tax reform which became effective in 2017 expanded the types of compensation included in determining tax deduction limits, consequently, we expect that tax deductibility will have less of an impact on our program design for our named executive officers in the future. For federal income taxes, compensation is an expense that is fully tax-deductible for almost all our U.S. employees.</w:t>
      </w:r>
    </w:p>
    <w:p>
      <w:pPr>
        <w:spacing w:after="0" w:line="126"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41</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CEO Pay Ratio</w:t>
      </w:r>
    </w:p>
    <w:p>
      <w:pPr>
        <w:spacing w:after="0" w:line="126"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Compensation Committee reviewed a comparison of our Chief Executive Officer’s annual total compensation in fiscal 2019 to that of all other Company employees for the same period. Our calculations included employees who were active as of November 11, 2019. As Canadian employees account for less than 5% of our total employee population, we excluded Canadian employees from the median calculation. Our total employee population was 16,070 and our total employee population without our Canadian employees was 15,724. The median employee was identified using all earnings for fiscal 2019, as reported in our payroll system. Compensation was annualized for all employees including Mr. Jenkins, other than seasonal or temporary employees, based on the number of days employed during fiscal 2019. Payments which were not expected to be repeated throughout the year were not annualized. Mr. Jenkins had fiscal 2019 annual total compensation of $3,044,168 as reflected in the Summary Compensation Table included in this Proxy Statement. Our median employee’s annual total compensation for fiscal 2019 was $20,444 (based on the same methodology used for the Summary Compensation Table). Mr. Jenkins’s annual total compensation was approximately 148.9 times that of our median employee.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Stock Ownership Guidelines for Officers</w:t>
      </w:r>
    </w:p>
    <w:p>
      <w:pPr>
        <w:spacing w:after="0" w:line="12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ownership guidelines were established to further align the interests of our Chief Executive Officer, NEOs and executive officers with shareholders and encourage each executive officer to maintain a long-term equity stake in the Company. The guidelines provide that each executive officer must hold a multiple of his or her annual base salary in the Company’s stock and include the following holding requirement:</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4700" w:type="dxa"/>
            <w:vAlign w:val="bottom"/>
          </w:tcPr>
          <w:p>
            <w:pPr>
              <w:jc w:val="right"/>
              <w:ind w:right="323"/>
              <w:spacing w:after="0"/>
              <w:rPr>
                <w:sz w:val="20"/>
                <w:szCs w:val="20"/>
                <w:color w:val="auto"/>
              </w:rPr>
            </w:pPr>
            <w:r>
              <w:rPr>
                <w:rFonts w:ascii="Arial" w:cs="Arial" w:eastAsia="Arial" w:hAnsi="Arial"/>
                <w:sz w:val="14"/>
                <w:szCs w:val="14"/>
                <w:b w:val="1"/>
                <w:bCs w:val="1"/>
                <w:color w:val="003B71"/>
              </w:rPr>
              <w:t>Ownership Requirement</w:t>
            </w:r>
          </w:p>
        </w:tc>
      </w:tr>
      <w:tr>
        <w:trPr>
          <w:trHeight w:val="189"/>
        </w:trPr>
        <w:tc>
          <w:tcPr>
            <w:tcW w:w="632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Position</w:t>
            </w:r>
          </w:p>
        </w:tc>
        <w:tc>
          <w:tcPr>
            <w:tcW w:w="4700" w:type="dxa"/>
            <w:vAlign w:val="bottom"/>
            <w:tcBorders>
              <w:bottom w:val="single" w:sz="8" w:color="003B71"/>
            </w:tcBorders>
          </w:tcPr>
          <w:p>
            <w:pPr>
              <w:jc w:val="right"/>
              <w:ind w:right="343"/>
              <w:spacing w:after="0"/>
              <w:rPr>
                <w:sz w:val="20"/>
                <w:szCs w:val="20"/>
                <w:color w:val="auto"/>
              </w:rPr>
            </w:pPr>
            <w:r>
              <w:rPr>
                <w:rFonts w:ascii="Arial" w:cs="Arial" w:eastAsia="Arial" w:hAnsi="Arial"/>
                <w:sz w:val="14"/>
                <w:szCs w:val="14"/>
                <w:b w:val="1"/>
                <w:bCs w:val="1"/>
                <w:color w:val="003B71"/>
              </w:rPr>
              <w:t>(multiple of base salary)</w:t>
            </w:r>
          </w:p>
        </w:tc>
      </w:tr>
      <w:tr>
        <w:trPr>
          <w:trHeight w:val="183"/>
        </w:trPr>
        <w:tc>
          <w:tcPr>
            <w:tcW w:w="632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Chief Executive Officer</w:t>
            </w:r>
          </w:p>
        </w:tc>
        <w:tc>
          <w:tcPr>
            <w:tcW w:w="4700" w:type="dxa"/>
            <w:vAlign w:val="bottom"/>
            <w:shd w:val="clear" w:color="auto" w:fill="E5E5E5"/>
          </w:tcPr>
          <w:p>
            <w:pPr>
              <w:jc w:val="right"/>
              <w:ind w:right="323"/>
              <w:spacing w:after="0" w:line="183" w:lineRule="exact"/>
              <w:rPr>
                <w:sz w:val="20"/>
                <w:szCs w:val="20"/>
                <w:color w:val="auto"/>
              </w:rPr>
            </w:pPr>
            <w:r>
              <w:rPr>
                <w:rFonts w:ascii="Arial" w:cs="Arial" w:eastAsia="Arial" w:hAnsi="Arial"/>
                <w:sz w:val="16"/>
                <w:szCs w:val="16"/>
                <w:color w:val="auto"/>
              </w:rPr>
              <w:t>7 times</w:t>
            </w:r>
          </w:p>
        </w:tc>
      </w:tr>
      <w:tr>
        <w:trPr>
          <w:trHeight w:val="189"/>
        </w:trPr>
        <w:tc>
          <w:tcPr>
            <w:tcW w:w="6320" w:type="dxa"/>
            <w:vAlign w:val="bottom"/>
          </w:tcPr>
          <w:p>
            <w:pPr>
              <w:ind w:left="60"/>
              <w:spacing w:after="0"/>
              <w:rPr>
                <w:sz w:val="20"/>
                <w:szCs w:val="20"/>
                <w:color w:val="auto"/>
              </w:rPr>
            </w:pPr>
            <w:r>
              <w:rPr>
                <w:rFonts w:ascii="Arial" w:cs="Arial" w:eastAsia="Arial" w:hAnsi="Arial"/>
                <w:sz w:val="16"/>
                <w:szCs w:val="16"/>
                <w:color w:val="auto"/>
              </w:rPr>
              <w:t>Chief Financial Officer and Chief Operating Officer</w:t>
            </w:r>
          </w:p>
        </w:tc>
        <w:tc>
          <w:tcPr>
            <w:tcW w:w="4700" w:type="dxa"/>
            <w:vAlign w:val="bottom"/>
          </w:tcPr>
          <w:p>
            <w:pPr>
              <w:jc w:val="right"/>
              <w:ind w:right="323"/>
              <w:spacing w:after="0"/>
              <w:rPr>
                <w:sz w:val="20"/>
                <w:szCs w:val="20"/>
                <w:color w:val="auto"/>
              </w:rPr>
            </w:pPr>
            <w:r>
              <w:rPr>
                <w:rFonts w:ascii="Arial" w:cs="Arial" w:eastAsia="Arial" w:hAnsi="Arial"/>
                <w:sz w:val="16"/>
                <w:szCs w:val="16"/>
                <w:color w:val="auto"/>
              </w:rPr>
              <w:t>3 times</w:t>
            </w:r>
          </w:p>
        </w:tc>
      </w:tr>
      <w:tr>
        <w:trPr>
          <w:trHeight w:val="189"/>
        </w:trPr>
        <w:tc>
          <w:tcPr>
            <w:tcW w:w="6320" w:type="dxa"/>
            <w:vAlign w:val="bottom"/>
            <w:tcBorders>
              <w:bottom w:val="single" w:sz="8" w:color="003B71"/>
            </w:tcBorders>
            <w:shd w:val="clear" w:color="auto" w:fill="E5E5E5"/>
          </w:tcPr>
          <w:p>
            <w:pPr>
              <w:ind w:left="60"/>
              <w:spacing w:after="0"/>
              <w:rPr>
                <w:sz w:val="20"/>
                <w:szCs w:val="20"/>
                <w:color w:val="auto"/>
              </w:rPr>
            </w:pPr>
            <w:r>
              <w:rPr>
                <w:rFonts w:ascii="Arial" w:cs="Arial" w:eastAsia="Arial" w:hAnsi="Arial"/>
                <w:sz w:val="16"/>
                <w:szCs w:val="16"/>
                <w:color w:val="auto"/>
              </w:rPr>
              <w:t>Other Senior Vice Presidents</w:t>
            </w:r>
          </w:p>
        </w:tc>
        <w:tc>
          <w:tcPr>
            <w:tcW w:w="4700" w:type="dxa"/>
            <w:vAlign w:val="bottom"/>
            <w:tcBorders>
              <w:bottom w:val="single" w:sz="8" w:color="003B71"/>
            </w:tcBorders>
            <w:shd w:val="clear" w:color="auto" w:fill="E5E5E5"/>
          </w:tcPr>
          <w:p>
            <w:pPr>
              <w:jc w:val="right"/>
              <w:ind w:right="323"/>
              <w:spacing w:after="0"/>
              <w:rPr>
                <w:sz w:val="20"/>
                <w:szCs w:val="20"/>
                <w:color w:val="auto"/>
              </w:rPr>
            </w:pPr>
            <w:r>
              <w:rPr>
                <w:rFonts w:ascii="Arial" w:cs="Arial" w:eastAsia="Arial" w:hAnsi="Arial"/>
                <w:sz w:val="16"/>
                <w:szCs w:val="16"/>
                <w:color w:val="auto"/>
              </w:rPr>
              <w:t>2 times</w:t>
            </w:r>
          </w:p>
        </w:tc>
      </w:tr>
    </w:tbl>
    <w:p>
      <w:pPr>
        <w:spacing w:after="0" w:line="215"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Equity counted toward the ownership requirement includes stock ownership, vested and unexercised stock options, time-based restricted stock, or other similar plan holdings, and stock beneficially owned in a trust. Any executives hired or promoted into an executive officer role would have five years from the date of hire or promotion to achieve the requirement. As of the end of fiscal 2019, two of our executive officers have been in their current role for more than five years and met the minimum ownership requirement. Each of the remaining executive officers, including our NEOs, have been hired or promoted to their current role in the last five years and have between 1-5 years to achieve the minimum requirement for their role.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Clawback Policy</w:t>
      </w:r>
    </w:p>
    <w:p>
      <w:pPr>
        <w:spacing w:after="0" w:line="126"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The Company has adopted a clawback policy providing for the adjustment or recovery of compensation in certain circumstances. If the Board of Directors, upon recommendation of the Compensation Committee, determines that, as a result of a restatement of our financial statements because of material noncompliance with any financial reporting requirement under the securities laws, an executive officer has received more compensation than would have been paid absent the incorrect financial statements, within the three-year period immediately preceding the date on which the Company is required to prepare the restatement, the Board of Directors, in its discretion, shall take such action as it deems necessary or appropriate to address the events that gave rise to the restatement and to prevent its recurrence. In certain cases, such action may include, to the extent permitted by applicable law: (i) requiring partial or full reimbursement of any bonus or other incentive compensation paid to the executive officer; (ii) causing the partial or full cancellation of RSUs, Performance Cash, and Stock Options; (iii) adjusting the future compensation of such executive officer; and (iv) dismissing or taking legal action against the executive officer, in each case as the Board, upon recommendation of the Compensation Committee, determines to be in the Company’s best interests and that of our shareholders. These remedies would be in addition to, and not in lieu of, any penalties imposed by law enforcement agencies, regulators or other authorities. Any incentive-based awards or payments or other compensation paid to current and former executive officers under employment agreements or any other agreement or arrangement with the Company which is subject to recovery under any law, government regulation, or stock exchange listing requirement (including compliance with the Dodd-Frank Act), will be subject to the deductions and clawback as may be required by law, government regulation or stock exchange listing requirement.</w:t>
      </w:r>
    </w:p>
    <w:p>
      <w:pPr>
        <w:spacing w:after="0" w:line="13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42</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Risk Assessment Disclosure</w:t>
      </w:r>
    </w:p>
    <w:p>
      <w:pPr>
        <w:spacing w:after="0" w:line="126"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Our Compensation Committee assessed the risk associated with our compensation practices and policies for employees, including a consideration of the balance between risk-taking incentives and risk-mitigating factors in our practices and policies. The assessment determined that any risks arising from our compensation practices and policies are not reasonably likely to have a material adverse effect on our business or financial condition.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COVID-19 Pandemic Action Plan</w:t>
      </w:r>
    </w:p>
    <w:p>
      <w:pPr>
        <w:spacing w:after="0" w:line="12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global COVID-19 pandemic has had wide-spread impact on the economy and has been particularly devastating on the restaurant and entertainment industry, with sweeping nationwide-closures of non-essential businesses as mandated by local and federal governments. To protect the health and safety of guests and employees, and in full cooperation with local authorities and health official recommendations, Dave &amp; Buster’s temporarily suspended all store operations as of March 20, 2020.</w:t>
      </w:r>
    </w:p>
    <w:p>
      <w:pPr>
        <w:spacing w:after="0" w:line="20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In April 2020, Dave &amp; Buster’s announced strategic actions to increase liquidity, reduce operating expenses, and preserve cash as it navigates through unprecedented Company and industry disruption and seeks to position its operations for accelerated recovery. These actions included decisive and deliberate changes to pay levels and pay structure for our executives in the face of great market uncertainty and industry instability. Compensation actions included:</w:t>
      </w:r>
    </w:p>
    <w:p>
      <w:pPr>
        <w:spacing w:after="0" w:line="110" w:lineRule="exact"/>
        <w:rPr>
          <w:sz w:val="20"/>
          <w:szCs w:val="20"/>
          <w:color w:val="auto"/>
        </w:rPr>
      </w:pPr>
    </w:p>
    <w:p>
      <w:pPr>
        <w:jc w:val="both"/>
        <w:ind w:left="540" w:hanging="316"/>
        <w:spacing w:after="0"/>
        <w:tabs>
          <w:tab w:leader="none" w:pos="540" w:val="left"/>
        </w:tabs>
        <w:numPr>
          <w:ilvl w:val="0"/>
          <w:numId w:val="107"/>
        </w:numPr>
        <w:rPr>
          <w:rFonts w:ascii="Arial" w:cs="Arial" w:eastAsia="Arial" w:hAnsi="Arial"/>
          <w:sz w:val="18"/>
          <w:szCs w:val="18"/>
          <w:color w:val="003B71"/>
        </w:rPr>
      </w:pPr>
      <w:r>
        <w:rPr>
          <w:rFonts w:ascii="Arial" w:cs="Arial" w:eastAsia="Arial" w:hAnsi="Arial"/>
          <w:sz w:val="18"/>
          <w:szCs w:val="18"/>
          <w:color w:val="auto"/>
        </w:rPr>
        <w:t>2019 Bonus. Certain milestones for the fiscal 2019 Executive Incentive Plan were achieved, but in light of the extraordinary impact of the COVID-19 pandemic on Dave &amp; Buster’s near-term liquidity, management recommended, and the Compensation Committee approved, delayed payment of the awards and payment of the awards for all named executive officers in stock rather than cash.</w:t>
      </w:r>
    </w:p>
    <w:p>
      <w:pPr>
        <w:spacing w:after="0" w:line="108" w:lineRule="exact"/>
        <w:rPr>
          <w:rFonts w:ascii="Arial" w:cs="Arial" w:eastAsia="Arial" w:hAnsi="Arial"/>
          <w:sz w:val="18"/>
          <w:szCs w:val="18"/>
          <w:color w:val="003B71"/>
        </w:rPr>
      </w:pPr>
    </w:p>
    <w:p>
      <w:pPr>
        <w:jc w:val="both"/>
        <w:ind w:left="540" w:right="20" w:hanging="316"/>
        <w:spacing w:after="0"/>
        <w:tabs>
          <w:tab w:leader="none" w:pos="540" w:val="left"/>
        </w:tabs>
        <w:numPr>
          <w:ilvl w:val="0"/>
          <w:numId w:val="107"/>
        </w:numPr>
        <w:rPr>
          <w:rFonts w:ascii="Arial" w:cs="Arial" w:eastAsia="Arial" w:hAnsi="Arial"/>
          <w:sz w:val="18"/>
          <w:szCs w:val="18"/>
          <w:color w:val="003B71"/>
        </w:rPr>
      </w:pPr>
      <w:r>
        <w:rPr>
          <w:rFonts w:ascii="Arial" w:cs="Arial" w:eastAsia="Arial" w:hAnsi="Arial"/>
          <w:sz w:val="18"/>
          <w:szCs w:val="18"/>
          <w:color w:val="auto"/>
        </w:rPr>
        <w:t>2020 Base Salary. Management recommended, and the Compensation Committee approved, temporary corporate-wide base salary reductions beginning in April. This included 50% salary reductions for our Chief Executive Officer, Brian Jenkins, as well as all Senior Vice Presidents reporting to the CEO. The Company also indefinitely delayed merit-based increases in base salaries for fiscal 2020.</w:t>
      </w:r>
    </w:p>
    <w:p>
      <w:pPr>
        <w:spacing w:after="0" w:line="108" w:lineRule="exact"/>
        <w:rPr>
          <w:rFonts w:ascii="Arial" w:cs="Arial" w:eastAsia="Arial" w:hAnsi="Arial"/>
          <w:sz w:val="18"/>
          <w:szCs w:val="18"/>
          <w:color w:val="003B71"/>
        </w:rPr>
      </w:pPr>
    </w:p>
    <w:p>
      <w:pPr>
        <w:ind w:left="540" w:hanging="316"/>
        <w:spacing w:after="0" w:line="246" w:lineRule="auto"/>
        <w:tabs>
          <w:tab w:leader="none" w:pos="540" w:val="left"/>
        </w:tabs>
        <w:numPr>
          <w:ilvl w:val="0"/>
          <w:numId w:val="107"/>
        </w:numPr>
        <w:rPr>
          <w:rFonts w:ascii="Arial" w:cs="Arial" w:eastAsia="Arial" w:hAnsi="Arial"/>
          <w:sz w:val="18"/>
          <w:szCs w:val="18"/>
          <w:color w:val="003B71"/>
        </w:rPr>
      </w:pPr>
      <w:r>
        <w:rPr>
          <w:rFonts w:ascii="Arial" w:cs="Arial" w:eastAsia="Arial" w:hAnsi="Arial"/>
          <w:sz w:val="18"/>
          <w:szCs w:val="18"/>
          <w:color w:val="auto"/>
        </w:rPr>
        <w:t>Suspension of Cash Payments to Board of Directors. The Compensation Committee suspended payment of all cash components of director compensation for the last three quarters of fiscal year 2020.</w:t>
      </w:r>
    </w:p>
    <w:p>
      <w:pPr>
        <w:spacing w:after="0" w:line="102" w:lineRule="exact"/>
        <w:rPr>
          <w:rFonts w:ascii="Arial" w:cs="Arial" w:eastAsia="Arial" w:hAnsi="Arial"/>
          <w:sz w:val="18"/>
          <w:szCs w:val="18"/>
          <w:color w:val="003B71"/>
        </w:rPr>
      </w:pPr>
    </w:p>
    <w:p>
      <w:pPr>
        <w:jc w:val="both"/>
        <w:ind w:left="540" w:hanging="316"/>
        <w:spacing w:after="0"/>
        <w:tabs>
          <w:tab w:leader="none" w:pos="540" w:val="left"/>
        </w:tabs>
        <w:numPr>
          <w:ilvl w:val="0"/>
          <w:numId w:val="107"/>
        </w:numPr>
        <w:rPr>
          <w:rFonts w:ascii="Arial" w:cs="Arial" w:eastAsia="Arial" w:hAnsi="Arial"/>
          <w:sz w:val="18"/>
          <w:szCs w:val="18"/>
          <w:color w:val="003B71"/>
        </w:rPr>
      </w:pPr>
      <w:r>
        <w:rPr>
          <w:rFonts w:ascii="Arial" w:cs="Arial" w:eastAsia="Arial" w:hAnsi="Arial"/>
          <w:sz w:val="18"/>
          <w:szCs w:val="18"/>
          <w:color w:val="auto"/>
        </w:rPr>
        <w:t>2020 Short and Long-Term Bonus Program. The Compensation Committee suspended the fiscal 2020 annual and long-term bonus plan in efforts to preserve liquidity and replaced the plans with a stock-based award to support the Business Recovery and Transformation Plan described below.</w:t>
      </w:r>
    </w:p>
    <w:p>
      <w:pPr>
        <w:spacing w:after="0" w:line="108" w:lineRule="exact"/>
        <w:rPr>
          <w:rFonts w:ascii="Arial" w:cs="Arial" w:eastAsia="Arial" w:hAnsi="Arial"/>
          <w:sz w:val="18"/>
          <w:szCs w:val="18"/>
          <w:color w:val="003B71"/>
        </w:rPr>
      </w:pPr>
    </w:p>
    <w:p>
      <w:pPr>
        <w:jc w:val="both"/>
        <w:ind w:left="540" w:hanging="316"/>
        <w:spacing w:after="0" w:line="235" w:lineRule="auto"/>
        <w:tabs>
          <w:tab w:leader="none" w:pos="540" w:val="left"/>
        </w:tabs>
        <w:numPr>
          <w:ilvl w:val="0"/>
          <w:numId w:val="107"/>
        </w:numPr>
        <w:rPr>
          <w:rFonts w:ascii="Arial" w:cs="Arial" w:eastAsia="Arial" w:hAnsi="Arial"/>
          <w:sz w:val="18"/>
          <w:szCs w:val="18"/>
          <w:color w:val="003B71"/>
        </w:rPr>
      </w:pPr>
      <w:r>
        <w:rPr>
          <w:rFonts w:ascii="Arial" w:cs="Arial" w:eastAsia="Arial" w:hAnsi="Arial"/>
          <w:sz w:val="18"/>
          <w:szCs w:val="18"/>
          <w:color w:val="auto"/>
        </w:rPr>
        <w:t>2020 Business Recovery and Transformation Plan. This plan was designed to address the immediate cash liquidity needs to stabilize the business, prepare for recovery given the extraordinary impact of the COVID-19 pandemic on Dave and Buster’s finances and business operations, and incentivize retention of key team members. The objective is to align management and investor interests and maintain business continuity through the crisis and for the long term. The 2020 Business Recovery and Transformation Plan replaces both the 2020 short-term bonus opportunity, typically paid in cash for the achievement of annual performance goals, as well as the 2020 long-term incentive grant opportunity, historically consisting of performance shares/cash and stock options. The Plan is made up of two equally weighted equity-based awards, performance-based Market Stock Units (MSU) and Restricted Stock Units (RSUs). MSUs are performance stock units, earned based on absolute stock price performance. The actual number of MSUs delivered is directly correlated to the absolute change in the Company’s stock price growth as measured on the first anniversary of grant. Given the uncertainty of the current environment, the Committee did not believe it feasible to establish long-term performance goals as was the historic practice for the Company. Instead, measuring the change in stock price was determined to be the most appropriate way to hold management accountable for the success of Business Recovery and Transformation Plan. Any earned RSUs and MSUs are subject to 3-year pro rata vesting. This is a plan for 2020 only; management and the Board intend to return to the Company’s performance-based short- and long-term incentive programs as soon as possible following the pandemic and the reopening of the Company’s stores.</w:t>
      </w:r>
    </w:p>
    <w:p>
      <w:pPr>
        <w:spacing w:after="0" w:line="118" w:lineRule="exact"/>
        <w:rPr>
          <w:rFonts w:ascii="Arial" w:cs="Arial" w:eastAsia="Arial" w:hAnsi="Arial"/>
          <w:sz w:val="18"/>
          <w:szCs w:val="18"/>
          <w:color w:val="003B71"/>
        </w:rPr>
      </w:pPr>
    </w:p>
    <w:p>
      <w:pPr>
        <w:jc w:val="both"/>
        <w:ind w:left="540" w:right="20" w:hanging="316"/>
        <w:spacing w:after="0" w:line="238" w:lineRule="auto"/>
        <w:tabs>
          <w:tab w:leader="none" w:pos="540" w:val="left"/>
        </w:tabs>
        <w:numPr>
          <w:ilvl w:val="0"/>
          <w:numId w:val="107"/>
        </w:numPr>
        <w:rPr>
          <w:rFonts w:ascii="Arial" w:cs="Arial" w:eastAsia="Arial" w:hAnsi="Arial"/>
          <w:sz w:val="18"/>
          <w:szCs w:val="18"/>
          <w:color w:val="003B71"/>
        </w:rPr>
      </w:pPr>
      <w:r>
        <w:rPr>
          <w:rFonts w:ascii="Arial" w:cs="Arial" w:eastAsia="Arial" w:hAnsi="Arial"/>
          <w:sz w:val="18"/>
          <w:szCs w:val="18"/>
          <w:color w:val="auto"/>
        </w:rPr>
        <w:t>Proposed Amendment to the 2014 Omnibus Incentive Plan. Dave &amp; Buster’s is also seeking shareholder approval to amend the 2014 Omnibus Incentive Plan and requests an additional 3 million shares for issuance under the plan. The approval of this proposal will allow Dave and Buster’s to continue to grant long-term equity to employees critical to the success of our business recovery and transformation. As a result of the limited number of shares remaining available for future grant under the existing plan, we project that the current share reserve</w:t>
      </w:r>
    </w:p>
    <w:p>
      <w:pPr>
        <w:spacing w:after="0" w:line="126"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43</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540" w:right="20"/>
        <w:spacing w:after="0"/>
        <w:rPr>
          <w:sz w:val="20"/>
          <w:szCs w:val="20"/>
          <w:color w:val="auto"/>
        </w:rPr>
      </w:pPr>
      <w:r>
        <w:rPr>
          <w:rFonts w:ascii="Arial" w:cs="Arial" w:eastAsia="Arial" w:hAnsi="Arial"/>
          <w:sz w:val="18"/>
          <w:szCs w:val="18"/>
          <w:color w:val="auto"/>
        </w:rPr>
        <w:t>will not be sufficient to cover any equity grants needed beyond fiscal 2020. In fact, the RSUs and MSUs granted under the 2020 Business Recovery and Transformation Plan are made in units that are intended to be settled in stock but may be settled in cash if this amendment is not approved by stockholders. Additional details are found in the shareholder proposal beginning on page 13.</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Committee has reviewed and discussed the Compensation Discussion and Analysis (“CD&amp;A”) with the management of the Company. Based on that review and discussion, on April 24, 2020 the Committee recommended to the Board of Directors that the CD&amp;A be included in this Proxy Statement.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Michael J. Griffith, Chair</w:t>
      </w:r>
    </w:p>
    <w:p>
      <w:pPr>
        <w:ind w:left="6740"/>
        <w:spacing w:after="0" w:line="234" w:lineRule="auto"/>
        <w:rPr>
          <w:sz w:val="20"/>
          <w:szCs w:val="20"/>
          <w:color w:val="auto"/>
        </w:rPr>
      </w:pPr>
      <w:r>
        <w:rPr>
          <w:rFonts w:ascii="Arial" w:cs="Arial" w:eastAsia="Arial" w:hAnsi="Arial"/>
          <w:sz w:val="18"/>
          <w:szCs w:val="18"/>
          <w:color w:val="auto"/>
        </w:rPr>
        <w:t>Victor Crawford</w:t>
      </w:r>
    </w:p>
    <w:p>
      <w:pPr>
        <w:ind w:left="6740"/>
        <w:spacing w:after="0" w:line="235" w:lineRule="auto"/>
        <w:rPr>
          <w:sz w:val="20"/>
          <w:szCs w:val="20"/>
          <w:color w:val="auto"/>
        </w:rPr>
      </w:pPr>
      <w:r>
        <w:rPr>
          <w:rFonts w:ascii="Arial" w:cs="Arial" w:eastAsia="Arial" w:hAnsi="Arial"/>
          <w:sz w:val="18"/>
          <w:szCs w:val="18"/>
          <w:color w:val="auto"/>
        </w:rPr>
        <w:t>Patricia H. Mueller</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Jennifer Storms</w:t>
      </w:r>
    </w:p>
    <w:p>
      <w:pPr>
        <w:spacing w:after="0" w:line="136"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44</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40"/>
          <w:szCs w:val="40"/>
          <w:color w:val="003B71"/>
        </w:rPr>
        <w:t>2019 Summary Compensation Table</w:t>
      </w:r>
    </w:p>
    <w:p>
      <w:pPr>
        <w:spacing w:after="0" w:line="208"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The following table sets forth information concerning all compensation that we paid or accrued during fiscal 2019, 2018, and 2017 to or for each of our NEOs.</w:t>
      </w:r>
    </w:p>
    <w:p>
      <w:pPr>
        <w:spacing w:after="0" w:line="21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3B71"/>
              </w:rPr>
              <w:t>Non-Equity</w:t>
            </w: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3B71"/>
              </w:rPr>
              <w:t>Incentive</w:t>
            </w: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3B71"/>
              </w:rPr>
              <w:t>Stock</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3B71"/>
              </w:rPr>
              <w:t>Option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3B71"/>
              </w:rPr>
              <w:t>Plan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3B71"/>
              </w:rPr>
              <w:t>All Other</w:t>
            </w:r>
          </w:p>
        </w:tc>
        <w:tc>
          <w:tcPr>
            <w:tcW w:w="54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003B71"/>
              </w:rPr>
              <w:t>Salary</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B71"/>
              </w:rPr>
              <w:t>Bonus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3B71"/>
              </w:rPr>
              <w:t>Awards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3B71"/>
                <w:w w:val="98"/>
              </w:rPr>
              <w:t>Awards</w:t>
            </w:r>
          </w:p>
        </w:tc>
        <w:tc>
          <w:tcPr>
            <w:tcW w:w="1320" w:type="dxa"/>
            <w:vAlign w:val="bottom"/>
          </w:tcPr>
          <w:p>
            <w:pPr>
              <w:jc w:val="center"/>
              <w:ind w:left="8"/>
              <w:spacing w:after="0"/>
              <w:rPr>
                <w:sz w:val="20"/>
                <w:szCs w:val="20"/>
                <w:color w:val="auto"/>
              </w:rPr>
            </w:pPr>
            <w:r>
              <w:rPr>
                <w:rFonts w:ascii="Arial" w:cs="Arial" w:eastAsia="Arial" w:hAnsi="Arial"/>
                <w:sz w:val="14"/>
                <w:szCs w:val="14"/>
                <w:b w:val="1"/>
                <w:bCs w:val="1"/>
                <w:color w:val="003B71"/>
              </w:rPr>
              <w:t>Compensation</w:t>
            </w:r>
          </w:p>
        </w:tc>
        <w:tc>
          <w:tcPr>
            <w:tcW w:w="1320" w:type="dxa"/>
            <w:vAlign w:val="bottom"/>
          </w:tcPr>
          <w:p>
            <w:pPr>
              <w:jc w:val="center"/>
              <w:ind w:right="8"/>
              <w:spacing w:after="0"/>
              <w:rPr>
                <w:sz w:val="20"/>
                <w:szCs w:val="20"/>
                <w:color w:val="auto"/>
              </w:rPr>
            </w:pPr>
            <w:r>
              <w:rPr>
                <w:rFonts w:ascii="Arial" w:cs="Arial" w:eastAsia="Arial" w:hAnsi="Arial"/>
                <w:sz w:val="14"/>
                <w:szCs w:val="14"/>
                <w:b w:val="1"/>
                <w:bCs w:val="1"/>
                <w:color w:val="003B71"/>
              </w:rPr>
              <w:t>Compensation</w:t>
            </w:r>
          </w:p>
        </w:tc>
        <w:tc>
          <w:tcPr>
            <w:tcW w:w="540" w:type="dxa"/>
            <w:vAlign w:val="bottom"/>
          </w:tcPr>
          <w:p>
            <w:pPr>
              <w:jc w:val="center"/>
              <w:ind w:left="128"/>
              <w:spacing w:after="0"/>
              <w:rPr>
                <w:sz w:val="20"/>
                <w:szCs w:val="20"/>
                <w:color w:val="auto"/>
              </w:rPr>
            </w:pPr>
            <w:r>
              <w:rPr>
                <w:rFonts w:ascii="Arial" w:cs="Arial" w:eastAsia="Arial" w:hAnsi="Arial"/>
                <w:sz w:val="14"/>
                <w:szCs w:val="14"/>
                <w:b w:val="1"/>
                <w:bCs w:val="1"/>
                <w:color w:val="003B71"/>
              </w:rPr>
              <w:t>Total</w:t>
            </w:r>
          </w:p>
        </w:tc>
      </w:tr>
      <w:tr>
        <w:trPr>
          <w:trHeight w:val="175"/>
        </w:trPr>
        <w:tc>
          <w:tcPr>
            <w:tcW w:w="2640" w:type="dxa"/>
            <w:vAlign w:val="bottom"/>
          </w:tcPr>
          <w:p>
            <w:pPr>
              <w:spacing w:after="0"/>
              <w:rPr>
                <w:sz w:val="20"/>
                <w:szCs w:val="20"/>
                <w:color w:val="auto"/>
              </w:rPr>
            </w:pPr>
            <w:r>
              <w:rPr>
                <w:rFonts w:ascii="Arial" w:cs="Arial" w:eastAsia="Arial" w:hAnsi="Arial"/>
                <w:sz w:val="14"/>
                <w:szCs w:val="14"/>
                <w:b w:val="1"/>
                <w:bCs w:val="1"/>
                <w:color w:val="003B71"/>
              </w:rPr>
              <w:t>Name and Principal Position</w:t>
            </w:r>
          </w:p>
        </w:tc>
        <w:tc>
          <w:tcPr>
            <w:tcW w:w="1180" w:type="dxa"/>
            <w:vAlign w:val="bottom"/>
          </w:tcPr>
          <w:p>
            <w:pPr>
              <w:ind w:left="680"/>
              <w:spacing w:after="0"/>
              <w:rPr>
                <w:sz w:val="20"/>
                <w:szCs w:val="20"/>
                <w:color w:val="auto"/>
              </w:rPr>
            </w:pPr>
            <w:r>
              <w:rPr>
                <w:rFonts w:ascii="Arial" w:cs="Arial" w:eastAsia="Arial" w:hAnsi="Arial"/>
                <w:sz w:val="14"/>
                <w:szCs w:val="14"/>
                <w:b w:val="1"/>
                <w:bCs w:val="1"/>
                <w:color w:val="003B71"/>
              </w:rPr>
              <w:t>Year</w:t>
            </w: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003B71"/>
              </w:rPr>
              <w:t>($)(3)</w:t>
            </w:r>
          </w:p>
        </w:tc>
        <w:tc>
          <w:tcPr>
            <w:tcW w:w="860" w:type="dxa"/>
            <w:vAlign w:val="bottom"/>
          </w:tcPr>
          <w:p>
            <w:pPr>
              <w:jc w:val="right"/>
              <w:ind w:right="208"/>
              <w:spacing w:after="0"/>
              <w:rPr>
                <w:sz w:val="20"/>
                <w:szCs w:val="20"/>
                <w:color w:val="auto"/>
              </w:rPr>
            </w:pPr>
            <w:r>
              <w:rPr>
                <w:rFonts w:ascii="Arial" w:cs="Arial" w:eastAsia="Arial" w:hAnsi="Arial"/>
                <w:sz w:val="14"/>
                <w:szCs w:val="14"/>
                <w:b w:val="1"/>
                <w:bCs w:val="1"/>
                <w:color w:val="003B71"/>
              </w:rPr>
              <w:t>($)(4)</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3B71"/>
              </w:rPr>
              <w:t>($)(5)</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3B71"/>
                <w:w w:val="99"/>
              </w:rPr>
              <w:t>($)(6)</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3B71"/>
                <w:w w:val="99"/>
              </w:rPr>
              <w:t>($)(7)</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3B71"/>
                <w:w w:val="99"/>
              </w:rPr>
              <w:t>($)(8)</w:t>
            </w: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003B7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3689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36893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ind w:left="180"/>
        <w:spacing w:after="0"/>
        <w:rPr>
          <w:sz w:val="20"/>
          <w:szCs w:val="20"/>
          <w:color w:val="auto"/>
        </w:rPr>
      </w:pPr>
      <w:r>
        <w:rPr>
          <w:rFonts w:ascii="Arial" w:cs="Arial" w:eastAsia="Arial" w:hAnsi="Arial"/>
          <w:sz w:val="16"/>
          <w:szCs w:val="16"/>
          <w:b w:val="1"/>
          <w:bCs w:val="1"/>
          <w:color w:val="auto"/>
        </w:rPr>
        <w:t>Brian A. Jenkins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(CEO)</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Scott Bowman</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(CFO(1))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40" w:type="dxa"/>
            <w:vAlign w:val="bottom"/>
            <w:gridSpan w:val="2"/>
            <w:shd w:val="clear" w:color="auto" w:fill="E5E5E5"/>
          </w:tcPr>
          <w:p>
            <w:pPr>
              <w:jc w:val="right"/>
              <w:ind w:right="79"/>
              <w:spacing w:after="0"/>
              <w:rPr>
                <w:sz w:val="20"/>
                <w:szCs w:val="20"/>
                <w:color w:val="auto"/>
              </w:rPr>
            </w:pPr>
            <w:r>
              <w:rPr>
                <w:rFonts w:ascii="Arial" w:cs="Arial" w:eastAsia="Arial" w:hAnsi="Arial"/>
                <w:sz w:val="16"/>
                <w:szCs w:val="16"/>
                <w:color w:val="auto"/>
              </w:rPr>
              <w:t>2019</w:t>
            </w:r>
          </w:p>
        </w:tc>
        <w:tc>
          <w:tcPr>
            <w:tcW w:w="88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772,500</w:t>
            </w:r>
          </w:p>
        </w:tc>
        <w:tc>
          <w:tcPr>
            <w:tcW w:w="78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0</w:t>
            </w:r>
          </w:p>
        </w:tc>
        <w:tc>
          <w:tcPr>
            <w:tcW w:w="102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721,866</w:t>
            </w:r>
          </w:p>
        </w:tc>
        <w:tc>
          <w:tcPr>
            <w:tcW w:w="1220" w:type="dxa"/>
            <w:vAlign w:val="bottom"/>
            <w:shd w:val="clear" w:color="auto" w:fill="E5E5E5"/>
          </w:tcPr>
          <w:p>
            <w:pPr>
              <w:jc w:val="right"/>
              <w:ind w:right="259"/>
              <w:spacing w:after="0"/>
              <w:rPr>
                <w:sz w:val="20"/>
                <w:szCs w:val="20"/>
                <w:color w:val="auto"/>
              </w:rPr>
            </w:pPr>
            <w:r>
              <w:rPr>
                <w:rFonts w:ascii="Arial" w:cs="Arial" w:eastAsia="Arial" w:hAnsi="Arial"/>
                <w:sz w:val="16"/>
                <w:szCs w:val="16"/>
                <w:color w:val="auto"/>
              </w:rPr>
              <w:t>1,031,242</w:t>
            </w:r>
          </w:p>
        </w:tc>
        <w:tc>
          <w:tcPr>
            <w:tcW w:w="1300" w:type="dxa"/>
            <w:vAlign w:val="bottom"/>
            <w:shd w:val="clear" w:color="auto" w:fill="E5E5E5"/>
          </w:tcPr>
          <w:p>
            <w:pPr>
              <w:jc w:val="right"/>
              <w:ind w:right="299"/>
              <w:spacing w:after="0"/>
              <w:rPr>
                <w:sz w:val="20"/>
                <w:szCs w:val="20"/>
                <w:color w:val="auto"/>
              </w:rPr>
            </w:pPr>
            <w:r>
              <w:rPr>
                <w:rFonts w:ascii="Arial" w:cs="Arial" w:eastAsia="Arial" w:hAnsi="Arial"/>
                <w:sz w:val="16"/>
                <w:szCs w:val="16"/>
                <w:color w:val="auto"/>
              </w:rPr>
              <w:t>475,578</w:t>
            </w:r>
          </w:p>
        </w:tc>
        <w:tc>
          <w:tcPr>
            <w:tcW w:w="9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42,982</w:t>
            </w:r>
          </w:p>
        </w:tc>
        <w:tc>
          <w:tcPr>
            <w:tcW w:w="94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3,044,168</w:t>
            </w:r>
          </w:p>
        </w:tc>
      </w:tr>
      <w:tr>
        <w:trPr>
          <w:trHeight w:val="189"/>
        </w:trPr>
        <w:tc>
          <w:tcPr>
            <w:tcW w:w="180" w:type="dxa"/>
            <w:vAlign w:val="bottom"/>
          </w:tcPr>
          <w:p>
            <w:pPr>
              <w:spacing w:after="0"/>
              <w:rPr>
                <w:sz w:val="16"/>
                <w:szCs w:val="16"/>
                <w:color w:val="auto"/>
              </w:rPr>
            </w:pPr>
          </w:p>
        </w:tc>
        <w:tc>
          <w:tcPr>
            <w:tcW w:w="56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2018</w:t>
            </w:r>
          </w:p>
        </w:tc>
        <w:tc>
          <w:tcPr>
            <w:tcW w:w="88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610,281</w:t>
            </w:r>
          </w:p>
        </w:tc>
        <w:tc>
          <w:tcPr>
            <w:tcW w:w="780" w:type="dxa"/>
            <w:vAlign w:val="bottom"/>
            <w:shd w:val="clear" w:color="auto" w:fill="E5E5E5"/>
          </w:tcPr>
          <w:p>
            <w:pPr>
              <w:spacing w:after="0"/>
              <w:rPr>
                <w:sz w:val="16"/>
                <w:szCs w:val="16"/>
                <w:color w:val="auto"/>
              </w:rPr>
            </w:pPr>
          </w:p>
        </w:tc>
        <w:tc>
          <w:tcPr>
            <w:tcW w:w="102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2,224,979</w:t>
            </w:r>
          </w:p>
        </w:tc>
        <w:tc>
          <w:tcPr>
            <w:tcW w:w="1220" w:type="dxa"/>
            <w:vAlign w:val="bottom"/>
            <w:shd w:val="clear" w:color="auto" w:fill="E5E5E5"/>
          </w:tcPr>
          <w:p>
            <w:pPr>
              <w:jc w:val="right"/>
              <w:ind w:right="259"/>
              <w:spacing w:after="0"/>
              <w:rPr>
                <w:sz w:val="20"/>
                <w:szCs w:val="20"/>
                <w:color w:val="auto"/>
              </w:rPr>
            </w:pPr>
            <w:r>
              <w:rPr>
                <w:rFonts w:ascii="Arial" w:cs="Arial" w:eastAsia="Arial" w:hAnsi="Arial"/>
                <w:sz w:val="16"/>
                <w:szCs w:val="16"/>
                <w:color w:val="auto"/>
              </w:rPr>
              <w:t>499,999</w:t>
            </w:r>
          </w:p>
        </w:tc>
        <w:tc>
          <w:tcPr>
            <w:tcW w:w="1300" w:type="dxa"/>
            <w:vAlign w:val="bottom"/>
            <w:shd w:val="clear" w:color="auto" w:fill="E5E5E5"/>
          </w:tcPr>
          <w:p>
            <w:pPr>
              <w:jc w:val="right"/>
              <w:ind w:right="299"/>
              <w:spacing w:after="0"/>
              <w:rPr>
                <w:sz w:val="20"/>
                <w:szCs w:val="20"/>
                <w:color w:val="auto"/>
              </w:rPr>
            </w:pPr>
            <w:r>
              <w:rPr>
                <w:rFonts w:ascii="Arial" w:cs="Arial" w:eastAsia="Arial" w:hAnsi="Arial"/>
                <w:sz w:val="16"/>
                <w:szCs w:val="16"/>
                <w:color w:val="auto"/>
              </w:rPr>
              <w:t>720,667</w:t>
            </w:r>
          </w:p>
        </w:tc>
        <w:tc>
          <w:tcPr>
            <w:tcW w:w="9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42,234</w:t>
            </w:r>
          </w:p>
        </w:tc>
        <w:tc>
          <w:tcPr>
            <w:tcW w:w="94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4,098,160</w:t>
            </w:r>
          </w:p>
        </w:tc>
      </w:tr>
      <w:tr>
        <w:trPr>
          <w:trHeight w:val="189"/>
        </w:trPr>
        <w:tc>
          <w:tcPr>
            <w:tcW w:w="180" w:type="dxa"/>
            <w:vAlign w:val="bottom"/>
          </w:tcPr>
          <w:p>
            <w:pPr>
              <w:spacing w:after="0"/>
              <w:rPr>
                <w:sz w:val="16"/>
                <w:szCs w:val="16"/>
                <w:color w:val="auto"/>
              </w:rPr>
            </w:pPr>
          </w:p>
        </w:tc>
        <w:tc>
          <w:tcPr>
            <w:tcW w:w="56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2017</w:t>
            </w:r>
          </w:p>
        </w:tc>
        <w:tc>
          <w:tcPr>
            <w:tcW w:w="88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463,846</w:t>
            </w:r>
          </w:p>
        </w:tc>
        <w:tc>
          <w:tcPr>
            <w:tcW w:w="78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4,616</w:t>
            </w:r>
          </w:p>
        </w:tc>
        <w:tc>
          <w:tcPr>
            <w:tcW w:w="102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465,571</w:t>
            </w:r>
          </w:p>
        </w:tc>
        <w:tc>
          <w:tcPr>
            <w:tcW w:w="1220" w:type="dxa"/>
            <w:vAlign w:val="bottom"/>
            <w:shd w:val="clear" w:color="auto" w:fill="E5E5E5"/>
          </w:tcPr>
          <w:p>
            <w:pPr>
              <w:jc w:val="right"/>
              <w:ind w:right="259"/>
              <w:spacing w:after="0"/>
              <w:rPr>
                <w:sz w:val="20"/>
                <w:szCs w:val="20"/>
                <w:color w:val="auto"/>
              </w:rPr>
            </w:pPr>
            <w:r>
              <w:rPr>
                <w:rFonts w:ascii="Arial" w:cs="Arial" w:eastAsia="Arial" w:hAnsi="Arial"/>
                <w:sz w:val="16"/>
                <w:szCs w:val="16"/>
                <w:color w:val="auto"/>
              </w:rPr>
              <w:t>807,981</w:t>
            </w:r>
          </w:p>
        </w:tc>
        <w:tc>
          <w:tcPr>
            <w:tcW w:w="1300" w:type="dxa"/>
            <w:vAlign w:val="bottom"/>
            <w:shd w:val="clear" w:color="auto" w:fill="E5E5E5"/>
          </w:tcPr>
          <w:p>
            <w:pPr>
              <w:jc w:val="right"/>
              <w:ind w:right="299"/>
              <w:spacing w:after="0"/>
              <w:rPr>
                <w:sz w:val="20"/>
                <w:szCs w:val="20"/>
                <w:color w:val="auto"/>
              </w:rPr>
            </w:pPr>
            <w:r>
              <w:rPr>
                <w:rFonts w:ascii="Arial" w:cs="Arial" w:eastAsia="Arial" w:hAnsi="Arial"/>
                <w:sz w:val="16"/>
                <w:szCs w:val="16"/>
                <w:color w:val="auto"/>
              </w:rPr>
              <w:t>411,148</w:t>
            </w:r>
          </w:p>
        </w:tc>
        <w:tc>
          <w:tcPr>
            <w:tcW w:w="9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28,596</w:t>
            </w:r>
          </w:p>
        </w:tc>
        <w:tc>
          <w:tcPr>
            <w:tcW w:w="94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2,181,758</w:t>
            </w:r>
          </w:p>
        </w:tc>
      </w:tr>
      <w:tr>
        <w:trPr>
          <w:trHeight w:val="197"/>
        </w:trPr>
        <w:tc>
          <w:tcPr>
            <w:tcW w:w="740" w:type="dxa"/>
            <w:vAlign w:val="bottom"/>
            <w:gridSpan w:val="2"/>
          </w:tcPr>
          <w:p>
            <w:pPr>
              <w:jc w:val="right"/>
              <w:ind w:right="79"/>
              <w:spacing w:after="0"/>
              <w:rPr>
                <w:sz w:val="20"/>
                <w:szCs w:val="20"/>
                <w:color w:val="auto"/>
              </w:rPr>
            </w:pPr>
            <w:r>
              <w:rPr>
                <w:rFonts w:ascii="Arial" w:cs="Arial" w:eastAsia="Arial" w:hAnsi="Arial"/>
                <w:sz w:val="16"/>
                <w:szCs w:val="16"/>
                <w:color w:val="auto"/>
              </w:rPr>
              <w:t>2019</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341,250</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50,000</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259,212</w:t>
            </w:r>
          </w:p>
        </w:tc>
        <w:tc>
          <w:tcPr>
            <w:tcW w:w="1220" w:type="dxa"/>
            <w:vAlign w:val="bottom"/>
          </w:tcPr>
          <w:p>
            <w:pPr>
              <w:jc w:val="right"/>
              <w:ind w:right="259"/>
              <w:spacing w:after="0"/>
              <w:rPr>
                <w:sz w:val="20"/>
                <w:szCs w:val="20"/>
                <w:color w:val="auto"/>
              </w:rPr>
            </w:pPr>
            <w:r>
              <w:rPr>
                <w:rFonts w:ascii="Arial" w:cs="Arial" w:eastAsia="Arial" w:hAnsi="Arial"/>
                <w:sz w:val="16"/>
                <w:szCs w:val="16"/>
                <w:color w:val="auto"/>
              </w:rPr>
              <w:t>227,486</w:t>
            </w:r>
          </w:p>
        </w:tc>
        <w:tc>
          <w:tcPr>
            <w:tcW w:w="1300" w:type="dxa"/>
            <w:vAlign w:val="bottom"/>
          </w:tcPr>
          <w:p>
            <w:pPr>
              <w:jc w:val="right"/>
              <w:ind w:right="299"/>
              <w:spacing w:after="0"/>
              <w:rPr>
                <w:sz w:val="20"/>
                <w:szCs w:val="20"/>
                <w:color w:val="auto"/>
              </w:rPr>
            </w:pPr>
            <w:r>
              <w:rPr>
                <w:rFonts w:ascii="Arial" w:cs="Arial" w:eastAsia="Arial" w:hAnsi="Arial"/>
                <w:sz w:val="16"/>
                <w:szCs w:val="16"/>
                <w:color w:val="auto"/>
              </w:rPr>
              <w:t>129,973</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55,038</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1,062,959</w:t>
            </w:r>
          </w:p>
        </w:tc>
      </w:tr>
    </w:tbl>
    <w:p>
      <w:pPr>
        <w:spacing w:after="0" w:line="189" w:lineRule="exact"/>
        <w:rPr>
          <w:sz w:val="20"/>
          <w:szCs w:val="20"/>
          <w:color w:val="auto"/>
        </w:rPr>
      </w:pPr>
    </w:p>
    <w:p>
      <w:pPr>
        <w:sectPr>
          <w:pgSz w:w="11900" w:h="16838" w:orient="portrait"/>
          <w:cols w:equalWidth="0" w:num="2">
            <w:col w:w="2560" w:space="720"/>
            <w:col w:w="7860"/>
          </w:cols>
          <w:pgMar w:left="320" w:top="459" w:right="439" w:bottom="1440" w:gutter="0" w:footer="0" w:header="0"/>
          <w:type w:val="continuous"/>
        </w:sectPr>
      </w:pPr>
    </w:p>
    <w:p>
      <w:pPr>
        <w:ind w:left="180"/>
        <w:spacing w:after="0"/>
        <w:rPr>
          <w:sz w:val="20"/>
          <w:szCs w:val="20"/>
          <w:color w:val="auto"/>
        </w:rPr>
      </w:pPr>
      <w:r>
        <w:rPr>
          <w:rFonts w:ascii="Arial" w:cs="Arial" w:eastAsia="Arial" w:hAnsi="Arial"/>
          <w:sz w:val="16"/>
          <w:szCs w:val="16"/>
          <w:b w:val="1"/>
          <w:bCs w:val="1"/>
          <w:color w:val="auto"/>
        </w:rPr>
        <w:t>Joe DeProspero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2117090" cy="3683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17090" cy="368300"/>
                    </a:xfrm>
                    <a:prstGeom prst="rect">
                      <a:avLst/>
                    </a:prstGeom>
                    <a:noFill/>
                  </pic:spPr>
                </pic:pic>
              </a:graphicData>
            </a:graphic>
          </wp:anchor>
        </w:drawing>
      </w:r>
    </w:p>
    <w:p>
      <w:pPr>
        <w:ind w:left="180"/>
        <w:spacing w:after="0" w:line="250" w:lineRule="auto"/>
        <w:rPr>
          <w:sz w:val="20"/>
          <w:szCs w:val="20"/>
          <w:color w:val="auto"/>
        </w:rPr>
      </w:pPr>
      <w:r>
        <w:rPr>
          <w:rFonts w:ascii="Arial" w:cs="Arial" w:eastAsia="Arial" w:hAnsi="Arial"/>
          <w:sz w:val="16"/>
          <w:szCs w:val="16"/>
          <w:color w:val="auto"/>
        </w:rPr>
        <w:t>(Interim CFO and SVP of Supply Chain and Business Development(1))</w:t>
      </w:r>
    </w:p>
    <w:p>
      <w:pPr>
        <w:ind w:left="180"/>
        <w:spacing w:after="0"/>
        <w:rPr>
          <w:sz w:val="20"/>
          <w:szCs w:val="20"/>
          <w:color w:val="auto"/>
        </w:rPr>
      </w:pPr>
      <w:r>
        <w:rPr>
          <w:rFonts w:ascii="Arial" w:cs="Arial" w:eastAsia="Arial" w:hAnsi="Arial"/>
          <w:sz w:val="16"/>
          <w:szCs w:val="16"/>
          <w:b w:val="1"/>
          <w:bCs w:val="1"/>
          <w:color w:val="auto"/>
        </w:rPr>
        <w:t>Sean Gleason</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(SVP and Chief Marketing Officer(2))</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Margo L.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2117090" cy="3600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17090" cy="360045"/>
                    </a:xfrm>
                    <a:prstGeom prst="rect">
                      <a:avLst/>
                    </a:prstGeom>
                    <a:noFill/>
                  </pic:spPr>
                </pic:pic>
              </a:graphicData>
            </a:graphic>
          </wp:anchor>
        </w:drawing>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(SVP and COO)</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John B. Mulleady</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(SVP of Real Estate and Development)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40" w:type="dxa"/>
            <w:vAlign w:val="bottom"/>
            <w:gridSpan w:val="2"/>
            <w:shd w:val="clear" w:color="auto" w:fill="E5E5E5"/>
          </w:tcPr>
          <w:p>
            <w:pPr>
              <w:jc w:val="right"/>
              <w:ind w:right="79"/>
              <w:spacing w:after="0"/>
              <w:rPr>
                <w:sz w:val="20"/>
                <w:szCs w:val="20"/>
                <w:color w:val="auto"/>
              </w:rPr>
            </w:pPr>
            <w:r>
              <w:rPr>
                <w:rFonts w:ascii="Arial" w:cs="Arial" w:eastAsia="Arial" w:hAnsi="Arial"/>
                <w:sz w:val="16"/>
                <w:szCs w:val="16"/>
                <w:color w:val="auto"/>
              </w:rPr>
              <w:t>2019</w:t>
            </w:r>
          </w:p>
        </w:tc>
        <w:tc>
          <w:tcPr>
            <w:tcW w:w="88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240,750</w:t>
            </w:r>
          </w:p>
        </w:tc>
        <w:tc>
          <w:tcPr>
            <w:tcW w:w="84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0</w:t>
            </w:r>
          </w:p>
        </w:tc>
        <w:tc>
          <w:tcPr>
            <w:tcW w:w="104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43,721</w:t>
            </w:r>
          </w:p>
        </w:tc>
        <w:tc>
          <w:tcPr>
            <w:tcW w:w="1140" w:type="dxa"/>
            <w:vAlign w:val="bottom"/>
            <w:shd w:val="clear" w:color="auto" w:fill="E5E5E5"/>
          </w:tcPr>
          <w:p>
            <w:pPr>
              <w:jc w:val="right"/>
              <w:ind w:right="259"/>
              <w:spacing w:after="0"/>
              <w:rPr>
                <w:sz w:val="20"/>
                <w:szCs w:val="20"/>
                <w:color w:val="auto"/>
              </w:rPr>
            </w:pPr>
            <w:r>
              <w:rPr>
                <w:rFonts w:ascii="Arial" w:cs="Arial" w:eastAsia="Arial" w:hAnsi="Arial"/>
                <w:sz w:val="16"/>
                <w:szCs w:val="16"/>
                <w:color w:val="auto"/>
              </w:rPr>
              <w:t>62,492</w:t>
            </w:r>
          </w:p>
        </w:tc>
        <w:tc>
          <w:tcPr>
            <w:tcW w:w="1300" w:type="dxa"/>
            <w:vAlign w:val="bottom"/>
            <w:shd w:val="clear" w:color="auto" w:fill="E5E5E5"/>
          </w:tcPr>
          <w:p>
            <w:pPr>
              <w:jc w:val="right"/>
              <w:ind w:right="299"/>
              <w:spacing w:after="0"/>
              <w:rPr>
                <w:sz w:val="20"/>
                <w:szCs w:val="20"/>
                <w:color w:val="auto"/>
              </w:rPr>
            </w:pPr>
            <w:r>
              <w:rPr>
                <w:rFonts w:ascii="Arial" w:cs="Arial" w:eastAsia="Arial" w:hAnsi="Arial"/>
                <w:sz w:val="16"/>
                <w:szCs w:val="16"/>
                <w:color w:val="auto"/>
              </w:rPr>
              <w:t>84,764</w:t>
            </w:r>
          </w:p>
        </w:tc>
        <w:tc>
          <w:tcPr>
            <w:tcW w:w="9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28,633</w:t>
            </w:r>
          </w:p>
        </w:tc>
        <w:tc>
          <w:tcPr>
            <w:tcW w:w="94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460,360</w:t>
            </w:r>
          </w:p>
        </w:tc>
      </w:tr>
      <w:tr>
        <w:trPr>
          <w:trHeight w:val="189"/>
        </w:trPr>
        <w:tc>
          <w:tcPr>
            <w:tcW w:w="180" w:type="dxa"/>
            <w:vAlign w:val="bottom"/>
          </w:tcPr>
          <w:p>
            <w:pPr>
              <w:spacing w:after="0"/>
              <w:rPr>
                <w:sz w:val="16"/>
                <w:szCs w:val="16"/>
                <w:color w:val="auto"/>
              </w:rPr>
            </w:pPr>
          </w:p>
        </w:tc>
        <w:tc>
          <w:tcPr>
            <w:tcW w:w="56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2018</w:t>
            </w:r>
          </w:p>
        </w:tc>
        <w:tc>
          <w:tcPr>
            <w:tcW w:w="88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211,116</w:t>
            </w:r>
          </w:p>
        </w:tc>
        <w:tc>
          <w:tcPr>
            <w:tcW w:w="84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85,000</w:t>
            </w:r>
          </w:p>
        </w:tc>
        <w:tc>
          <w:tcPr>
            <w:tcW w:w="104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28,863</w:t>
            </w:r>
          </w:p>
        </w:tc>
        <w:tc>
          <w:tcPr>
            <w:tcW w:w="1140" w:type="dxa"/>
            <w:vAlign w:val="bottom"/>
            <w:shd w:val="clear" w:color="auto" w:fill="E5E5E5"/>
          </w:tcPr>
          <w:p>
            <w:pPr>
              <w:jc w:val="right"/>
              <w:ind w:right="259"/>
              <w:spacing w:after="0"/>
              <w:rPr>
                <w:sz w:val="20"/>
                <w:szCs w:val="20"/>
                <w:color w:val="auto"/>
              </w:rPr>
            </w:pPr>
            <w:r>
              <w:rPr>
                <w:rFonts w:ascii="Arial" w:cs="Arial" w:eastAsia="Arial" w:hAnsi="Arial"/>
                <w:sz w:val="16"/>
                <w:szCs w:val="16"/>
                <w:color w:val="auto"/>
              </w:rPr>
              <w:t>41,242</w:t>
            </w:r>
          </w:p>
        </w:tc>
        <w:tc>
          <w:tcPr>
            <w:tcW w:w="1300" w:type="dxa"/>
            <w:vAlign w:val="bottom"/>
            <w:shd w:val="clear" w:color="auto" w:fill="E5E5E5"/>
          </w:tcPr>
          <w:p>
            <w:pPr>
              <w:jc w:val="right"/>
              <w:ind w:right="299"/>
              <w:spacing w:after="0"/>
              <w:rPr>
                <w:sz w:val="20"/>
                <w:szCs w:val="20"/>
                <w:color w:val="auto"/>
              </w:rPr>
            </w:pPr>
            <w:r>
              <w:rPr>
                <w:rFonts w:ascii="Arial" w:cs="Arial" w:eastAsia="Arial" w:hAnsi="Arial"/>
                <w:sz w:val="16"/>
                <w:szCs w:val="16"/>
                <w:color w:val="auto"/>
              </w:rPr>
              <w:t>165,603</w:t>
            </w:r>
          </w:p>
        </w:tc>
        <w:tc>
          <w:tcPr>
            <w:tcW w:w="9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24,222</w:t>
            </w:r>
          </w:p>
        </w:tc>
        <w:tc>
          <w:tcPr>
            <w:tcW w:w="94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556,046</w:t>
            </w:r>
          </w:p>
        </w:tc>
      </w:tr>
      <w:tr>
        <w:trPr>
          <w:trHeight w:val="203"/>
        </w:trPr>
        <w:tc>
          <w:tcPr>
            <w:tcW w:w="180" w:type="dxa"/>
            <w:vAlign w:val="bottom"/>
          </w:tcPr>
          <w:p>
            <w:pPr>
              <w:spacing w:after="0"/>
              <w:rPr>
                <w:sz w:val="17"/>
                <w:szCs w:val="17"/>
                <w:color w:val="auto"/>
              </w:rPr>
            </w:pPr>
          </w:p>
        </w:tc>
        <w:tc>
          <w:tcPr>
            <w:tcW w:w="56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2017</w:t>
            </w:r>
          </w:p>
        </w:tc>
        <w:tc>
          <w:tcPr>
            <w:tcW w:w="88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207,773</w:t>
            </w:r>
          </w:p>
        </w:tc>
        <w:tc>
          <w:tcPr>
            <w:tcW w:w="84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3,688</w:t>
            </w:r>
          </w:p>
        </w:tc>
        <w:tc>
          <w:tcPr>
            <w:tcW w:w="104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27,568</w:t>
            </w:r>
          </w:p>
        </w:tc>
        <w:tc>
          <w:tcPr>
            <w:tcW w:w="1140" w:type="dxa"/>
            <w:vAlign w:val="bottom"/>
            <w:shd w:val="clear" w:color="auto" w:fill="E5E5E5"/>
          </w:tcPr>
          <w:p>
            <w:pPr>
              <w:jc w:val="right"/>
              <w:ind w:right="259"/>
              <w:spacing w:after="0"/>
              <w:rPr>
                <w:sz w:val="20"/>
                <w:szCs w:val="20"/>
                <w:color w:val="auto"/>
              </w:rPr>
            </w:pPr>
            <w:r>
              <w:rPr>
                <w:rFonts w:ascii="Arial" w:cs="Arial" w:eastAsia="Arial" w:hAnsi="Arial"/>
                <w:sz w:val="16"/>
                <w:szCs w:val="16"/>
                <w:color w:val="auto"/>
              </w:rPr>
              <w:t>39,434</w:t>
            </w:r>
          </w:p>
        </w:tc>
        <w:tc>
          <w:tcPr>
            <w:tcW w:w="1300" w:type="dxa"/>
            <w:vAlign w:val="bottom"/>
            <w:shd w:val="clear" w:color="auto" w:fill="E5E5E5"/>
          </w:tcPr>
          <w:p>
            <w:pPr>
              <w:jc w:val="right"/>
              <w:ind w:right="299"/>
              <w:spacing w:after="0"/>
              <w:rPr>
                <w:sz w:val="20"/>
                <w:szCs w:val="20"/>
                <w:color w:val="auto"/>
              </w:rPr>
            </w:pPr>
            <w:r>
              <w:rPr>
                <w:rFonts w:ascii="Arial" w:cs="Arial" w:eastAsia="Arial" w:hAnsi="Arial"/>
                <w:sz w:val="16"/>
                <w:szCs w:val="16"/>
                <w:color w:val="auto"/>
              </w:rPr>
              <w:t>92,563</w:t>
            </w:r>
          </w:p>
        </w:tc>
        <w:tc>
          <w:tcPr>
            <w:tcW w:w="9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28,600</w:t>
            </w:r>
          </w:p>
        </w:tc>
        <w:tc>
          <w:tcPr>
            <w:tcW w:w="94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399,626</w:t>
            </w:r>
          </w:p>
        </w:tc>
      </w:tr>
      <w:tr>
        <w:trPr>
          <w:trHeight w:val="191"/>
        </w:trPr>
        <w:tc>
          <w:tcPr>
            <w:tcW w:w="740" w:type="dxa"/>
            <w:vAlign w:val="bottom"/>
            <w:gridSpan w:val="2"/>
          </w:tcPr>
          <w:p>
            <w:pPr>
              <w:jc w:val="right"/>
              <w:ind w:right="79"/>
              <w:spacing w:after="0"/>
              <w:rPr>
                <w:sz w:val="20"/>
                <w:szCs w:val="20"/>
                <w:color w:val="auto"/>
              </w:rPr>
            </w:pPr>
            <w:r>
              <w:rPr>
                <w:rFonts w:ascii="Arial" w:cs="Arial" w:eastAsia="Arial" w:hAnsi="Arial"/>
                <w:sz w:val="16"/>
                <w:szCs w:val="16"/>
                <w:color w:val="auto"/>
              </w:rPr>
              <w:t>2019</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417,885</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143,464</w:t>
            </w: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204,989</w:t>
            </w:r>
          </w:p>
        </w:tc>
        <w:tc>
          <w:tcPr>
            <w:tcW w:w="1300" w:type="dxa"/>
            <w:vAlign w:val="bottom"/>
          </w:tcPr>
          <w:p>
            <w:pPr>
              <w:jc w:val="right"/>
              <w:ind w:right="299"/>
              <w:spacing w:after="0"/>
              <w:rPr>
                <w:sz w:val="20"/>
                <w:szCs w:val="20"/>
                <w:color w:val="auto"/>
              </w:rPr>
            </w:pPr>
            <w:r>
              <w:rPr>
                <w:rFonts w:ascii="Arial" w:cs="Arial" w:eastAsia="Arial" w:hAnsi="Arial"/>
                <w:sz w:val="16"/>
                <w:szCs w:val="16"/>
                <w:color w:val="auto"/>
              </w:rPr>
              <w:t>143,680</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32,674</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942,692</w:t>
            </w:r>
          </w:p>
        </w:tc>
      </w:tr>
      <w:tr>
        <w:trPr>
          <w:trHeight w:val="189"/>
        </w:trPr>
        <w:tc>
          <w:tcPr>
            <w:tcW w:w="740" w:type="dxa"/>
            <w:vAlign w:val="bottom"/>
            <w:gridSpan w:val="2"/>
          </w:tcPr>
          <w:p>
            <w:pPr>
              <w:jc w:val="right"/>
              <w:ind w:right="79"/>
              <w:spacing w:after="0"/>
              <w:rPr>
                <w:sz w:val="20"/>
                <w:szCs w:val="20"/>
                <w:color w:val="auto"/>
              </w:rPr>
            </w:pPr>
            <w:r>
              <w:rPr>
                <w:rFonts w:ascii="Arial" w:cs="Arial" w:eastAsia="Arial" w:hAnsi="Arial"/>
                <w:sz w:val="16"/>
                <w:szCs w:val="16"/>
                <w:color w:val="auto"/>
              </w:rPr>
              <w:t>2018</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364,154</w:t>
            </w:r>
          </w:p>
        </w:tc>
        <w:tc>
          <w:tcPr>
            <w:tcW w:w="84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120,743</w:t>
            </w: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172,493</w:t>
            </w:r>
          </w:p>
        </w:tc>
        <w:tc>
          <w:tcPr>
            <w:tcW w:w="1300" w:type="dxa"/>
            <w:vAlign w:val="bottom"/>
          </w:tcPr>
          <w:p>
            <w:pPr>
              <w:jc w:val="right"/>
              <w:ind w:right="299"/>
              <w:spacing w:after="0"/>
              <w:rPr>
                <w:sz w:val="20"/>
                <w:szCs w:val="20"/>
                <w:color w:val="auto"/>
              </w:rPr>
            </w:pPr>
            <w:r>
              <w:rPr>
                <w:rFonts w:ascii="Arial" w:cs="Arial" w:eastAsia="Arial" w:hAnsi="Arial"/>
                <w:sz w:val="16"/>
                <w:szCs w:val="16"/>
                <w:color w:val="auto"/>
              </w:rPr>
              <w:t>268,673</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35,799</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961,862</w:t>
            </w:r>
          </w:p>
        </w:tc>
      </w:tr>
      <w:tr>
        <w:trPr>
          <w:trHeight w:val="187"/>
        </w:trPr>
        <w:tc>
          <w:tcPr>
            <w:tcW w:w="740" w:type="dxa"/>
            <w:vAlign w:val="bottom"/>
            <w:gridSpan w:val="2"/>
          </w:tcPr>
          <w:p>
            <w:pPr>
              <w:jc w:val="right"/>
              <w:ind w:right="79"/>
              <w:spacing w:after="0"/>
              <w:rPr>
                <w:sz w:val="20"/>
                <w:szCs w:val="20"/>
                <w:color w:val="auto"/>
              </w:rPr>
            </w:pPr>
            <w:r>
              <w:rPr>
                <w:rFonts w:ascii="Arial" w:cs="Arial" w:eastAsia="Arial" w:hAnsi="Arial"/>
                <w:sz w:val="16"/>
                <w:szCs w:val="16"/>
                <w:color w:val="auto"/>
              </w:rPr>
              <w:t>2017</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347,885</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4,616</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139,111</w:t>
            </w: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232,151</w:t>
            </w:r>
          </w:p>
        </w:tc>
        <w:tc>
          <w:tcPr>
            <w:tcW w:w="1300" w:type="dxa"/>
            <w:vAlign w:val="bottom"/>
          </w:tcPr>
          <w:p>
            <w:pPr>
              <w:jc w:val="right"/>
              <w:ind w:right="299"/>
              <w:spacing w:after="0"/>
              <w:rPr>
                <w:sz w:val="20"/>
                <w:szCs w:val="20"/>
                <w:color w:val="auto"/>
              </w:rPr>
            </w:pPr>
            <w:r>
              <w:rPr>
                <w:rFonts w:ascii="Arial" w:cs="Arial" w:eastAsia="Arial" w:hAnsi="Arial"/>
                <w:sz w:val="16"/>
                <w:szCs w:val="16"/>
                <w:color w:val="auto"/>
              </w:rPr>
              <w:t>194,251</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38,221</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956,235</w:t>
            </w:r>
          </w:p>
        </w:tc>
      </w:tr>
      <w:tr>
        <w:trPr>
          <w:trHeight w:val="189"/>
        </w:trPr>
        <w:tc>
          <w:tcPr>
            <w:tcW w:w="740" w:type="dxa"/>
            <w:vAlign w:val="bottom"/>
            <w:gridSpan w:val="2"/>
            <w:shd w:val="clear" w:color="auto" w:fill="E5E5E5"/>
          </w:tcPr>
          <w:p>
            <w:pPr>
              <w:jc w:val="right"/>
              <w:ind w:right="79"/>
              <w:spacing w:after="0"/>
              <w:rPr>
                <w:sz w:val="20"/>
                <w:szCs w:val="20"/>
                <w:color w:val="auto"/>
              </w:rPr>
            </w:pPr>
            <w:r>
              <w:rPr>
                <w:rFonts w:ascii="Arial" w:cs="Arial" w:eastAsia="Arial" w:hAnsi="Arial"/>
                <w:sz w:val="16"/>
                <w:szCs w:val="16"/>
                <w:color w:val="auto"/>
              </w:rPr>
              <w:t>2019</w:t>
            </w:r>
          </w:p>
        </w:tc>
        <w:tc>
          <w:tcPr>
            <w:tcW w:w="88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458,750</w:t>
            </w:r>
          </w:p>
        </w:tc>
        <w:tc>
          <w:tcPr>
            <w:tcW w:w="84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0</w:t>
            </w:r>
          </w:p>
        </w:tc>
        <w:tc>
          <w:tcPr>
            <w:tcW w:w="104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246,359</w:t>
            </w:r>
          </w:p>
        </w:tc>
        <w:tc>
          <w:tcPr>
            <w:tcW w:w="1140" w:type="dxa"/>
            <w:vAlign w:val="bottom"/>
            <w:shd w:val="clear" w:color="auto" w:fill="E5E5E5"/>
          </w:tcPr>
          <w:p>
            <w:pPr>
              <w:jc w:val="right"/>
              <w:ind w:right="259"/>
              <w:spacing w:after="0"/>
              <w:rPr>
                <w:sz w:val="20"/>
                <w:szCs w:val="20"/>
                <w:color w:val="auto"/>
              </w:rPr>
            </w:pPr>
            <w:r>
              <w:rPr>
                <w:rFonts w:ascii="Arial" w:cs="Arial" w:eastAsia="Arial" w:hAnsi="Arial"/>
                <w:sz w:val="16"/>
                <w:szCs w:val="16"/>
                <w:color w:val="auto"/>
              </w:rPr>
              <w:t>351,986</w:t>
            </w:r>
          </w:p>
        </w:tc>
        <w:tc>
          <w:tcPr>
            <w:tcW w:w="1300" w:type="dxa"/>
            <w:vAlign w:val="bottom"/>
            <w:shd w:val="clear" w:color="auto" w:fill="E5E5E5"/>
          </w:tcPr>
          <w:p>
            <w:pPr>
              <w:jc w:val="right"/>
              <w:ind w:right="299"/>
              <w:spacing w:after="0"/>
              <w:rPr>
                <w:sz w:val="20"/>
                <w:szCs w:val="20"/>
                <w:color w:val="auto"/>
              </w:rPr>
            </w:pPr>
            <w:r>
              <w:rPr>
                <w:rFonts w:ascii="Arial" w:cs="Arial" w:eastAsia="Arial" w:hAnsi="Arial"/>
                <w:sz w:val="16"/>
                <w:szCs w:val="16"/>
                <w:color w:val="auto"/>
              </w:rPr>
              <w:t>282,687</w:t>
            </w:r>
          </w:p>
        </w:tc>
        <w:tc>
          <w:tcPr>
            <w:tcW w:w="9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33,276</w:t>
            </w:r>
          </w:p>
        </w:tc>
        <w:tc>
          <w:tcPr>
            <w:tcW w:w="94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1,373,058</w:t>
            </w:r>
          </w:p>
        </w:tc>
      </w:tr>
      <w:tr>
        <w:trPr>
          <w:trHeight w:val="189"/>
        </w:trPr>
        <w:tc>
          <w:tcPr>
            <w:tcW w:w="180" w:type="dxa"/>
            <w:vAlign w:val="bottom"/>
          </w:tcPr>
          <w:p>
            <w:pPr>
              <w:spacing w:after="0"/>
              <w:rPr>
                <w:sz w:val="16"/>
                <w:szCs w:val="16"/>
                <w:color w:val="auto"/>
              </w:rPr>
            </w:pPr>
          </w:p>
        </w:tc>
        <w:tc>
          <w:tcPr>
            <w:tcW w:w="56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2018</w:t>
            </w:r>
          </w:p>
        </w:tc>
        <w:tc>
          <w:tcPr>
            <w:tcW w:w="88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433,750</w:t>
            </w:r>
          </w:p>
        </w:tc>
        <w:tc>
          <w:tcPr>
            <w:tcW w:w="84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262,478</w:t>
            </w:r>
          </w:p>
        </w:tc>
        <w:tc>
          <w:tcPr>
            <w:tcW w:w="1140" w:type="dxa"/>
            <w:vAlign w:val="bottom"/>
            <w:shd w:val="clear" w:color="auto" w:fill="E5E5E5"/>
          </w:tcPr>
          <w:p>
            <w:pPr>
              <w:jc w:val="right"/>
              <w:ind w:right="259"/>
              <w:spacing w:after="0"/>
              <w:rPr>
                <w:sz w:val="20"/>
                <w:szCs w:val="20"/>
                <w:color w:val="auto"/>
              </w:rPr>
            </w:pPr>
            <w:r>
              <w:rPr>
                <w:rFonts w:ascii="Arial" w:cs="Arial" w:eastAsia="Arial" w:hAnsi="Arial"/>
                <w:sz w:val="16"/>
                <w:szCs w:val="16"/>
                <w:color w:val="auto"/>
              </w:rPr>
              <w:t>374,999</w:t>
            </w:r>
          </w:p>
        </w:tc>
        <w:tc>
          <w:tcPr>
            <w:tcW w:w="1300" w:type="dxa"/>
            <w:vAlign w:val="bottom"/>
            <w:shd w:val="clear" w:color="auto" w:fill="E5E5E5"/>
          </w:tcPr>
          <w:p>
            <w:pPr>
              <w:jc w:val="right"/>
              <w:ind w:right="299"/>
              <w:spacing w:after="0"/>
              <w:rPr>
                <w:sz w:val="20"/>
                <w:szCs w:val="20"/>
                <w:color w:val="auto"/>
              </w:rPr>
            </w:pPr>
            <w:r>
              <w:rPr>
                <w:rFonts w:ascii="Arial" w:cs="Arial" w:eastAsia="Arial" w:hAnsi="Arial"/>
                <w:sz w:val="16"/>
                <w:szCs w:val="16"/>
                <w:color w:val="auto"/>
              </w:rPr>
              <w:t>320,767</w:t>
            </w:r>
          </w:p>
        </w:tc>
        <w:tc>
          <w:tcPr>
            <w:tcW w:w="9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32,896</w:t>
            </w:r>
          </w:p>
        </w:tc>
        <w:tc>
          <w:tcPr>
            <w:tcW w:w="94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1,424,890</w:t>
            </w:r>
          </w:p>
        </w:tc>
      </w:tr>
      <w:tr>
        <w:trPr>
          <w:trHeight w:val="189"/>
        </w:trPr>
        <w:tc>
          <w:tcPr>
            <w:tcW w:w="180" w:type="dxa"/>
            <w:vAlign w:val="bottom"/>
          </w:tcPr>
          <w:p>
            <w:pPr>
              <w:spacing w:after="0"/>
              <w:rPr>
                <w:sz w:val="16"/>
                <w:szCs w:val="16"/>
                <w:color w:val="auto"/>
              </w:rPr>
            </w:pPr>
          </w:p>
        </w:tc>
        <w:tc>
          <w:tcPr>
            <w:tcW w:w="56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2017</w:t>
            </w:r>
          </w:p>
        </w:tc>
        <w:tc>
          <w:tcPr>
            <w:tcW w:w="88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416,731</w:t>
            </w:r>
          </w:p>
        </w:tc>
        <w:tc>
          <w:tcPr>
            <w:tcW w:w="84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4,616</w:t>
            </w:r>
          </w:p>
        </w:tc>
        <w:tc>
          <w:tcPr>
            <w:tcW w:w="104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543,355</w:t>
            </w:r>
          </w:p>
        </w:tc>
        <w:tc>
          <w:tcPr>
            <w:tcW w:w="1140" w:type="dxa"/>
            <w:vAlign w:val="bottom"/>
            <w:shd w:val="clear" w:color="auto" w:fill="E5E5E5"/>
          </w:tcPr>
          <w:p>
            <w:pPr>
              <w:jc w:val="right"/>
              <w:ind w:right="259"/>
              <w:spacing w:after="0"/>
              <w:rPr>
                <w:sz w:val="20"/>
                <w:szCs w:val="20"/>
                <w:color w:val="auto"/>
              </w:rPr>
            </w:pPr>
            <w:r>
              <w:rPr>
                <w:rFonts w:ascii="Arial" w:cs="Arial" w:eastAsia="Arial" w:hAnsi="Arial"/>
                <w:sz w:val="16"/>
                <w:szCs w:val="16"/>
                <w:color w:val="auto"/>
              </w:rPr>
              <w:t>311,982</w:t>
            </w:r>
          </w:p>
        </w:tc>
        <w:tc>
          <w:tcPr>
            <w:tcW w:w="1300" w:type="dxa"/>
            <w:vAlign w:val="bottom"/>
            <w:shd w:val="clear" w:color="auto" w:fill="E5E5E5"/>
          </w:tcPr>
          <w:p>
            <w:pPr>
              <w:jc w:val="right"/>
              <w:ind w:right="299"/>
              <w:spacing w:after="0"/>
              <w:rPr>
                <w:sz w:val="20"/>
                <w:szCs w:val="20"/>
                <w:color w:val="auto"/>
              </w:rPr>
            </w:pPr>
            <w:r>
              <w:rPr>
                <w:rFonts w:ascii="Arial" w:cs="Arial" w:eastAsia="Arial" w:hAnsi="Arial"/>
                <w:sz w:val="16"/>
                <w:szCs w:val="16"/>
                <w:color w:val="auto"/>
              </w:rPr>
              <w:t>275,801</w:t>
            </w:r>
          </w:p>
        </w:tc>
        <w:tc>
          <w:tcPr>
            <w:tcW w:w="9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40,210</w:t>
            </w:r>
          </w:p>
        </w:tc>
        <w:tc>
          <w:tcPr>
            <w:tcW w:w="94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1,592,694</w:t>
            </w:r>
          </w:p>
        </w:tc>
      </w:tr>
      <w:tr>
        <w:trPr>
          <w:trHeight w:val="191"/>
        </w:trPr>
        <w:tc>
          <w:tcPr>
            <w:tcW w:w="740" w:type="dxa"/>
            <w:vAlign w:val="bottom"/>
            <w:gridSpan w:val="2"/>
          </w:tcPr>
          <w:p>
            <w:pPr>
              <w:jc w:val="right"/>
              <w:ind w:right="79"/>
              <w:spacing w:after="0"/>
              <w:rPr>
                <w:sz w:val="20"/>
                <w:szCs w:val="20"/>
                <w:color w:val="auto"/>
              </w:rPr>
            </w:pPr>
            <w:r>
              <w:rPr>
                <w:rFonts w:ascii="Arial" w:cs="Arial" w:eastAsia="Arial" w:hAnsi="Arial"/>
                <w:sz w:val="16"/>
                <w:szCs w:val="16"/>
                <w:color w:val="auto"/>
              </w:rPr>
              <w:t>2019</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412,000</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0</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173,025</w:t>
            </w: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247,199</w:t>
            </w:r>
          </w:p>
        </w:tc>
        <w:tc>
          <w:tcPr>
            <w:tcW w:w="1300" w:type="dxa"/>
            <w:vAlign w:val="bottom"/>
          </w:tcPr>
          <w:p>
            <w:pPr>
              <w:jc w:val="right"/>
              <w:ind w:right="299"/>
              <w:spacing w:after="0"/>
              <w:rPr>
                <w:sz w:val="20"/>
                <w:szCs w:val="20"/>
                <w:color w:val="auto"/>
              </w:rPr>
            </w:pPr>
            <w:r>
              <w:rPr>
                <w:rFonts w:ascii="Arial" w:cs="Arial" w:eastAsia="Arial" w:hAnsi="Arial"/>
                <w:sz w:val="16"/>
                <w:szCs w:val="16"/>
                <w:color w:val="auto"/>
              </w:rPr>
              <w:t>316,657</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26,400</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1,175,281</w:t>
            </w:r>
          </w:p>
        </w:tc>
      </w:tr>
      <w:tr>
        <w:trPr>
          <w:trHeight w:val="189"/>
        </w:trPr>
        <w:tc>
          <w:tcPr>
            <w:tcW w:w="740" w:type="dxa"/>
            <w:vAlign w:val="bottom"/>
            <w:gridSpan w:val="2"/>
          </w:tcPr>
          <w:p>
            <w:pPr>
              <w:jc w:val="right"/>
              <w:ind w:right="79"/>
              <w:spacing w:after="0"/>
              <w:rPr>
                <w:sz w:val="20"/>
                <w:szCs w:val="20"/>
                <w:color w:val="auto"/>
              </w:rPr>
            </w:pPr>
            <w:r>
              <w:rPr>
                <w:rFonts w:ascii="Arial" w:cs="Arial" w:eastAsia="Arial" w:hAnsi="Arial"/>
                <w:sz w:val="16"/>
                <w:szCs w:val="16"/>
                <w:color w:val="auto"/>
              </w:rPr>
              <w:t>2018</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409,001</w:t>
            </w:r>
          </w:p>
        </w:tc>
        <w:tc>
          <w:tcPr>
            <w:tcW w:w="84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139,986</w:t>
            </w: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199,987</w:t>
            </w:r>
          </w:p>
        </w:tc>
        <w:tc>
          <w:tcPr>
            <w:tcW w:w="1300" w:type="dxa"/>
            <w:vAlign w:val="bottom"/>
          </w:tcPr>
          <w:p>
            <w:pPr>
              <w:jc w:val="right"/>
              <w:ind w:right="299"/>
              <w:spacing w:after="0"/>
              <w:rPr>
                <w:sz w:val="20"/>
                <w:szCs w:val="20"/>
                <w:color w:val="auto"/>
              </w:rPr>
            </w:pPr>
            <w:r>
              <w:rPr>
                <w:rFonts w:ascii="Arial" w:cs="Arial" w:eastAsia="Arial" w:hAnsi="Arial"/>
                <w:sz w:val="16"/>
                <w:szCs w:val="16"/>
                <w:color w:val="auto"/>
              </w:rPr>
              <w:t>355,910</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26,382</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1,131,266</w:t>
            </w:r>
          </w:p>
        </w:tc>
      </w:tr>
      <w:tr>
        <w:trPr>
          <w:trHeight w:val="195"/>
        </w:trPr>
        <w:tc>
          <w:tcPr>
            <w:tcW w:w="740" w:type="dxa"/>
            <w:vAlign w:val="bottom"/>
            <w:gridSpan w:val="2"/>
          </w:tcPr>
          <w:p>
            <w:pPr>
              <w:jc w:val="right"/>
              <w:ind w:right="79"/>
              <w:spacing w:after="0"/>
              <w:rPr>
                <w:sz w:val="20"/>
                <w:szCs w:val="20"/>
                <w:color w:val="auto"/>
              </w:rPr>
            </w:pPr>
            <w:r>
              <w:rPr>
                <w:rFonts w:ascii="Arial" w:cs="Arial" w:eastAsia="Arial" w:hAnsi="Arial"/>
                <w:sz w:val="16"/>
                <w:szCs w:val="16"/>
                <w:color w:val="auto"/>
              </w:rPr>
              <w:t>2017</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405,386</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4,616</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336,718</w:t>
            </w:r>
          </w:p>
        </w:tc>
        <w:tc>
          <w:tcPr>
            <w:tcW w:w="1140" w:type="dxa"/>
            <w:vAlign w:val="bottom"/>
          </w:tcPr>
          <w:p>
            <w:pPr>
              <w:jc w:val="right"/>
              <w:ind w:right="259"/>
              <w:spacing w:after="0"/>
              <w:rPr>
                <w:sz w:val="20"/>
                <w:szCs w:val="20"/>
                <w:color w:val="auto"/>
              </w:rPr>
            </w:pPr>
            <w:r>
              <w:rPr>
                <w:rFonts w:ascii="Arial" w:cs="Arial" w:eastAsia="Arial" w:hAnsi="Arial"/>
                <w:sz w:val="16"/>
                <w:szCs w:val="16"/>
                <w:color w:val="auto"/>
              </w:rPr>
              <w:t>195,372</w:t>
            </w:r>
          </w:p>
        </w:tc>
        <w:tc>
          <w:tcPr>
            <w:tcW w:w="1300" w:type="dxa"/>
            <w:vAlign w:val="bottom"/>
          </w:tcPr>
          <w:p>
            <w:pPr>
              <w:jc w:val="right"/>
              <w:ind w:right="299"/>
              <w:spacing w:after="0"/>
              <w:rPr>
                <w:sz w:val="20"/>
                <w:szCs w:val="20"/>
                <w:color w:val="auto"/>
              </w:rPr>
            </w:pPr>
            <w:r>
              <w:rPr>
                <w:rFonts w:ascii="Arial" w:cs="Arial" w:eastAsia="Arial" w:hAnsi="Arial"/>
                <w:sz w:val="16"/>
                <w:szCs w:val="16"/>
                <w:color w:val="auto"/>
              </w:rPr>
              <w:t>390,743</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28,097</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1,360,932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-4445</wp:posOffset>
            </wp:positionV>
            <wp:extent cx="6995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3000" w:space="280"/>
            <w:col w:w="7860"/>
          </w:cols>
          <w:pgMar w:left="320" w:top="459" w:right="439" w:bottom="1440" w:gutter="0" w:footer="0" w:header="0"/>
          <w:type w:val="continuous"/>
        </w:sectPr>
      </w:pPr>
    </w:p>
    <w:p>
      <w:pPr>
        <w:ind w:left="540" w:right="20" w:hanging="424"/>
        <w:spacing w:after="0" w:line="260" w:lineRule="auto"/>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Mr. Bowman joined the Company as CFO in May 2019 succeeding Mr. DeProspero who served as Interim CFO from August 2018 until Mr. Bowman’s appointment. Mr. DeProspero then became the Company’s SVP of Supply Chain and Business Development.</w:t>
      </w:r>
    </w:p>
    <w:p>
      <w:pPr>
        <w:spacing w:after="0" w:line="60" w:lineRule="exact"/>
        <w:rPr>
          <w:rFonts w:ascii="Arial" w:cs="Arial" w:eastAsia="Arial" w:hAnsi="Arial"/>
          <w:sz w:val="16"/>
          <w:szCs w:val="16"/>
          <w:color w:val="auto"/>
        </w:rPr>
      </w:pPr>
    </w:p>
    <w:p>
      <w:pPr>
        <w:jc w:val="both"/>
        <w:ind w:left="540" w:right="20" w:hanging="424"/>
        <w:spacing w:after="0" w:line="251" w:lineRule="auto"/>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Mr. Gleason departed the Company on April 30, 2020. Mr. Gleason received an additional payment of $7,885 in salary in fiscal 2019. In connection with his separation from the Company in April 2020, Mr. Gleason received a one-time RSU grant valued at $150,000, as consideration for his bonus earned for fiscal 2019 and a prorated portion of his target bonus for fiscal 2020. The portion of the award associated with Mr. Gleason’s fiscal 2019 bonus is reflected in the “Non-Equity Incentive Compensation” column.</w:t>
      </w:r>
    </w:p>
    <w:p>
      <w:pPr>
        <w:spacing w:after="0" w:line="67"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following salary deferrals were made under the SERP in fiscal 2019: Mr. Jenkins, $77,135; Mr. Bowman, $2,100; Mr. DeProspero, $14,360; Ms. Manning, $93,346; and Mr. Gleason, $44,942.</w:t>
      </w:r>
    </w:p>
    <w:p>
      <w:pPr>
        <w:spacing w:after="0" w:line="60"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Amounts in this column reflect the taxable value of a gift awarded to each executive officer by Mr. King in fiscal 2017. The amount listed for Mr. DeProspero in fiscal 2018 bonuses are for his service as interim CFO in lieu of a base salary increase.</w:t>
      </w:r>
    </w:p>
    <w:p>
      <w:pPr>
        <w:spacing w:after="0" w:line="60" w:lineRule="exact"/>
        <w:rPr>
          <w:rFonts w:ascii="Arial" w:cs="Arial" w:eastAsia="Arial" w:hAnsi="Arial"/>
          <w:sz w:val="16"/>
          <w:szCs w:val="16"/>
          <w:color w:val="auto"/>
        </w:rPr>
      </w:pPr>
    </w:p>
    <w:p>
      <w:pPr>
        <w:jc w:val="both"/>
        <w:ind w:left="540" w:right="20" w:hanging="424"/>
        <w:spacing w:after="0" w:line="248" w:lineRule="auto"/>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Amounts in this column includes the aggregate grant date fair value of performance RSUs, at target, calculated in accordance with ASC 718. The discussion of the assumptions used for purposes of valuation of RSUs in fiscal 2019 appears in Note 8: Stockholders’ Equity, </w:t>
      </w:r>
      <w:r>
        <w:rPr>
          <w:rFonts w:ascii="Arial" w:cs="Arial" w:eastAsia="Arial" w:hAnsi="Arial"/>
          <w:sz w:val="16"/>
          <w:szCs w:val="16"/>
          <w:i w:val="1"/>
          <w:iCs w:val="1"/>
          <w:color w:val="auto"/>
        </w:rPr>
        <w:t>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to our consolidated financial statements included in our Annual Report on Form 10-K. The grant date fair value for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RSUs is reported based upon the probable outcome of the performance conditions on the grant date in accordance with SEC rules. The value of the RSUs granted in fiscal 2019, assuming achievement of the maximum performance level of 200% and based on the Company’s stock price on the date the grant was approved, would have been: Mr. Jenkins, $1,443,732; Mr. Bowman, $318,490; Mr. DeProspero, $87,443; Ms. Manning, $492,717; Mr. Mulleady, $346,049; and Mr. Gleason, $286,927.</w:t>
      </w:r>
    </w:p>
    <w:p>
      <w:pPr>
        <w:spacing w:after="0" w:line="73" w:lineRule="exact"/>
        <w:rPr>
          <w:rFonts w:ascii="Arial" w:cs="Arial" w:eastAsia="Arial" w:hAnsi="Arial"/>
          <w:sz w:val="16"/>
          <w:szCs w:val="16"/>
          <w:color w:val="auto"/>
        </w:rPr>
      </w:pPr>
    </w:p>
    <w:p>
      <w:pPr>
        <w:jc w:val="both"/>
        <w:ind w:left="540" w:right="20" w:hanging="424"/>
        <w:spacing w:after="0" w:line="253" w:lineRule="auto"/>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Amounts in this column reflect the aggregate grant date fair value of options calculated in accordance with ASC 718. The discussion of the assumptions used for purposes of valuation of options granted in fiscal 2019 appears in Note 8: Stockholders’ Equity, </w:t>
      </w:r>
      <w:r>
        <w:rPr>
          <w:rFonts w:ascii="Arial" w:cs="Arial" w:eastAsia="Arial" w:hAnsi="Arial"/>
          <w:sz w:val="16"/>
          <w:szCs w:val="16"/>
          <w:i w:val="1"/>
          <w:iCs w:val="1"/>
          <w:color w:val="auto"/>
        </w:rPr>
        <w:t>Share-Based Compensation</w:t>
      </w:r>
      <w:r>
        <w:rPr>
          <w:rFonts w:ascii="Arial" w:cs="Arial" w:eastAsia="Arial" w:hAnsi="Arial"/>
          <w:sz w:val="16"/>
          <w:szCs w:val="16"/>
          <w:color w:val="auto"/>
        </w:rPr>
        <w:t>, to our consolidated financial statements included in our Annual Report on Form 10-K.</w:t>
      </w:r>
    </w:p>
    <w:p>
      <w:pPr>
        <w:spacing w:after="0" w:line="122"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45</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540" w:right="20" w:hanging="424"/>
        <w:spacing w:after="0" w:line="249" w:lineRule="auto"/>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Amounts in this column for 2019 reflect annual incentive earned for fiscal 2019 under the Executive Incentive Plan and the cash portion of the Long Term Incentive Plan by each NEO in 2017. As described in the Compensation Discussion &amp; Analysis, annual incentive payments for fiscal 2019 were delayed and were settled in stock rather than cash. Amounts in this column for 2018 reflect annual incentive earned for fiscal 2018 under the Executive Incentive Plan and the cash portion of the Long Term Incentive Plan awarded to each NEO in 2016. Amounts in this column for 2017 reflect annual incentive earned for fiscal 2017 under the Executive Incentive Plan and the cash portion of the Long Term Incentive Plan awarded to each NEO in 2015.</w:t>
      </w:r>
    </w:p>
    <w:p>
      <w:pPr>
        <w:spacing w:after="0" w:line="69" w:lineRule="exact"/>
        <w:rPr>
          <w:rFonts w:ascii="Arial" w:cs="Arial" w:eastAsia="Arial" w:hAnsi="Arial"/>
          <w:sz w:val="16"/>
          <w:szCs w:val="16"/>
          <w:color w:val="auto"/>
        </w:rPr>
      </w:pPr>
    </w:p>
    <w:p>
      <w:pPr>
        <w:ind w:left="540" w:hanging="424"/>
        <w:spacing w:after="0"/>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following table sets forth the components of “All Other Compensation” for fiscal 2019:</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003B71"/>
              </w:rPr>
              <w:t>Company</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003B71"/>
              </w:rPr>
              <w:t>Contributions To</w:t>
            </w:r>
          </w:p>
        </w:tc>
        <w:tc>
          <w:tcPr>
            <w:tcW w:w="1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3B71"/>
              </w:rPr>
              <w:t>Non-</w:t>
            </w:r>
          </w:p>
        </w:tc>
        <w:tc>
          <w:tcPr>
            <w:tcW w:w="86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2700" w:type="dxa"/>
            <w:vAlign w:val="bottom"/>
          </w:tcPr>
          <w:p>
            <w:pPr>
              <w:jc w:val="right"/>
              <w:ind w:right="162"/>
              <w:spacing w:after="0"/>
              <w:rPr>
                <w:sz w:val="20"/>
                <w:szCs w:val="20"/>
                <w:color w:val="auto"/>
              </w:rPr>
            </w:pPr>
            <w:r>
              <w:rPr>
                <w:rFonts w:ascii="Arial" w:cs="Arial" w:eastAsia="Arial" w:hAnsi="Arial"/>
                <w:sz w:val="14"/>
                <w:szCs w:val="14"/>
                <w:b w:val="1"/>
                <w:bCs w:val="1"/>
                <w:color w:val="003B71"/>
              </w:rPr>
              <w:t>Perquisite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003B71"/>
              </w:rPr>
              <w:t>Retirement &amp;</w:t>
            </w:r>
          </w:p>
        </w:tc>
        <w:tc>
          <w:tcPr>
            <w:tcW w:w="1140" w:type="dxa"/>
            <w:vAlign w:val="bottom"/>
          </w:tcPr>
          <w:p>
            <w:pPr>
              <w:jc w:val="right"/>
              <w:ind w:right="162"/>
              <w:spacing w:after="0"/>
              <w:rPr>
                <w:sz w:val="20"/>
                <w:szCs w:val="20"/>
                <w:color w:val="auto"/>
              </w:rPr>
            </w:pPr>
            <w:r>
              <w:rPr>
                <w:rFonts w:ascii="Arial" w:cs="Arial" w:eastAsia="Arial" w:hAnsi="Arial"/>
                <w:sz w:val="14"/>
                <w:szCs w:val="14"/>
                <w:b w:val="1"/>
                <w:bCs w:val="1"/>
                <w:color w:val="003B71"/>
              </w:rPr>
              <w:t>Executive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3B71"/>
              </w:rPr>
              <w:t>Qualified</w:t>
            </w:r>
          </w:p>
        </w:tc>
        <w:tc>
          <w:tcPr>
            <w:tcW w:w="86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2700" w:type="dxa"/>
            <w:vAlign w:val="bottom"/>
          </w:tcPr>
          <w:p>
            <w:pPr>
              <w:jc w:val="right"/>
              <w:ind w:right="162"/>
              <w:spacing w:after="0"/>
              <w:rPr>
                <w:sz w:val="20"/>
                <w:szCs w:val="20"/>
                <w:color w:val="auto"/>
              </w:rPr>
            </w:pPr>
            <w:r>
              <w:rPr>
                <w:rFonts w:ascii="Arial" w:cs="Arial" w:eastAsia="Arial" w:hAnsi="Arial"/>
                <w:sz w:val="14"/>
                <w:szCs w:val="14"/>
                <w:b w:val="1"/>
                <w:bCs w:val="1"/>
                <w:color w:val="003B71"/>
              </w:rPr>
              <w:t>Allowance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003B71"/>
              </w:rPr>
              <w:t>401(k) Plans(a)</w:t>
            </w:r>
          </w:p>
        </w:tc>
        <w:tc>
          <w:tcPr>
            <w:tcW w:w="1140" w:type="dxa"/>
            <w:vAlign w:val="bottom"/>
          </w:tcPr>
          <w:p>
            <w:pPr>
              <w:jc w:val="right"/>
              <w:ind w:right="202"/>
              <w:spacing w:after="0"/>
              <w:rPr>
                <w:sz w:val="20"/>
                <w:szCs w:val="20"/>
                <w:color w:val="auto"/>
              </w:rPr>
            </w:pPr>
            <w:r>
              <w:rPr>
                <w:rFonts w:ascii="Arial" w:cs="Arial" w:eastAsia="Arial" w:hAnsi="Arial"/>
                <w:sz w:val="14"/>
                <w:szCs w:val="14"/>
                <w:b w:val="1"/>
                <w:bCs w:val="1"/>
                <w:color w:val="003B71"/>
              </w:rPr>
              <w:t>Physical</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3B71"/>
              </w:rPr>
              <w:t>Moving</w:t>
            </w:r>
          </w:p>
        </w:tc>
        <w:tc>
          <w:tcPr>
            <w:tcW w:w="860" w:type="dxa"/>
            <w:vAlign w:val="bottom"/>
          </w:tcPr>
          <w:p>
            <w:pPr>
              <w:jc w:val="right"/>
              <w:ind w:right="221"/>
              <w:spacing w:after="0"/>
              <w:rPr>
                <w:sz w:val="20"/>
                <w:szCs w:val="20"/>
                <w:color w:val="auto"/>
              </w:rPr>
            </w:pPr>
            <w:r>
              <w:rPr>
                <w:rFonts w:ascii="Arial" w:cs="Arial" w:eastAsia="Arial" w:hAnsi="Arial"/>
                <w:sz w:val="14"/>
                <w:szCs w:val="14"/>
                <w:b w:val="1"/>
                <w:bCs w:val="1"/>
                <w:color w:val="003B71"/>
              </w:rPr>
              <w:t>Total</w:t>
            </w:r>
          </w:p>
        </w:tc>
      </w:tr>
      <w:tr>
        <w:trPr>
          <w:trHeight w:val="175"/>
        </w:trPr>
        <w:tc>
          <w:tcPr>
            <w:tcW w:w="3140" w:type="dxa"/>
            <w:vAlign w:val="bottom"/>
            <w:tcBorders>
              <w:bottom w:val="single" w:sz="8" w:color="003B71"/>
            </w:tcBorders>
          </w:tcPr>
          <w:p>
            <w:pPr>
              <w:ind w:left="80"/>
              <w:spacing w:after="0"/>
              <w:rPr>
                <w:sz w:val="20"/>
                <w:szCs w:val="20"/>
                <w:color w:val="auto"/>
              </w:rPr>
            </w:pPr>
            <w:r>
              <w:rPr>
                <w:rFonts w:ascii="Arial" w:cs="Arial" w:eastAsia="Arial" w:hAnsi="Arial"/>
                <w:sz w:val="14"/>
                <w:szCs w:val="14"/>
                <w:b w:val="1"/>
                <w:bCs w:val="1"/>
                <w:color w:val="003B71"/>
              </w:rPr>
              <w:t>Name</w:t>
            </w:r>
          </w:p>
        </w:tc>
        <w:tc>
          <w:tcPr>
            <w:tcW w:w="2700" w:type="dxa"/>
            <w:vAlign w:val="bottom"/>
            <w:tcBorders>
              <w:bottom w:val="single" w:sz="8" w:color="003B71"/>
            </w:tcBorders>
          </w:tcPr>
          <w:p>
            <w:pPr>
              <w:jc w:val="right"/>
              <w:ind w:right="422"/>
              <w:spacing w:after="0"/>
              <w:rPr>
                <w:sz w:val="20"/>
                <w:szCs w:val="20"/>
                <w:color w:val="auto"/>
              </w:rPr>
            </w:pPr>
            <w:r>
              <w:rPr>
                <w:rFonts w:ascii="Arial" w:cs="Arial" w:eastAsia="Arial" w:hAnsi="Arial"/>
                <w:sz w:val="14"/>
                <w:szCs w:val="14"/>
                <w:b w:val="1"/>
                <w:bCs w:val="1"/>
                <w:color w:val="003B71"/>
              </w:rPr>
              <w:t>($)</w:t>
            </w:r>
          </w:p>
        </w:tc>
        <w:tc>
          <w:tcPr>
            <w:tcW w:w="164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w:t>
            </w:r>
          </w:p>
        </w:tc>
        <w:tc>
          <w:tcPr>
            <w:tcW w:w="1140" w:type="dxa"/>
            <w:vAlign w:val="bottom"/>
            <w:tcBorders>
              <w:bottom w:val="single" w:sz="8" w:color="003B71"/>
            </w:tcBorders>
          </w:tcPr>
          <w:p>
            <w:pPr>
              <w:jc w:val="right"/>
              <w:ind w:right="402"/>
              <w:spacing w:after="0"/>
              <w:rPr>
                <w:sz w:val="20"/>
                <w:szCs w:val="20"/>
                <w:color w:val="auto"/>
              </w:rPr>
            </w:pPr>
            <w:r>
              <w:rPr>
                <w:rFonts w:ascii="Arial" w:cs="Arial" w:eastAsia="Arial" w:hAnsi="Arial"/>
                <w:sz w:val="14"/>
                <w:szCs w:val="14"/>
                <w:b w:val="1"/>
                <w:bCs w:val="1"/>
                <w:color w:val="003B71"/>
              </w:rPr>
              <w:t>($)</w:t>
            </w:r>
          </w:p>
        </w:tc>
        <w:tc>
          <w:tcPr>
            <w:tcW w:w="110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Expenses</w:t>
            </w:r>
          </w:p>
        </w:tc>
        <w:tc>
          <w:tcPr>
            <w:tcW w:w="860" w:type="dxa"/>
            <w:vAlign w:val="bottom"/>
            <w:tcBorders>
              <w:bottom w:val="single" w:sz="8" w:color="003B71"/>
            </w:tcBorders>
          </w:tcPr>
          <w:p>
            <w:pPr>
              <w:jc w:val="right"/>
              <w:ind w:right="301"/>
              <w:spacing w:after="0"/>
              <w:rPr>
                <w:sz w:val="20"/>
                <w:szCs w:val="20"/>
                <w:color w:val="auto"/>
              </w:rPr>
            </w:pPr>
            <w:r>
              <w:rPr>
                <w:rFonts w:ascii="Arial" w:cs="Arial" w:eastAsia="Arial" w:hAnsi="Arial"/>
                <w:sz w:val="14"/>
                <w:szCs w:val="14"/>
                <w:b w:val="1"/>
                <w:bCs w:val="1"/>
                <w:color w:val="003B71"/>
              </w:rPr>
              <w:t>($)</w:t>
            </w:r>
          </w:p>
        </w:tc>
      </w:tr>
      <w:tr>
        <w:trPr>
          <w:trHeight w:val="183"/>
        </w:trPr>
        <w:tc>
          <w:tcPr>
            <w:tcW w:w="314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Brian A. Jenkins</w:t>
            </w:r>
          </w:p>
        </w:tc>
        <w:tc>
          <w:tcPr>
            <w:tcW w:w="2700" w:type="dxa"/>
            <w:vAlign w:val="bottom"/>
            <w:shd w:val="clear" w:color="auto" w:fill="E5E5E5"/>
          </w:tcPr>
          <w:p>
            <w:pPr>
              <w:jc w:val="right"/>
              <w:ind w:right="162"/>
              <w:spacing w:after="0" w:line="183" w:lineRule="exact"/>
              <w:rPr>
                <w:sz w:val="20"/>
                <w:szCs w:val="20"/>
                <w:color w:val="auto"/>
              </w:rPr>
            </w:pPr>
            <w:r>
              <w:rPr>
                <w:rFonts w:ascii="Arial" w:cs="Arial" w:eastAsia="Arial" w:hAnsi="Arial"/>
                <w:sz w:val="16"/>
                <w:szCs w:val="16"/>
                <w:color w:val="auto"/>
              </w:rPr>
              <w:t>30,000</w:t>
            </w:r>
          </w:p>
        </w:tc>
        <w:tc>
          <w:tcPr>
            <w:tcW w:w="1640" w:type="dxa"/>
            <w:vAlign w:val="bottom"/>
            <w:shd w:val="clear" w:color="auto" w:fill="E5E5E5"/>
          </w:tcPr>
          <w:p>
            <w:pPr>
              <w:jc w:val="right"/>
              <w:ind w:right="163"/>
              <w:spacing w:after="0" w:line="183" w:lineRule="exact"/>
              <w:rPr>
                <w:sz w:val="20"/>
                <w:szCs w:val="20"/>
                <w:color w:val="auto"/>
              </w:rPr>
            </w:pPr>
            <w:r>
              <w:rPr>
                <w:rFonts w:ascii="Arial" w:cs="Arial" w:eastAsia="Arial" w:hAnsi="Arial"/>
                <w:sz w:val="16"/>
                <w:szCs w:val="16"/>
                <w:color w:val="auto"/>
              </w:rPr>
              <w:t>12,982</w:t>
            </w:r>
          </w:p>
        </w:tc>
        <w:tc>
          <w:tcPr>
            <w:tcW w:w="1140" w:type="dxa"/>
            <w:vAlign w:val="bottom"/>
            <w:shd w:val="clear" w:color="auto" w:fill="E5E5E5"/>
          </w:tcPr>
          <w:p>
            <w:pPr>
              <w:jc w:val="right"/>
              <w:ind w:right="162"/>
              <w:spacing w:after="0" w:line="183" w:lineRule="exact"/>
              <w:rPr>
                <w:sz w:val="20"/>
                <w:szCs w:val="20"/>
                <w:color w:val="auto"/>
              </w:rPr>
            </w:pPr>
            <w:r>
              <w:rPr>
                <w:rFonts w:ascii="Arial" w:cs="Arial" w:eastAsia="Arial" w:hAnsi="Arial"/>
                <w:sz w:val="16"/>
                <w:szCs w:val="16"/>
                <w:color w:val="auto"/>
              </w:rPr>
              <w:t>0</w:t>
            </w:r>
          </w:p>
        </w:tc>
        <w:tc>
          <w:tcPr>
            <w:tcW w:w="1100" w:type="dxa"/>
            <w:vAlign w:val="bottom"/>
            <w:shd w:val="clear" w:color="auto" w:fill="E5E5E5"/>
          </w:tcPr>
          <w:p>
            <w:pPr>
              <w:jc w:val="right"/>
              <w:ind w:right="103"/>
              <w:spacing w:after="0" w:line="183" w:lineRule="exact"/>
              <w:rPr>
                <w:sz w:val="20"/>
                <w:szCs w:val="20"/>
                <w:color w:val="auto"/>
              </w:rPr>
            </w:pPr>
            <w:r>
              <w:rPr>
                <w:rFonts w:ascii="Arial" w:cs="Arial" w:eastAsia="Arial" w:hAnsi="Arial"/>
                <w:sz w:val="16"/>
                <w:szCs w:val="16"/>
                <w:color w:val="auto"/>
              </w:rPr>
              <w:t>0</w:t>
            </w:r>
          </w:p>
        </w:tc>
        <w:tc>
          <w:tcPr>
            <w:tcW w:w="860" w:type="dxa"/>
            <w:vAlign w:val="bottom"/>
            <w:shd w:val="clear" w:color="auto" w:fill="E5E5E5"/>
          </w:tcPr>
          <w:p>
            <w:pPr>
              <w:jc w:val="right"/>
              <w:ind w:right="101"/>
              <w:spacing w:after="0" w:line="183" w:lineRule="exact"/>
              <w:rPr>
                <w:sz w:val="20"/>
                <w:szCs w:val="20"/>
                <w:color w:val="auto"/>
              </w:rPr>
            </w:pPr>
            <w:r>
              <w:rPr>
                <w:rFonts w:ascii="Arial" w:cs="Arial" w:eastAsia="Arial" w:hAnsi="Arial"/>
                <w:sz w:val="16"/>
                <w:szCs w:val="16"/>
                <w:color w:val="auto"/>
              </w:rPr>
              <w:t>42,982</w:t>
            </w:r>
          </w:p>
        </w:tc>
      </w:tr>
      <w:tr>
        <w:trPr>
          <w:trHeight w:val="189"/>
        </w:trPr>
        <w:tc>
          <w:tcPr>
            <w:tcW w:w="3140" w:type="dxa"/>
            <w:vAlign w:val="bottom"/>
          </w:tcPr>
          <w:p>
            <w:pPr>
              <w:ind w:left="80"/>
              <w:spacing w:after="0"/>
              <w:rPr>
                <w:sz w:val="20"/>
                <w:szCs w:val="20"/>
                <w:color w:val="auto"/>
              </w:rPr>
            </w:pPr>
            <w:r>
              <w:rPr>
                <w:rFonts w:ascii="Arial" w:cs="Arial" w:eastAsia="Arial" w:hAnsi="Arial"/>
                <w:sz w:val="16"/>
                <w:szCs w:val="16"/>
                <w:color w:val="auto"/>
              </w:rPr>
              <w:t>Scott Bowman</w:t>
            </w:r>
          </w:p>
        </w:tc>
        <w:tc>
          <w:tcPr>
            <w:tcW w:w="2700" w:type="dxa"/>
            <w:vAlign w:val="bottom"/>
          </w:tcPr>
          <w:p>
            <w:pPr>
              <w:jc w:val="right"/>
              <w:ind w:right="162"/>
              <w:spacing w:after="0"/>
              <w:rPr>
                <w:sz w:val="20"/>
                <w:szCs w:val="20"/>
                <w:color w:val="auto"/>
              </w:rPr>
            </w:pPr>
            <w:r>
              <w:rPr>
                <w:rFonts w:ascii="Arial" w:cs="Arial" w:eastAsia="Arial" w:hAnsi="Arial"/>
                <w:sz w:val="16"/>
                <w:szCs w:val="16"/>
                <w:color w:val="auto"/>
              </w:rPr>
              <w:t>18,750</w:t>
            </w:r>
          </w:p>
        </w:tc>
        <w:tc>
          <w:tcPr>
            <w:tcW w:w="1640" w:type="dxa"/>
            <w:vAlign w:val="bottom"/>
          </w:tcPr>
          <w:p>
            <w:pPr>
              <w:jc w:val="right"/>
              <w:ind w:right="163"/>
              <w:spacing w:after="0"/>
              <w:rPr>
                <w:sz w:val="20"/>
                <w:szCs w:val="20"/>
                <w:color w:val="auto"/>
              </w:rPr>
            </w:pPr>
            <w:r>
              <w:rPr>
                <w:rFonts w:ascii="Arial" w:cs="Arial" w:eastAsia="Arial" w:hAnsi="Arial"/>
                <w:sz w:val="16"/>
                <w:szCs w:val="16"/>
                <w:color w:val="auto"/>
              </w:rPr>
              <w:t>831</w:t>
            </w:r>
          </w:p>
        </w:tc>
        <w:tc>
          <w:tcPr>
            <w:tcW w:w="1140" w:type="dxa"/>
            <w:vAlign w:val="bottom"/>
          </w:tcPr>
          <w:p>
            <w:pPr>
              <w:jc w:val="right"/>
              <w:ind w:right="162"/>
              <w:spacing w:after="0"/>
              <w:rPr>
                <w:sz w:val="20"/>
                <w:szCs w:val="20"/>
                <w:color w:val="auto"/>
              </w:rPr>
            </w:pPr>
            <w:r>
              <w:rPr>
                <w:rFonts w:ascii="Arial" w:cs="Arial" w:eastAsia="Arial" w:hAnsi="Arial"/>
                <w:sz w:val="16"/>
                <w:szCs w:val="16"/>
                <w:color w:val="auto"/>
              </w:rPr>
              <w:t>0</w:t>
            </w:r>
          </w:p>
        </w:tc>
        <w:tc>
          <w:tcPr>
            <w:tcW w:w="1100" w:type="dxa"/>
            <w:vAlign w:val="bottom"/>
          </w:tcPr>
          <w:p>
            <w:pPr>
              <w:jc w:val="right"/>
              <w:ind w:right="103"/>
              <w:spacing w:after="0"/>
              <w:rPr>
                <w:sz w:val="20"/>
                <w:szCs w:val="20"/>
                <w:color w:val="auto"/>
              </w:rPr>
            </w:pPr>
            <w:r>
              <w:rPr>
                <w:rFonts w:ascii="Arial" w:cs="Arial" w:eastAsia="Arial" w:hAnsi="Arial"/>
                <w:sz w:val="16"/>
                <w:szCs w:val="16"/>
                <w:color w:val="auto"/>
              </w:rPr>
              <w:t>35,457</w:t>
            </w: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55,038</w:t>
            </w:r>
          </w:p>
        </w:tc>
      </w:tr>
      <w:tr>
        <w:trPr>
          <w:trHeight w:val="189"/>
        </w:trPr>
        <w:tc>
          <w:tcPr>
            <w:tcW w:w="3140" w:type="dxa"/>
            <w:vAlign w:val="bottom"/>
            <w:shd w:val="clear" w:color="auto" w:fill="E5E5E5"/>
          </w:tcPr>
          <w:p>
            <w:pPr>
              <w:ind w:left="80"/>
              <w:spacing w:after="0"/>
              <w:rPr>
                <w:sz w:val="20"/>
                <w:szCs w:val="20"/>
                <w:color w:val="auto"/>
              </w:rPr>
            </w:pPr>
            <w:r>
              <w:rPr>
                <w:rFonts w:ascii="Arial" w:cs="Arial" w:eastAsia="Arial" w:hAnsi="Arial"/>
                <w:sz w:val="16"/>
                <w:szCs w:val="16"/>
                <w:color w:val="auto"/>
              </w:rPr>
              <w:t>Joe DeProspero</w:t>
            </w:r>
          </w:p>
        </w:tc>
        <w:tc>
          <w:tcPr>
            <w:tcW w:w="2700" w:type="dxa"/>
            <w:vAlign w:val="bottom"/>
            <w:shd w:val="clear" w:color="auto" w:fill="E5E5E5"/>
          </w:tcPr>
          <w:p>
            <w:pPr>
              <w:jc w:val="right"/>
              <w:ind w:right="162"/>
              <w:spacing w:after="0"/>
              <w:rPr>
                <w:sz w:val="20"/>
                <w:szCs w:val="20"/>
                <w:color w:val="auto"/>
              </w:rPr>
            </w:pPr>
            <w:r>
              <w:rPr>
                <w:rFonts w:ascii="Arial" w:cs="Arial" w:eastAsia="Arial" w:hAnsi="Arial"/>
                <w:sz w:val="16"/>
                <w:szCs w:val="16"/>
                <w:color w:val="auto"/>
              </w:rPr>
              <w:t>23,846</w:t>
            </w:r>
          </w:p>
        </w:tc>
        <w:tc>
          <w:tcPr>
            <w:tcW w:w="1640" w:type="dxa"/>
            <w:vAlign w:val="bottom"/>
            <w:shd w:val="clear" w:color="auto" w:fill="E5E5E5"/>
          </w:tcPr>
          <w:p>
            <w:pPr>
              <w:jc w:val="right"/>
              <w:ind w:right="163"/>
              <w:spacing w:after="0"/>
              <w:rPr>
                <w:sz w:val="20"/>
                <w:szCs w:val="20"/>
                <w:color w:val="auto"/>
              </w:rPr>
            </w:pPr>
            <w:r>
              <w:rPr>
                <w:rFonts w:ascii="Arial" w:cs="Arial" w:eastAsia="Arial" w:hAnsi="Arial"/>
                <w:sz w:val="16"/>
                <w:szCs w:val="16"/>
                <w:color w:val="auto"/>
              </w:rPr>
              <w:t>4,787</w:t>
            </w:r>
          </w:p>
        </w:tc>
        <w:tc>
          <w:tcPr>
            <w:tcW w:w="1140" w:type="dxa"/>
            <w:vAlign w:val="bottom"/>
            <w:shd w:val="clear" w:color="auto" w:fill="E5E5E5"/>
          </w:tcPr>
          <w:p>
            <w:pPr>
              <w:jc w:val="right"/>
              <w:ind w:right="162"/>
              <w:spacing w:after="0"/>
              <w:rPr>
                <w:sz w:val="20"/>
                <w:szCs w:val="20"/>
                <w:color w:val="auto"/>
              </w:rPr>
            </w:pPr>
            <w:r>
              <w:rPr>
                <w:rFonts w:ascii="Arial" w:cs="Arial" w:eastAsia="Arial" w:hAnsi="Arial"/>
                <w:sz w:val="16"/>
                <w:szCs w:val="16"/>
                <w:color w:val="auto"/>
              </w:rPr>
              <w:t>0</w:t>
            </w:r>
          </w:p>
        </w:tc>
        <w:tc>
          <w:tcPr>
            <w:tcW w:w="1100" w:type="dxa"/>
            <w:vAlign w:val="bottom"/>
            <w:shd w:val="clear" w:color="auto" w:fill="E5E5E5"/>
          </w:tcPr>
          <w:p>
            <w:pPr>
              <w:jc w:val="right"/>
              <w:ind w:right="103"/>
              <w:spacing w:after="0"/>
              <w:rPr>
                <w:sz w:val="20"/>
                <w:szCs w:val="20"/>
                <w:color w:val="auto"/>
              </w:rPr>
            </w:pPr>
            <w:r>
              <w:rPr>
                <w:rFonts w:ascii="Arial" w:cs="Arial" w:eastAsia="Arial" w:hAnsi="Arial"/>
                <w:sz w:val="16"/>
                <w:szCs w:val="16"/>
                <w:color w:val="auto"/>
              </w:rPr>
              <w:t>0</w:t>
            </w:r>
          </w:p>
        </w:tc>
        <w:tc>
          <w:tcPr>
            <w:tcW w:w="86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28,633</w:t>
            </w:r>
          </w:p>
        </w:tc>
      </w:tr>
      <w:tr>
        <w:trPr>
          <w:trHeight w:val="189"/>
        </w:trPr>
        <w:tc>
          <w:tcPr>
            <w:tcW w:w="3140" w:type="dxa"/>
            <w:vAlign w:val="bottom"/>
          </w:tcPr>
          <w:p>
            <w:pPr>
              <w:ind w:left="80"/>
              <w:spacing w:after="0"/>
              <w:rPr>
                <w:sz w:val="20"/>
                <w:szCs w:val="20"/>
                <w:color w:val="auto"/>
              </w:rPr>
            </w:pPr>
            <w:r>
              <w:rPr>
                <w:rFonts w:ascii="Arial" w:cs="Arial" w:eastAsia="Arial" w:hAnsi="Arial"/>
                <w:sz w:val="16"/>
                <w:szCs w:val="16"/>
                <w:color w:val="auto"/>
              </w:rPr>
              <w:t>Sean Gleason</w:t>
            </w:r>
          </w:p>
        </w:tc>
        <w:tc>
          <w:tcPr>
            <w:tcW w:w="2700" w:type="dxa"/>
            <w:vAlign w:val="bottom"/>
          </w:tcPr>
          <w:p>
            <w:pPr>
              <w:jc w:val="right"/>
              <w:ind w:right="162"/>
              <w:spacing w:after="0"/>
              <w:rPr>
                <w:sz w:val="20"/>
                <w:szCs w:val="20"/>
                <w:color w:val="auto"/>
              </w:rPr>
            </w:pPr>
            <w:r>
              <w:rPr>
                <w:rFonts w:ascii="Arial" w:cs="Arial" w:eastAsia="Arial" w:hAnsi="Arial"/>
                <w:sz w:val="16"/>
                <w:szCs w:val="16"/>
                <w:color w:val="auto"/>
              </w:rPr>
              <w:t>25,000</w:t>
            </w:r>
          </w:p>
        </w:tc>
        <w:tc>
          <w:tcPr>
            <w:tcW w:w="1640" w:type="dxa"/>
            <w:vAlign w:val="bottom"/>
          </w:tcPr>
          <w:p>
            <w:pPr>
              <w:jc w:val="right"/>
              <w:ind w:right="163"/>
              <w:spacing w:after="0"/>
              <w:rPr>
                <w:sz w:val="20"/>
                <w:szCs w:val="20"/>
                <w:color w:val="auto"/>
              </w:rPr>
            </w:pPr>
            <w:r>
              <w:rPr>
                <w:rFonts w:ascii="Arial" w:cs="Arial" w:eastAsia="Arial" w:hAnsi="Arial"/>
                <w:sz w:val="16"/>
                <w:szCs w:val="16"/>
                <w:color w:val="auto"/>
              </w:rPr>
              <w:t>7,674</w:t>
            </w:r>
          </w:p>
        </w:tc>
        <w:tc>
          <w:tcPr>
            <w:tcW w:w="1140" w:type="dxa"/>
            <w:vAlign w:val="bottom"/>
          </w:tcPr>
          <w:p>
            <w:pPr>
              <w:jc w:val="right"/>
              <w:ind w:right="162"/>
              <w:spacing w:after="0"/>
              <w:rPr>
                <w:sz w:val="20"/>
                <w:szCs w:val="20"/>
                <w:color w:val="auto"/>
              </w:rPr>
            </w:pPr>
            <w:r>
              <w:rPr>
                <w:rFonts w:ascii="Arial" w:cs="Arial" w:eastAsia="Arial" w:hAnsi="Arial"/>
                <w:sz w:val="16"/>
                <w:szCs w:val="16"/>
                <w:color w:val="auto"/>
              </w:rPr>
              <w:t>0</w:t>
            </w:r>
          </w:p>
        </w:tc>
        <w:tc>
          <w:tcPr>
            <w:tcW w:w="1100" w:type="dxa"/>
            <w:vAlign w:val="bottom"/>
          </w:tcPr>
          <w:p>
            <w:pPr>
              <w:jc w:val="right"/>
              <w:ind w:right="103"/>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32,674</w:t>
            </w:r>
          </w:p>
        </w:tc>
      </w:tr>
      <w:tr>
        <w:trPr>
          <w:trHeight w:val="189"/>
        </w:trPr>
        <w:tc>
          <w:tcPr>
            <w:tcW w:w="3140" w:type="dxa"/>
            <w:vAlign w:val="bottom"/>
            <w:shd w:val="clear" w:color="auto" w:fill="E5E5E5"/>
          </w:tcPr>
          <w:p>
            <w:pPr>
              <w:ind w:left="80"/>
              <w:spacing w:after="0"/>
              <w:rPr>
                <w:sz w:val="20"/>
                <w:szCs w:val="20"/>
                <w:color w:val="auto"/>
              </w:rPr>
            </w:pPr>
            <w:r>
              <w:rPr>
                <w:rFonts w:ascii="Arial" w:cs="Arial" w:eastAsia="Arial" w:hAnsi="Arial"/>
                <w:sz w:val="16"/>
                <w:szCs w:val="16"/>
                <w:color w:val="auto"/>
              </w:rPr>
              <w:t>Margo L. Manning</w:t>
            </w:r>
          </w:p>
        </w:tc>
        <w:tc>
          <w:tcPr>
            <w:tcW w:w="2700" w:type="dxa"/>
            <w:vAlign w:val="bottom"/>
            <w:shd w:val="clear" w:color="auto" w:fill="E5E5E5"/>
          </w:tcPr>
          <w:p>
            <w:pPr>
              <w:jc w:val="right"/>
              <w:ind w:right="162"/>
              <w:spacing w:after="0"/>
              <w:rPr>
                <w:sz w:val="20"/>
                <w:szCs w:val="20"/>
                <w:color w:val="auto"/>
              </w:rPr>
            </w:pPr>
            <w:r>
              <w:rPr>
                <w:rFonts w:ascii="Arial" w:cs="Arial" w:eastAsia="Arial" w:hAnsi="Arial"/>
                <w:sz w:val="16"/>
                <w:szCs w:val="16"/>
                <w:color w:val="auto"/>
              </w:rPr>
              <w:t>25,000</w:t>
            </w:r>
          </w:p>
        </w:tc>
        <w:tc>
          <w:tcPr>
            <w:tcW w:w="1640" w:type="dxa"/>
            <w:vAlign w:val="bottom"/>
            <w:shd w:val="clear" w:color="auto" w:fill="E5E5E5"/>
          </w:tcPr>
          <w:p>
            <w:pPr>
              <w:jc w:val="right"/>
              <w:ind w:right="163"/>
              <w:spacing w:after="0"/>
              <w:rPr>
                <w:sz w:val="20"/>
                <w:szCs w:val="20"/>
                <w:color w:val="auto"/>
              </w:rPr>
            </w:pPr>
            <w:r>
              <w:rPr>
                <w:rFonts w:ascii="Arial" w:cs="Arial" w:eastAsia="Arial" w:hAnsi="Arial"/>
                <w:sz w:val="16"/>
                <w:szCs w:val="16"/>
                <w:color w:val="auto"/>
              </w:rPr>
              <w:t>8,276</w:t>
            </w:r>
          </w:p>
        </w:tc>
        <w:tc>
          <w:tcPr>
            <w:tcW w:w="1140" w:type="dxa"/>
            <w:vAlign w:val="bottom"/>
            <w:shd w:val="clear" w:color="auto" w:fill="E5E5E5"/>
          </w:tcPr>
          <w:p>
            <w:pPr>
              <w:jc w:val="right"/>
              <w:ind w:right="162"/>
              <w:spacing w:after="0"/>
              <w:rPr>
                <w:sz w:val="20"/>
                <w:szCs w:val="20"/>
                <w:color w:val="auto"/>
              </w:rPr>
            </w:pPr>
            <w:r>
              <w:rPr>
                <w:rFonts w:ascii="Arial" w:cs="Arial" w:eastAsia="Arial" w:hAnsi="Arial"/>
                <w:sz w:val="16"/>
                <w:szCs w:val="16"/>
                <w:color w:val="auto"/>
              </w:rPr>
              <w:t>0</w:t>
            </w:r>
          </w:p>
        </w:tc>
        <w:tc>
          <w:tcPr>
            <w:tcW w:w="1100" w:type="dxa"/>
            <w:vAlign w:val="bottom"/>
            <w:shd w:val="clear" w:color="auto" w:fill="E5E5E5"/>
          </w:tcPr>
          <w:p>
            <w:pPr>
              <w:jc w:val="right"/>
              <w:ind w:right="103"/>
              <w:spacing w:after="0"/>
              <w:rPr>
                <w:sz w:val="20"/>
                <w:szCs w:val="20"/>
                <w:color w:val="auto"/>
              </w:rPr>
            </w:pPr>
            <w:r>
              <w:rPr>
                <w:rFonts w:ascii="Arial" w:cs="Arial" w:eastAsia="Arial" w:hAnsi="Arial"/>
                <w:sz w:val="16"/>
                <w:szCs w:val="16"/>
                <w:color w:val="auto"/>
              </w:rPr>
              <w:t>0</w:t>
            </w:r>
          </w:p>
        </w:tc>
        <w:tc>
          <w:tcPr>
            <w:tcW w:w="86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33,276</w:t>
            </w:r>
          </w:p>
        </w:tc>
      </w:tr>
      <w:tr>
        <w:trPr>
          <w:trHeight w:val="197"/>
        </w:trPr>
        <w:tc>
          <w:tcPr>
            <w:tcW w:w="3140" w:type="dxa"/>
            <w:vAlign w:val="bottom"/>
          </w:tcPr>
          <w:p>
            <w:pPr>
              <w:ind w:left="80"/>
              <w:spacing w:after="0"/>
              <w:rPr>
                <w:sz w:val="20"/>
                <w:szCs w:val="20"/>
                <w:color w:val="auto"/>
              </w:rPr>
            </w:pPr>
            <w:r>
              <w:rPr>
                <w:rFonts w:ascii="Arial" w:cs="Arial" w:eastAsia="Arial" w:hAnsi="Arial"/>
                <w:sz w:val="16"/>
                <w:szCs w:val="16"/>
                <w:color w:val="auto"/>
              </w:rPr>
              <w:t>John B. Mulleady</w:t>
            </w:r>
          </w:p>
        </w:tc>
        <w:tc>
          <w:tcPr>
            <w:tcW w:w="2700" w:type="dxa"/>
            <w:vAlign w:val="bottom"/>
          </w:tcPr>
          <w:p>
            <w:pPr>
              <w:jc w:val="right"/>
              <w:ind w:right="162"/>
              <w:spacing w:after="0"/>
              <w:rPr>
                <w:sz w:val="20"/>
                <w:szCs w:val="20"/>
                <w:color w:val="auto"/>
              </w:rPr>
            </w:pPr>
            <w:r>
              <w:rPr>
                <w:rFonts w:ascii="Arial" w:cs="Arial" w:eastAsia="Arial" w:hAnsi="Arial"/>
                <w:sz w:val="16"/>
                <w:szCs w:val="16"/>
                <w:color w:val="auto"/>
              </w:rPr>
              <w:t>25,000</w:t>
            </w:r>
          </w:p>
        </w:tc>
        <w:tc>
          <w:tcPr>
            <w:tcW w:w="1640" w:type="dxa"/>
            <w:vAlign w:val="bottom"/>
          </w:tcPr>
          <w:p>
            <w:pPr>
              <w:jc w:val="right"/>
              <w:ind w:right="163"/>
              <w:spacing w:after="0"/>
              <w:rPr>
                <w:sz w:val="20"/>
                <w:szCs w:val="20"/>
                <w:color w:val="auto"/>
              </w:rPr>
            </w:pPr>
            <w:r>
              <w:rPr>
                <w:rFonts w:ascii="Arial" w:cs="Arial" w:eastAsia="Arial" w:hAnsi="Arial"/>
                <w:sz w:val="16"/>
                <w:szCs w:val="16"/>
                <w:color w:val="auto"/>
              </w:rPr>
              <w:t>1,400</w:t>
            </w:r>
          </w:p>
        </w:tc>
        <w:tc>
          <w:tcPr>
            <w:tcW w:w="1140" w:type="dxa"/>
            <w:vAlign w:val="bottom"/>
          </w:tcPr>
          <w:p>
            <w:pPr>
              <w:jc w:val="right"/>
              <w:ind w:right="162"/>
              <w:spacing w:after="0"/>
              <w:rPr>
                <w:sz w:val="20"/>
                <w:szCs w:val="20"/>
                <w:color w:val="auto"/>
              </w:rPr>
            </w:pPr>
            <w:r>
              <w:rPr>
                <w:rFonts w:ascii="Arial" w:cs="Arial" w:eastAsia="Arial" w:hAnsi="Arial"/>
                <w:sz w:val="16"/>
                <w:szCs w:val="16"/>
                <w:color w:val="auto"/>
              </w:rPr>
              <w:t>0</w:t>
            </w:r>
          </w:p>
        </w:tc>
        <w:tc>
          <w:tcPr>
            <w:tcW w:w="1100" w:type="dxa"/>
            <w:vAlign w:val="bottom"/>
          </w:tcPr>
          <w:p>
            <w:pPr>
              <w:jc w:val="right"/>
              <w:ind w:right="103"/>
              <w:spacing w:after="0"/>
              <w:rPr>
                <w:sz w:val="20"/>
                <w:szCs w:val="20"/>
                <w:color w:val="auto"/>
              </w:rPr>
            </w:pPr>
            <w:r>
              <w:rPr>
                <w:rFonts w:ascii="Arial" w:cs="Arial" w:eastAsia="Arial" w:hAnsi="Arial"/>
                <w:sz w:val="16"/>
                <w:szCs w:val="16"/>
                <w:color w:val="auto"/>
              </w:rPr>
              <w:t>0</w:t>
            </w: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26,400</w:t>
            </w:r>
          </w:p>
        </w:tc>
      </w:tr>
    </w:tbl>
    <w:p>
      <w:pPr>
        <w:spacing w:after="0" w:line="75" w:lineRule="exact"/>
        <w:rPr>
          <w:sz w:val="20"/>
          <w:szCs w:val="20"/>
          <w:color w:val="auto"/>
        </w:rPr>
      </w:pPr>
    </w:p>
    <w:p>
      <w:pPr>
        <w:ind w:left="980" w:hanging="432"/>
        <w:spacing w:after="0" w:line="260" w:lineRule="auto"/>
        <w:tabs>
          <w:tab w:leader="none" w:pos="9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Amounts include Company contributions to the 401(k) and SERP that were based on the Company’s performance during fiscal 2019 and the Company’s fixed contributions to the 401(k) plan and SERP that were made during fiscal 2019.</w:t>
      </w:r>
    </w:p>
    <w:p>
      <w:pPr>
        <w:spacing w:after="0" w:line="11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46</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Grants of Plan-Based Awards in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grants of plan-based awards to the named executive officers in fiscal 2019.</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003B71"/>
                <w:w w:val="92"/>
              </w:rPr>
              <w:t>Grant</w:t>
            </w: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300" w:type="dxa"/>
            <w:vAlign w:val="bottom"/>
            <w:gridSpan w:val="3"/>
            <w:vMerge w:val="restart"/>
          </w:tcPr>
          <w:p>
            <w:pPr>
              <w:jc w:val="center"/>
              <w:ind w:left="629"/>
              <w:spacing w:after="0"/>
              <w:rPr>
                <w:sz w:val="20"/>
                <w:szCs w:val="20"/>
                <w:color w:val="auto"/>
              </w:rPr>
            </w:pPr>
            <w:r>
              <w:rPr>
                <w:rFonts w:ascii="Arial" w:cs="Arial" w:eastAsia="Arial" w:hAnsi="Arial"/>
                <w:sz w:val="13"/>
                <w:szCs w:val="13"/>
                <w:b w:val="1"/>
                <w:bCs w:val="1"/>
                <w:color w:val="003B71"/>
                <w:w w:val="97"/>
              </w:rPr>
              <w:t>Estimated Future Payouts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003B71"/>
                <w:w w:val="97"/>
              </w:rPr>
              <w:t>Estimated Future Payouts</w:t>
            </w: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003B71"/>
              </w:rPr>
              <w:t>Exercise</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3"/>
              </w:rPr>
              <w:t>Date Fair</w:t>
            </w:r>
          </w:p>
        </w:tc>
        <w:tc>
          <w:tcPr>
            <w:tcW w:w="0" w:type="dxa"/>
            <w:vAlign w:val="bottom"/>
          </w:tcPr>
          <w:p>
            <w:pPr>
              <w:spacing w:after="0"/>
              <w:rPr>
                <w:sz w:val="1"/>
                <w:szCs w:val="1"/>
                <w:color w:val="auto"/>
              </w:rPr>
            </w:pPr>
          </w:p>
        </w:tc>
      </w:tr>
      <w:tr>
        <w:trPr>
          <w:trHeight w:val="130"/>
        </w:trPr>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30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1080" w:type="dxa"/>
            <w:vAlign w:val="bottom"/>
          </w:tcPr>
          <w:p>
            <w:pPr>
              <w:jc w:val="center"/>
              <w:ind w:left="137"/>
              <w:spacing w:after="0" w:line="130" w:lineRule="exact"/>
              <w:rPr>
                <w:sz w:val="20"/>
                <w:szCs w:val="20"/>
                <w:color w:val="auto"/>
              </w:rPr>
            </w:pPr>
            <w:r>
              <w:rPr>
                <w:rFonts w:ascii="Arial" w:cs="Arial" w:eastAsia="Arial" w:hAnsi="Arial"/>
                <w:sz w:val="13"/>
                <w:szCs w:val="13"/>
                <w:b w:val="1"/>
                <w:bCs w:val="1"/>
                <w:color w:val="003B71"/>
                <w:w w:val="94"/>
              </w:rPr>
              <w:t>All Other</w:t>
            </w:r>
          </w:p>
        </w:tc>
        <w:tc>
          <w:tcPr>
            <w:tcW w:w="860" w:type="dxa"/>
            <w:vAlign w:val="bottom"/>
          </w:tcPr>
          <w:p>
            <w:pPr>
              <w:jc w:val="center"/>
              <w:spacing w:after="0" w:line="130" w:lineRule="exact"/>
              <w:rPr>
                <w:sz w:val="20"/>
                <w:szCs w:val="20"/>
                <w:color w:val="auto"/>
              </w:rPr>
            </w:pPr>
            <w:r>
              <w:rPr>
                <w:rFonts w:ascii="Arial" w:cs="Arial" w:eastAsia="Arial" w:hAnsi="Arial"/>
                <w:sz w:val="13"/>
                <w:szCs w:val="13"/>
                <w:b w:val="1"/>
                <w:bCs w:val="1"/>
                <w:color w:val="003B71"/>
                <w:w w:val="94"/>
              </w:rPr>
              <w:t>All Other</w:t>
            </w:r>
          </w:p>
        </w:tc>
        <w:tc>
          <w:tcPr>
            <w:tcW w:w="640" w:type="dxa"/>
            <w:vAlign w:val="bottom"/>
          </w:tcPr>
          <w:p>
            <w:pPr>
              <w:jc w:val="center"/>
              <w:spacing w:after="0" w:line="130" w:lineRule="exact"/>
              <w:rPr>
                <w:sz w:val="20"/>
                <w:szCs w:val="20"/>
                <w:color w:val="auto"/>
              </w:rPr>
            </w:pPr>
            <w:r>
              <w:rPr>
                <w:rFonts w:ascii="Arial" w:cs="Arial" w:eastAsia="Arial" w:hAnsi="Arial"/>
                <w:sz w:val="13"/>
                <w:szCs w:val="13"/>
                <w:b w:val="1"/>
                <w:bCs w:val="1"/>
                <w:color w:val="003B71"/>
                <w:w w:val="96"/>
              </w:rPr>
              <w:t>or Base</w:t>
            </w:r>
          </w:p>
        </w:tc>
        <w:tc>
          <w:tcPr>
            <w:tcW w:w="780" w:type="dxa"/>
            <w:vAlign w:val="bottom"/>
          </w:tcPr>
          <w:p>
            <w:pPr>
              <w:jc w:val="center"/>
              <w:spacing w:after="0" w:line="130" w:lineRule="exact"/>
              <w:rPr>
                <w:sz w:val="20"/>
                <w:szCs w:val="20"/>
                <w:color w:val="auto"/>
              </w:rPr>
            </w:pPr>
            <w:r>
              <w:rPr>
                <w:rFonts w:ascii="Arial" w:cs="Arial" w:eastAsia="Arial" w:hAnsi="Arial"/>
                <w:sz w:val="13"/>
                <w:szCs w:val="13"/>
                <w:b w:val="1"/>
                <w:bCs w:val="1"/>
                <w:color w:val="003B71"/>
                <w:w w:val="94"/>
              </w:rPr>
              <w:t>Value of</w:t>
            </w: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00" w:type="dxa"/>
            <w:vAlign w:val="bottom"/>
            <w:gridSpan w:val="2"/>
          </w:tcPr>
          <w:p>
            <w:pPr>
              <w:jc w:val="center"/>
              <w:ind w:right="29"/>
              <w:spacing w:after="0" w:line="135" w:lineRule="exact"/>
              <w:rPr>
                <w:sz w:val="20"/>
                <w:szCs w:val="20"/>
                <w:color w:val="auto"/>
              </w:rPr>
            </w:pPr>
            <w:r>
              <w:rPr>
                <w:rFonts w:ascii="Arial" w:cs="Arial" w:eastAsia="Arial" w:hAnsi="Arial"/>
                <w:sz w:val="13"/>
                <w:szCs w:val="13"/>
                <w:b w:val="1"/>
                <w:bCs w:val="1"/>
                <w:color w:val="003B71"/>
                <w:w w:val="97"/>
              </w:rPr>
              <w:t>Under Non-Equity</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ind w:left="513"/>
              <w:spacing w:after="0" w:line="135" w:lineRule="exact"/>
              <w:rPr>
                <w:sz w:val="20"/>
                <w:szCs w:val="20"/>
                <w:color w:val="auto"/>
              </w:rPr>
            </w:pPr>
            <w:r>
              <w:rPr>
                <w:rFonts w:ascii="Arial" w:cs="Arial" w:eastAsia="Arial" w:hAnsi="Arial"/>
                <w:sz w:val="13"/>
                <w:szCs w:val="13"/>
                <w:b w:val="1"/>
                <w:bCs w:val="1"/>
                <w:color w:val="003B71"/>
                <w:w w:val="96"/>
              </w:rPr>
              <w:t>Under Equity</w:t>
            </w:r>
          </w:p>
        </w:tc>
        <w:tc>
          <w:tcPr>
            <w:tcW w:w="540" w:type="dxa"/>
            <w:vAlign w:val="bottom"/>
          </w:tcPr>
          <w:p>
            <w:pPr>
              <w:spacing w:after="0"/>
              <w:rPr>
                <w:sz w:val="11"/>
                <w:szCs w:val="11"/>
                <w:color w:val="auto"/>
              </w:rPr>
            </w:pPr>
          </w:p>
        </w:tc>
        <w:tc>
          <w:tcPr>
            <w:tcW w:w="108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003B71"/>
              </w:rPr>
              <w:t>Stock</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5"/>
              </w:rPr>
              <w:t>Option</w:t>
            </w: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6"/>
              </w:rPr>
              <w:t>Price of</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rPr>
              <w:t>Stock</w:t>
            </w: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0" w:type="dxa"/>
            <w:vAlign w:val="bottom"/>
            <w:tcBorders>
              <w:bottom w:val="single" w:sz="8" w:color="003B71"/>
            </w:tcBorders>
          </w:tcPr>
          <w:p>
            <w:pPr>
              <w:spacing w:after="0"/>
              <w:rPr>
                <w:sz w:val="10"/>
                <w:szCs w:val="10"/>
                <w:color w:val="auto"/>
              </w:rPr>
            </w:pPr>
          </w:p>
        </w:tc>
        <w:tc>
          <w:tcPr>
            <w:tcW w:w="1500" w:type="dxa"/>
            <w:vAlign w:val="bottom"/>
            <w:tcBorders>
              <w:bottom w:val="single" w:sz="8" w:color="003B71"/>
            </w:tcBorders>
            <w:gridSpan w:val="2"/>
          </w:tcPr>
          <w:p>
            <w:pPr>
              <w:jc w:val="center"/>
              <w:ind w:right="9"/>
              <w:spacing w:after="0" w:line="102" w:lineRule="exact"/>
              <w:rPr>
                <w:sz w:val="20"/>
                <w:szCs w:val="20"/>
                <w:color w:val="auto"/>
              </w:rPr>
            </w:pPr>
            <w:r>
              <w:rPr>
                <w:rFonts w:ascii="Arial" w:cs="Arial" w:eastAsia="Arial" w:hAnsi="Arial"/>
                <w:sz w:val="10"/>
                <w:szCs w:val="10"/>
                <w:b w:val="1"/>
                <w:bCs w:val="1"/>
                <w:color w:val="003B71"/>
              </w:rPr>
              <w:t>Incentive Plan Awards</w:t>
            </w:r>
          </w:p>
        </w:tc>
        <w:tc>
          <w:tcPr>
            <w:tcW w:w="680" w:type="dxa"/>
            <w:vAlign w:val="bottom"/>
            <w:tcBorders>
              <w:bottom w:val="single" w:sz="8" w:color="003B71"/>
            </w:tcBorders>
          </w:tcPr>
          <w:p>
            <w:pPr>
              <w:spacing w:after="0"/>
              <w:rPr>
                <w:sz w:val="10"/>
                <w:szCs w:val="10"/>
                <w:color w:val="auto"/>
              </w:rPr>
            </w:pPr>
          </w:p>
        </w:tc>
        <w:tc>
          <w:tcPr>
            <w:tcW w:w="200" w:type="dxa"/>
            <w:vAlign w:val="bottom"/>
          </w:tcPr>
          <w:p>
            <w:pPr>
              <w:spacing w:after="0"/>
              <w:rPr>
                <w:sz w:val="10"/>
                <w:szCs w:val="10"/>
                <w:color w:val="auto"/>
              </w:rPr>
            </w:pPr>
          </w:p>
        </w:tc>
        <w:tc>
          <w:tcPr>
            <w:tcW w:w="2020" w:type="dxa"/>
            <w:vAlign w:val="bottom"/>
            <w:tcBorders>
              <w:bottom w:val="single" w:sz="8" w:color="003B71"/>
            </w:tcBorders>
            <w:gridSpan w:val="3"/>
          </w:tcPr>
          <w:p>
            <w:pPr>
              <w:jc w:val="center"/>
              <w:spacing w:after="0" w:line="102" w:lineRule="exact"/>
              <w:rPr>
                <w:sz w:val="20"/>
                <w:szCs w:val="20"/>
                <w:color w:val="auto"/>
              </w:rPr>
            </w:pPr>
            <w:r>
              <w:rPr>
                <w:rFonts w:ascii="Arial" w:cs="Arial" w:eastAsia="Arial" w:hAnsi="Arial"/>
                <w:sz w:val="10"/>
                <w:szCs w:val="10"/>
                <w:b w:val="1"/>
                <w:bCs w:val="1"/>
                <w:color w:val="003B71"/>
              </w:rPr>
              <w:t>Incentive Plan Awards</w:t>
            </w:r>
          </w:p>
        </w:tc>
        <w:tc>
          <w:tcPr>
            <w:tcW w:w="1080" w:type="dxa"/>
            <w:vAlign w:val="bottom"/>
          </w:tcPr>
          <w:p>
            <w:pPr>
              <w:jc w:val="center"/>
              <w:ind w:left="137"/>
              <w:spacing w:after="0" w:line="115" w:lineRule="exact"/>
              <w:rPr>
                <w:sz w:val="20"/>
                <w:szCs w:val="20"/>
                <w:color w:val="auto"/>
              </w:rPr>
            </w:pPr>
            <w:r>
              <w:rPr>
                <w:rFonts w:ascii="Arial" w:cs="Arial" w:eastAsia="Arial" w:hAnsi="Arial"/>
                <w:sz w:val="13"/>
                <w:szCs w:val="13"/>
                <w:b w:val="1"/>
                <w:bCs w:val="1"/>
                <w:color w:val="003B71"/>
                <w:w w:val="97"/>
              </w:rPr>
              <w:t>Awards: # of</w:t>
            </w:r>
          </w:p>
        </w:tc>
        <w:tc>
          <w:tcPr>
            <w:tcW w:w="860" w:type="dxa"/>
            <w:vAlign w:val="bottom"/>
          </w:tcPr>
          <w:p>
            <w:pPr>
              <w:jc w:val="center"/>
              <w:spacing w:after="0" w:line="115" w:lineRule="exact"/>
              <w:rPr>
                <w:sz w:val="20"/>
                <w:szCs w:val="20"/>
                <w:color w:val="auto"/>
              </w:rPr>
            </w:pPr>
            <w:r>
              <w:rPr>
                <w:rFonts w:ascii="Arial" w:cs="Arial" w:eastAsia="Arial" w:hAnsi="Arial"/>
                <w:sz w:val="13"/>
                <w:szCs w:val="13"/>
                <w:b w:val="1"/>
                <w:bCs w:val="1"/>
                <w:color w:val="003B71"/>
                <w:w w:val="97"/>
              </w:rPr>
              <w:t>Awards: # of</w:t>
            </w:r>
          </w:p>
        </w:tc>
        <w:tc>
          <w:tcPr>
            <w:tcW w:w="640" w:type="dxa"/>
            <w:vAlign w:val="bottom"/>
          </w:tcPr>
          <w:p>
            <w:pPr>
              <w:jc w:val="center"/>
              <w:spacing w:after="0" w:line="115" w:lineRule="exact"/>
              <w:rPr>
                <w:sz w:val="20"/>
                <w:szCs w:val="20"/>
                <w:color w:val="auto"/>
              </w:rPr>
            </w:pPr>
            <w:r>
              <w:rPr>
                <w:rFonts w:ascii="Arial" w:cs="Arial" w:eastAsia="Arial" w:hAnsi="Arial"/>
                <w:sz w:val="13"/>
                <w:szCs w:val="13"/>
                <w:b w:val="1"/>
                <w:bCs w:val="1"/>
                <w:color w:val="003B71"/>
              </w:rPr>
              <w:t>Option</w:t>
            </w:r>
          </w:p>
        </w:tc>
        <w:tc>
          <w:tcPr>
            <w:tcW w:w="780" w:type="dxa"/>
            <w:vAlign w:val="bottom"/>
          </w:tcPr>
          <w:p>
            <w:pPr>
              <w:jc w:val="center"/>
              <w:spacing w:after="0" w:line="115" w:lineRule="exact"/>
              <w:rPr>
                <w:sz w:val="20"/>
                <w:szCs w:val="20"/>
                <w:color w:val="auto"/>
              </w:rPr>
            </w:pPr>
            <w:r>
              <w:rPr>
                <w:rFonts w:ascii="Arial" w:cs="Arial" w:eastAsia="Arial" w:hAnsi="Arial"/>
                <w:sz w:val="13"/>
                <w:szCs w:val="13"/>
                <w:b w:val="1"/>
                <w:bCs w:val="1"/>
                <w:color w:val="003B71"/>
              </w:rPr>
              <w:t>and</w:t>
            </w:r>
          </w:p>
        </w:tc>
        <w:tc>
          <w:tcPr>
            <w:tcW w:w="0" w:type="dxa"/>
            <w:vAlign w:val="bottom"/>
          </w:tcPr>
          <w:p>
            <w:pPr>
              <w:spacing w:after="0"/>
              <w:rPr>
                <w:sz w:val="1"/>
                <w:szCs w:val="1"/>
                <w:color w:val="auto"/>
              </w:rPr>
            </w:pPr>
          </w:p>
        </w:tc>
      </w:tr>
      <w:tr>
        <w:trPr>
          <w:trHeight w:val="134"/>
        </w:trPr>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jc w:val="center"/>
              <w:ind w:left="137"/>
              <w:spacing w:after="0" w:line="134" w:lineRule="exact"/>
              <w:rPr>
                <w:sz w:val="20"/>
                <w:szCs w:val="20"/>
                <w:color w:val="auto"/>
              </w:rPr>
            </w:pPr>
            <w:r>
              <w:rPr>
                <w:rFonts w:ascii="Arial" w:cs="Arial" w:eastAsia="Arial" w:hAnsi="Arial"/>
                <w:sz w:val="13"/>
                <w:szCs w:val="13"/>
                <w:b w:val="1"/>
                <w:bCs w:val="1"/>
                <w:color w:val="003B71"/>
                <w:w w:val="94"/>
              </w:rPr>
              <w:t>Shares of</w:t>
            </w:r>
          </w:p>
        </w:tc>
        <w:tc>
          <w:tcPr>
            <w:tcW w:w="860" w:type="dxa"/>
            <w:vAlign w:val="bottom"/>
          </w:tcPr>
          <w:p>
            <w:pPr>
              <w:jc w:val="center"/>
              <w:spacing w:after="0" w:line="134" w:lineRule="exact"/>
              <w:rPr>
                <w:sz w:val="20"/>
                <w:szCs w:val="20"/>
                <w:color w:val="auto"/>
              </w:rPr>
            </w:pPr>
            <w:r>
              <w:rPr>
                <w:rFonts w:ascii="Arial" w:cs="Arial" w:eastAsia="Arial" w:hAnsi="Arial"/>
                <w:sz w:val="13"/>
                <w:szCs w:val="13"/>
                <w:b w:val="1"/>
                <w:bCs w:val="1"/>
                <w:color w:val="003B71"/>
                <w:w w:val="96"/>
              </w:rPr>
              <w:t>Securities</w:t>
            </w:r>
          </w:p>
        </w:tc>
        <w:tc>
          <w:tcPr>
            <w:tcW w:w="640" w:type="dxa"/>
            <w:vAlign w:val="bottom"/>
          </w:tcPr>
          <w:p>
            <w:pPr>
              <w:jc w:val="center"/>
              <w:spacing w:after="0" w:line="134" w:lineRule="exact"/>
              <w:rPr>
                <w:sz w:val="20"/>
                <w:szCs w:val="20"/>
                <w:color w:val="auto"/>
              </w:rPr>
            </w:pPr>
            <w:r>
              <w:rPr>
                <w:rFonts w:ascii="Arial" w:cs="Arial" w:eastAsia="Arial" w:hAnsi="Arial"/>
                <w:sz w:val="13"/>
                <w:szCs w:val="13"/>
                <w:b w:val="1"/>
                <w:bCs w:val="1"/>
                <w:color w:val="003B71"/>
                <w:w w:val="95"/>
              </w:rPr>
              <w:t>Award</w:t>
            </w:r>
          </w:p>
        </w:tc>
        <w:tc>
          <w:tcPr>
            <w:tcW w:w="780" w:type="dxa"/>
            <w:vAlign w:val="bottom"/>
          </w:tcPr>
          <w:p>
            <w:pPr>
              <w:jc w:val="center"/>
              <w:spacing w:after="0" w:line="134" w:lineRule="exact"/>
              <w:rPr>
                <w:sz w:val="20"/>
                <w:szCs w:val="20"/>
                <w:color w:val="auto"/>
              </w:rPr>
            </w:pPr>
            <w:r>
              <w:rPr>
                <w:rFonts w:ascii="Arial" w:cs="Arial" w:eastAsia="Arial" w:hAnsi="Arial"/>
                <w:sz w:val="13"/>
                <w:szCs w:val="13"/>
                <w:b w:val="1"/>
                <w:bCs w:val="1"/>
                <w:color w:val="003B71"/>
                <w:w w:val="95"/>
              </w:rPr>
              <w:t>Option</w:t>
            </w: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jc w:val="right"/>
              <w:ind w:right="149"/>
              <w:spacing w:after="0" w:line="135" w:lineRule="exact"/>
              <w:rPr>
                <w:sz w:val="20"/>
                <w:szCs w:val="20"/>
                <w:color w:val="auto"/>
              </w:rPr>
            </w:pPr>
            <w:r>
              <w:rPr>
                <w:rFonts w:ascii="Arial" w:cs="Arial" w:eastAsia="Arial" w:hAnsi="Arial"/>
                <w:sz w:val="13"/>
                <w:szCs w:val="13"/>
                <w:b w:val="1"/>
                <w:bCs w:val="1"/>
                <w:color w:val="003B71"/>
              </w:rPr>
              <w:t>Grant</w:t>
            </w:r>
          </w:p>
        </w:tc>
        <w:tc>
          <w:tcPr>
            <w:tcW w:w="760" w:type="dxa"/>
            <w:vAlign w:val="bottom"/>
          </w:tcPr>
          <w:p>
            <w:pPr>
              <w:jc w:val="right"/>
              <w:ind w:right="11"/>
              <w:spacing w:after="0" w:line="135" w:lineRule="exact"/>
              <w:rPr>
                <w:sz w:val="20"/>
                <w:szCs w:val="20"/>
                <w:color w:val="auto"/>
              </w:rPr>
            </w:pPr>
            <w:r>
              <w:rPr>
                <w:rFonts w:ascii="Arial" w:cs="Arial" w:eastAsia="Arial" w:hAnsi="Arial"/>
                <w:sz w:val="13"/>
                <w:szCs w:val="13"/>
                <w:b w:val="1"/>
                <w:bCs w:val="1"/>
                <w:color w:val="003B71"/>
              </w:rPr>
              <w:t>Threshold</w:t>
            </w:r>
          </w:p>
        </w:tc>
        <w:tc>
          <w:tcPr>
            <w:tcW w:w="740" w:type="dxa"/>
            <w:vAlign w:val="bottom"/>
          </w:tcPr>
          <w:p>
            <w:pPr>
              <w:jc w:val="right"/>
              <w:ind w:right="169"/>
              <w:spacing w:after="0" w:line="135" w:lineRule="exact"/>
              <w:rPr>
                <w:sz w:val="20"/>
                <w:szCs w:val="20"/>
                <w:color w:val="auto"/>
              </w:rPr>
            </w:pPr>
            <w:r>
              <w:rPr>
                <w:rFonts w:ascii="Arial" w:cs="Arial" w:eastAsia="Arial" w:hAnsi="Arial"/>
                <w:sz w:val="13"/>
                <w:szCs w:val="13"/>
                <w:b w:val="1"/>
                <w:bCs w:val="1"/>
                <w:color w:val="003B71"/>
              </w:rPr>
              <w:t>Target</w:t>
            </w:r>
          </w:p>
        </w:tc>
        <w:tc>
          <w:tcPr>
            <w:tcW w:w="8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003B71"/>
              </w:rPr>
              <w:t>Maximum</w:t>
            </w:r>
          </w:p>
        </w:tc>
        <w:tc>
          <w:tcPr>
            <w:tcW w:w="760" w:type="dxa"/>
            <w:vAlign w:val="bottom"/>
          </w:tcPr>
          <w:p>
            <w:pPr>
              <w:jc w:val="right"/>
              <w:ind w:right="13"/>
              <w:spacing w:after="0" w:line="135" w:lineRule="exact"/>
              <w:rPr>
                <w:sz w:val="20"/>
                <w:szCs w:val="20"/>
                <w:color w:val="auto"/>
              </w:rPr>
            </w:pPr>
            <w:r>
              <w:rPr>
                <w:rFonts w:ascii="Arial" w:cs="Arial" w:eastAsia="Arial" w:hAnsi="Arial"/>
                <w:sz w:val="13"/>
                <w:szCs w:val="13"/>
                <w:b w:val="1"/>
                <w:bCs w:val="1"/>
                <w:color w:val="003B71"/>
              </w:rPr>
              <w:t>Threshold</w:t>
            </w:r>
          </w:p>
        </w:tc>
        <w:tc>
          <w:tcPr>
            <w:tcW w:w="12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003B71"/>
              </w:rPr>
              <w:t>Target   Maximum</w:t>
            </w:r>
          </w:p>
        </w:tc>
        <w:tc>
          <w:tcPr>
            <w:tcW w:w="108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003B71"/>
                <w:w w:val="99"/>
              </w:rPr>
              <w:t>Stock or</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7"/>
              </w:rPr>
              <w:t>Underlying</w:t>
            </w: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1"/>
              </w:rPr>
              <w:t>($/</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3"/>
              </w:rPr>
              <w:t>Awards</w:t>
            </w:r>
          </w:p>
        </w:tc>
        <w:tc>
          <w:tcPr>
            <w:tcW w:w="0" w:type="dxa"/>
            <w:vAlign w:val="bottom"/>
          </w:tcPr>
          <w:p>
            <w:pPr>
              <w:spacing w:after="0"/>
              <w:rPr>
                <w:sz w:val="1"/>
                <w:szCs w:val="1"/>
                <w:color w:val="auto"/>
              </w:rPr>
            </w:pPr>
          </w:p>
        </w:tc>
      </w:tr>
      <w:tr>
        <w:trPr>
          <w:trHeight w:val="157"/>
        </w:trPr>
        <w:tc>
          <w:tcPr>
            <w:tcW w:w="1600" w:type="dxa"/>
            <w:vAlign w:val="bottom"/>
            <w:tcBorders>
              <w:bottom w:val="single" w:sz="8" w:color="003B71"/>
            </w:tcBorders>
          </w:tcPr>
          <w:p>
            <w:pPr>
              <w:ind w:left="60"/>
              <w:spacing w:after="0"/>
              <w:rPr>
                <w:sz w:val="20"/>
                <w:szCs w:val="20"/>
                <w:color w:val="auto"/>
              </w:rPr>
            </w:pPr>
            <w:r>
              <w:rPr>
                <w:rFonts w:ascii="Arial" w:cs="Arial" w:eastAsia="Arial" w:hAnsi="Arial"/>
                <w:sz w:val="13"/>
                <w:szCs w:val="13"/>
                <w:b w:val="1"/>
                <w:bCs w:val="1"/>
                <w:color w:val="003B71"/>
              </w:rPr>
              <w:t>Name</w:t>
            </w:r>
          </w:p>
        </w:tc>
        <w:tc>
          <w:tcPr>
            <w:tcW w:w="860" w:type="dxa"/>
            <w:vAlign w:val="bottom"/>
            <w:tcBorders>
              <w:bottom w:val="single" w:sz="8" w:color="003B71"/>
            </w:tcBorders>
          </w:tcPr>
          <w:p>
            <w:pPr>
              <w:spacing w:after="0"/>
              <w:rPr>
                <w:sz w:val="13"/>
                <w:szCs w:val="13"/>
                <w:color w:val="auto"/>
              </w:rPr>
            </w:pPr>
          </w:p>
        </w:tc>
        <w:tc>
          <w:tcPr>
            <w:tcW w:w="800" w:type="dxa"/>
            <w:vAlign w:val="bottom"/>
            <w:tcBorders>
              <w:bottom w:val="single" w:sz="8" w:color="003B71"/>
            </w:tcBorders>
          </w:tcPr>
          <w:p>
            <w:pPr>
              <w:jc w:val="right"/>
              <w:ind w:right="189"/>
              <w:spacing w:after="0"/>
              <w:rPr>
                <w:sz w:val="20"/>
                <w:szCs w:val="20"/>
                <w:color w:val="auto"/>
              </w:rPr>
            </w:pPr>
            <w:r>
              <w:rPr>
                <w:rFonts w:ascii="Arial" w:cs="Arial" w:eastAsia="Arial" w:hAnsi="Arial"/>
                <w:sz w:val="13"/>
                <w:szCs w:val="13"/>
                <w:b w:val="1"/>
                <w:bCs w:val="1"/>
                <w:color w:val="003B71"/>
              </w:rPr>
              <w:t>Date</w:t>
            </w:r>
          </w:p>
        </w:tc>
        <w:tc>
          <w:tcPr>
            <w:tcW w:w="760" w:type="dxa"/>
            <w:vAlign w:val="bottom"/>
            <w:tcBorders>
              <w:bottom w:val="single" w:sz="8" w:color="003B71"/>
            </w:tcBorders>
          </w:tcPr>
          <w:p>
            <w:pPr>
              <w:jc w:val="right"/>
              <w:ind w:right="251"/>
              <w:spacing w:after="0"/>
              <w:rPr>
                <w:sz w:val="20"/>
                <w:szCs w:val="20"/>
                <w:color w:val="auto"/>
              </w:rPr>
            </w:pPr>
            <w:r>
              <w:rPr>
                <w:rFonts w:ascii="Arial" w:cs="Arial" w:eastAsia="Arial" w:hAnsi="Arial"/>
                <w:sz w:val="13"/>
                <w:szCs w:val="13"/>
                <w:b w:val="1"/>
                <w:bCs w:val="1"/>
                <w:color w:val="003B71"/>
              </w:rPr>
              <w:t>($)</w:t>
            </w:r>
          </w:p>
        </w:tc>
        <w:tc>
          <w:tcPr>
            <w:tcW w:w="740" w:type="dxa"/>
            <w:vAlign w:val="bottom"/>
            <w:tcBorders>
              <w:bottom w:val="single" w:sz="8" w:color="003B71"/>
            </w:tcBorders>
          </w:tcPr>
          <w:p>
            <w:pPr>
              <w:jc w:val="right"/>
              <w:ind w:right="289"/>
              <w:spacing w:after="0"/>
              <w:rPr>
                <w:sz w:val="20"/>
                <w:szCs w:val="20"/>
                <w:color w:val="auto"/>
              </w:rPr>
            </w:pPr>
            <w:r>
              <w:rPr>
                <w:rFonts w:ascii="Arial" w:cs="Arial" w:eastAsia="Arial" w:hAnsi="Arial"/>
                <w:sz w:val="13"/>
                <w:szCs w:val="13"/>
                <w:b w:val="1"/>
                <w:bCs w:val="1"/>
                <w:color w:val="003B71"/>
              </w:rPr>
              <w:t>($)</w:t>
            </w:r>
          </w:p>
        </w:tc>
        <w:tc>
          <w:tcPr>
            <w:tcW w:w="680" w:type="dxa"/>
            <w:vAlign w:val="bottom"/>
            <w:tcBorders>
              <w:bottom w:val="single" w:sz="8" w:color="003B71"/>
            </w:tcBorders>
          </w:tcPr>
          <w:p>
            <w:pPr>
              <w:jc w:val="right"/>
              <w:ind w:right="229"/>
              <w:spacing w:after="0"/>
              <w:rPr>
                <w:sz w:val="20"/>
                <w:szCs w:val="20"/>
                <w:color w:val="auto"/>
              </w:rPr>
            </w:pPr>
            <w:r>
              <w:rPr>
                <w:rFonts w:ascii="Arial" w:cs="Arial" w:eastAsia="Arial" w:hAnsi="Arial"/>
                <w:sz w:val="13"/>
                <w:szCs w:val="13"/>
                <w:b w:val="1"/>
                <w:bCs w:val="1"/>
                <w:color w:val="003B71"/>
              </w:rPr>
              <w:t>($)</w:t>
            </w:r>
          </w:p>
        </w:tc>
        <w:tc>
          <w:tcPr>
            <w:tcW w:w="200" w:type="dxa"/>
            <w:vAlign w:val="bottom"/>
            <w:tcBorders>
              <w:bottom w:val="single" w:sz="8" w:color="003B71"/>
            </w:tcBorders>
          </w:tcPr>
          <w:p>
            <w:pPr>
              <w:spacing w:after="0"/>
              <w:rPr>
                <w:sz w:val="13"/>
                <w:szCs w:val="13"/>
                <w:color w:val="auto"/>
              </w:rPr>
            </w:pPr>
          </w:p>
        </w:tc>
        <w:tc>
          <w:tcPr>
            <w:tcW w:w="760" w:type="dxa"/>
            <w:vAlign w:val="bottom"/>
            <w:tcBorders>
              <w:bottom w:val="single" w:sz="8" w:color="003B71"/>
            </w:tcBorders>
          </w:tcPr>
          <w:p>
            <w:pPr>
              <w:jc w:val="right"/>
              <w:ind w:right="233"/>
              <w:spacing w:after="0"/>
              <w:rPr>
                <w:sz w:val="20"/>
                <w:szCs w:val="20"/>
                <w:color w:val="auto"/>
              </w:rPr>
            </w:pPr>
            <w:r>
              <w:rPr>
                <w:rFonts w:ascii="Arial" w:cs="Arial" w:eastAsia="Arial" w:hAnsi="Arial"/>
                <w:sz w:val="13"/>
                <w:szCs w:val="13"/>
                <w:b w:val="1"/>
                <w:bCs w:val="1"/>
                <w:color w:val="003B71"/>
              </w:rPr>
              <w:t>(#)</w:t>
            </w:r>
          </w:p>
        </w:tc>
        <w:tc>
          <w:tcPr>
            <w:tcW w:w="720" w:type="dxa"/>
            <w:vAlign w:val="bottom"/>
            <w:tcBorders>
              <w:bottom w:val="single" w:sz="8" w:color="003B71"/>
            </w:tcBorders>
          </w:tcPr>
          <w:p>
            <w:pPr>
              <w:jc w:val="center"/>
              <w:ind w:right="90"/>
              <w:spacing w:after="0"/>
              <w:rPr>
                <w:sz w:val="20"/>
                <w:szCs w:val="20"/>
                <w:color w:val="auto"/>
              </w:rPr>
            </w:pPr>
            <w:r>
              <w:rPr>
                <w:rFonts w:ascii="Arial" w:cs="Arial" w:eastAsia="Arial" w:hAnsi="Arial"/>
                <w:sz w:val="13"/>
                <w:szCs w:val="13"/>
                <w:b w:val="1"/>
                <w:bCs w:val="1"/>
                <w:color w:val="003B71"/>
              </w:rPr>
              <w:t>(#)</w:t>
            </w:r>
          </w:p>
        </w:tc>
        <w:tc>
          <w:tcPr>
            <w:tcW w:w="540" w:type="dxa"/>
            <w:vAlign w:val="bottom"/>
            <w:tcBorders>
              <w:bottom w:val="single" w:sz="8" w:color="003B71"/>
            </w:tcBorders>
          </w:tcPr>
          <w:p>
            <w:pPr>
              <w:jc w:val="right"/>
              <w:ind w:right="189"/>
              <w:spacing w:after="0"/>
              <w:rPr>
                <w:sz w:val="20"/>
                <w:szCs w:val="20"/>
                <w:color w:val="auto"/>
              </w:rPr>
            </w:pPr>
            <w:r>
              <w:rPr>
                <w:rFonts w:ascii="Arial" w:cs="Arial" w:eastAsia="Arial" w:hAnsi="Arial"/>
                <w:sz w:val="13"/>
                <w:szCs w:val="13"/>
                <w:b w:val="1"/>
                <w:bCs w:val="1"/>
                <w:color w:val="003B71"/>
              </w:rPr>
              <w:t>(#)</w:t>
            </w:r>
          </w:p>
        </w:tc>
        <w:tc>
          <w:tcPr>
            <w:tcW w:w="1080" w:type="dxa"/>
            <w:vAlign w:val="bottom"/>
            <w:tcBorders>
              <w:bottom w:val="single" w:sz="8" w:color="003B71"/>
            </w:tcBorders>
          </w:tcPr>
          <w:p>
            <w:pPr>
              <w:jc w:val="center"/>
              <w:ind w:left="137"/>
              <w:spacing w:after="0"/>
              <w:rPr>
                <w:sz w:val="20"/>
                <w:szCs w:val="20"/>
                <w:color w:val="auto"/>
              </w:rPr>
            </w:pPr>
            <w:r>
              <w:rPr>
                <w:rFonts w:ascii="Arial" w:cs="Arial" w:eastAsia="Arial" w:hAnsi="Arial"/>
                <w:sz w:val="13"/>
                <w:szCs w:val="13"/>
                <w:b w:val="1"/>
                <w:bCs w:val="1"/>
                <w:color w:val="003B71"/>
                <w:w w:val="98"/>
              </w:rPr>
              <w:t>Units</w:t>
            </w:r>
          </w:p>
        </w:tc>
        <w:tc>
          <w:tcPr>
            <w:tcW w:w="860" w:type="dxa"/>
            <w:vAlign w:val="bottom"/>
            <w:tcBorders>
              <w:bottom w:val="single" w:sz="8" w:color="003B71"/>
            </w:tcBorders>
          </w:tcPr>
          <w:p>
            <w:pPr>
              <w:jc w:val="center"/>
              <w:spacing w:after="0"/>
              <w:rPr>
                <w:sz w:val="20"/>
                <w:szCs w:val="20"/>
                <w:color w:val="auto"/>
              </w:rPr>
            </w:pPr>
            <w:r>
              <w:rPr>
                <w:rFonts w:ascii="Arial" w:cs="Arial" w:eastAsia="Arial" w:hAnsi="Arial"/>
                <w:sz w:val="13"/>
                <w:szCs w:val="13"/>
                <w:b w:val="1"/>
                <w:bCs w:val="1"/>
                <w:color w:val="003B71"/>
                <w:w w:val="97"/>
              </w:rPr>
              <w:t>Options</w:t>
            </w:r>
          </w:p>
        </w:tc>
        <w:tc>
          <w:tcPr>
            <w:tcW w:w="640" w:type="dxa"/>
            <w:vAlign w:val="bottom"/>
            <w:tcBorders>
              <w:bottom w:val="single" w:sz="8" w:color="003B71"/>
            </w:tcBorders>
          </w:tcPr>
          <w:p>
            <w:pPr>
              <w:jc w:val="center"/>
              <w:spacing w:after="0"/>
              <w:rPr>
                <w:sz w:val="20"/>
                <w:szCs w:val="20"/>
                <w:color w:val="auto"/>
              </w:rPr>
            </w:pPr>
            <w:r>
              <w:rPr>
                <w:rFonts w:ascii="Arial" w:cs="Arial" w:eastAsia="Arial" w:hAnsi="Arial"/>
                <w:sz w:val="13"/>
                <w:szCs w:val="13"/>
                <w:b w:val="1"/>
                <w:bCs w:val="1"/>
                <w:color w:val="003B71"/>
                <w:w w:val="93"/>
              </w:rPr>
              <w:t>Share)</w:t>
            </w:r>
          </w:p>
        </w:tc>
        <w:tc>
          <w:tcPr>
            <w:tcW w:w="780" w:type="dxa"/>
            <w:vAlign w:val="bottom"/>
            <w:tcBorders>
              <w:bottom w:val="single" w:sz="8" w:color="003B71"/>
            </w:tcBorders>
          </w:tcPr>
          <w:p>
            <w:pPr>
              <w:jc w:val="center"/>
              <w:spacing w:after="0"/>
              <w:rPr>
                <w:sz w:val="20"/>
                <w:szCs w:val="20"/>
                <w:color w:val="auto"/>
              </w:rPr>
            </w:pPr>
            <w:r>
              <w:rPr>
                <w:rFonts w:ascii="Arial" w:cs="Arial" w:eastAsia="Arial" w:hAnsi="Arial"/>
                <w:sz w:val="13"/>
                <w:szCs w:val="13"/>
                <w:b w:val="1"/>
                <w:bCs w:val="1"/>
                <w:color w:val="003B71"/>
              </w:rPr>
              <w:t>($)</w:t>
            </w:r>
          </w:p>
        </w:tc>
        <w:tc>
          <w:tcPr>
            <w:tcW w:w="0" w:type="dxa"/>
            <w:vAlign w:val="bottom"/>
          </w:tcPr>
          <w:p>
            <w:pPr>
              <w:spacing w:after="0"/>
              <w:rPr>
                <w:sz w:val="1"/>
                <w:szCs w:val="1"/>
                <w:color w:val="auto"/>
              </w:rPr>
            </w:pPr>
          </w:p>
        </w:tc>
      </w:tr>
      <w:tr>
        <w:trPr>
          <w:trHeight w:val="160"/>
        </w:trPr>
        <w:tc>
          <w:tcPr>
            <w:tcW w:w="1600" w:type="dxa"/>
            <w:vAlign w:val="bottom"/>
            <w:shd w:val="clear" w:color="auto" w:fill="E5E5E5"/>
          </w:tcPr>
          <w:p>
            <w:pPr>
              <w:ind w:left="60"/>
              <w:spacing w:after="0"/>
              <w:rPr>
                <w:sz w:val="20"/>
                <w:szCs w:val="20"/>
                <w:color w:val="auto"/>
              </w:rPr>
            </w:pPr>
            <w:r>
              <w:rPr>
                <w:rFonts w:ascii="Arial" w:cs="Arial" w:eastAsia="Arial" w:hAnsi="Arial"/>
                <w:sz w:val="14"/>
                <w:szCs w:val="14"/>
                <w:color w:val="auto"/>
              </w:rPr>
              <w:t>Brian A. Jenkins</w:t>
            </w:r>
          </w:p>
        </w:tc>
        <w:tc>
          <w:tcPr>
            <w:tcW w:w="860" w:type="dxa"/>
            <w:vAlign w:val="bottom"/>
            <w:shd w:val="clear" w:color="auto" w:fill="E5E5E5"/>
          </w:tcPr>
          <w:p>
            <w:pPr>
              <w:ind w:left="20"/>
              <w:spacing w:after="0"/>
              <w:rPr>
                <w:sz w:val="20"/>
                <w:szCs w:val="20"/>
                <w:color w:val="auto"/>
              </w:rPr>
            </w:pPr>
            <w:r>
              <w:rPr>
                <w:rFonts w:ascii="Arial" w:cs="Arial" w:eastAsia="Arial" w:hAnsi="Arial"/>
                <w:sz w:val="14"/>
                <w:szCs w:val="14"/>
                <w:color w:val="auto"/>
              </w:rPr>
              <w:t>Cash</w:t>
            </w:r>
          </w:p>
        </w:tc>
        <w:tc>
          <w:tcPr>
            <w:tcW w:w="80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108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7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00" w:type="dxa"/>
            <w:vAlign w:val="bottom"/>
            <w:shd w:val="clear" w:color="auto" w:fill="E5E5E5"/>
          </w:tcPr>
          <w:p>
            <w:pPr>
              <w:spacing w:after="0"/>
              <w:rPr>
                <w:sz w:val="13"/>
                <w:szCs w:val="13"/>
                <w:color w:val="auto"/>
              </w:rPr>
            </w:pPr>
          </w:p>
        </w:tc>
        <w:tc>
          <w:tcPr>
            <w:tcW w:w="860" w:type="dxa"/>
            <w:vAlign w:val="bottom"/>
            <w:shd w:val="clear" w:color="auto" w:fill="E5E5E5"/>
          </w:tcPr>
          <w:p>
            <w:pPr>
              <w:ind w:left="20"/>
              <w:spacing w:after="0" w:line="157" w:lineRule="exact"/>
              <w:rPr>
                <w:sz w:val="20"/>
                <w:szCs w:val="20"/>
                <w:color w:val="auto"/>
              </w:rPr>
            </w:pPr>
            <w:r>
              <w:rPr>
                <w:rFonts w:ascii="Arial" w:cs="Arial" w:eastAsia="Arial" w:hAnsi="Arial"/>
                <w:sz w:val="14"/>
                <w:szCs w:val="14"/>
                <w:color w:val="auto"/>
              </w:rPr>
              <w:t>Incentive(1)</w:t>
            </w:r>
          </w:p>
        </w:tc>
        <w:tc>
          <w:tcPr>
            <w:tcW w:w="8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N/A</w:t>
            </w:r>
          </w:p>
        </w:tc>
        <w:tc>
          <w:tcPr>
            <w:tcW w:w="760" w:type="dxa"/>
            <w:vAlign w:val="bottom"/>
            <w:shd w:val="clear" w:color="auto" w:fill="E5E5E5"/>
          </w:tcPr>
          <w:p>
            <w:pPr>
              <w:jc w:val="right"/>
              <w:ind w:right="11"/>
              <w:spacing w:after="0" w:line="157" w:lineRule="exact"/>
              <w:rPr>
                <w:sz w:val="20"/>
                <w:szCs w:val="20"/>
                <w:color w:val="auto"/>
              </w:rPr>
            </w:pPr>
            <w:r>
              <w:rPr>
                <w:rFonts w:ascii="Arial" w:cs="Arial" w:eastAsia="Arial" w:hAnsi="Arial"/>
                <w:sz w:val="14"/>
                <w:szCs w:val="14"/>
                <w:color w:val="auto"/>
              </w:rPr>
              <w:t>341,640</w:t>
            </w:r>
          </w:p>
        </w:tc>
        <w:tc>
          <w:tcPr>
            <w:tcW w:w="740" w:type="dxa"/>
            <w:vAlign w:val="bottom"/>
            <w:shd w:val="clear" w:color="auto" w:fill="E5E5E5"/>
          </w:tcPr>
          <w:p>
            <w:pPr>
              <w:jc w:val="right"/>
              <w:ind w:right="69"/>
              <w:spacing w:after="0" w:line="157" w:lineRule="exact"/>
              <w:rPr>
                <w:sz w:val="20"/>
                <w:szCs w:val="20"/>
                <w:color w:val="auto"/>
              </w:rPr>
            </w:pPr>
            <w:r>
              <w:rPr>
                <w:rFonts w:ascii="Arial" w:cs="Arial" w:eastAsia="Arial" w:hAnsi="Arial"/>
                <w:sz w:val="14"/>
                <w:szCs w:val="14"/>
                <w:color w:val="auto"/>
              </w:rPr>
              <w:t>780,000</w:t>
            </w:r>
          </w:p>
        </w:tc>
        <w:tc>
          <w:tcPr>
            <w:tcW w:w="6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w w:val="99"/>
              </w:rPr>
              <w:t>1,560,000</w:t>
            </w:r>
          </w:p>
        </w:tc>
        <w:tc>
          <w:tcPr>
            <w:tcW w:w="20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108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7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E5E5E5"/>
          </w:tcPr>
          <w:p>
            <w:pPr>
              <w:spacing w:after="0"/>
              <w:rPr>
                <w:sz w:val="14"/>
                <w:szCs w:val="14"/>
                <w:color w:val="auto"/>
              </w:rPr>
            </w:pPr>
          </w:p>
        </w:tc>
        <w:tc>
          <w:tcPr>
            <w:tcW w:w="860" w:type="dxa"/>
            <w:vAlign w:val="bottom"/>
            <w:shd w:val="clear" w:color="auto" w:fill="E5E5E5"/>
          </w:tcPr>
          <w:p>
            <w:pPr>
              <w:ind w:left="20"/>
              <w:spacing w:after="0"/>
              <w:rPr>
                <w:sz w:val="20"/>
                <w:szCs w:val="20"/>
                <w:color w:val="auto"/>
              </w:rPr>
            </w:pPr>
            <w:r>
              <w:rPr>
                <w:rFonts w:ascii="Arial" w:cs="Arial" w:eastAsia="Arial" w:hAnsi="Arial"/>
                <w:sz w:val="14"/>
                <w:szCs w:val="14"/>
                <w:color w:val="auto"/>
              </w:rPr>
              <w:t>Performance</w:t>
            </w:r>
          </w:p>
        </w:tc>
        <w:tc>
          <w:tcPr>
            <w:tcW w:w="80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74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540" w:type="dxa"/>
            <w:vAlign w:val="bottom"/>
            <w:shd w:val="clear" w:color="auto" w:fill="E5E5E5"/>
          </w:tcPr>
          <w:p>
            <w:pPr>
              <w:spacing w:after="0"/>
              <w:rPr>
                <w:sz w:val="14"/>
                <w:szCs w:val="14"/>
                <w:color w:val="auto"/>
              </w:rPr>
            </w:pPr>
          </w:p>
        </w:tc>
        <w:tc>
          <w:tcPr>
            <w:tcW w:w="108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7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00" w:type="dxa"/>
            <w:vAlign w:val="bottom"/>
            <w:shd w:val="clear" w:color="auto" w:fill="E5E5E5"/>
          </w:tcPr>
          <w:p>
            <w:pPr>
              <w:spacing w:after="0"/>
              <w:rPr>
                <w:sz w:val="13"/>
                <w:szCs w:val="13"/>
                <w:color w:val="auto"/>
              </w:rPr>
            </w:pPr>
          </w:p>
        </w:tc>
        <w:tc>
          <w:tcPr>
            <w:tcW w:w="860" w:type="dxa"/>
            <w:vAlign w:val="bottom"/>
            <w:shd w:val="clear" w:color="auto" w:fill="E5E5E5"/>
          </w:tcPr>
          <w:p>
            <w:pPr>
              <w:ind w:left="20"/>
              <w:spacing w:after="0" w:line="157" w:lineRule="exact"/>
              <w:rPr>
                <w:sz w:val="20"/>
                <w:szCs w:val="20"/>
                <w:color w:val="auto"/>
              </w:rPr>
            </w:pPr>
            <w:r>
              <w:rPr>
                <w:rFonts w:ascii="Arial" w:cs="Arial" w:eastAsia="Arial" w:hAnsi="Arial"/>
                <w:sz w:val="14"/>
                <w:szCs w:val="14"/>
                <w:color w:val="auto"/>
              </w:rPr>
              <w:t>Cash(2)</w:t>
            </w:r>
          </w:p>
        </w:tc>
        <w:tc>
          <w:tcPr>
            <w:tcW w:w="8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4/11/2019</w:t>
            </w:r>
          </w:p>
        </w:tc>
        <w:tc>
          <w:tcPr>
            <w:tcW w:w="760" w:type="dxa"/>
            <w:vAlign w:val="bottom"/>
            <w:shd w:val="clear" w:color="auto" w:fill="E5E5E5"/>
          </w:tcPr>
          <w:p>
            <w:pPr>
              <w:jc w:val="right"/>
              <w:ind w:right="11"/>
              <w:spacing w:after="0" w:line="157" w:lineRule="exact"/>
              <w:rPr>
                <w:sz w:val="20"/>
                <w:szCs w:val="20"/>
                <w:color w:val="auto"/>
              </w:rPr>
            </w:pPr>
            <w:r>
              <w:rPr>
                <w:rFonts w:ascii="Arial" w:cs="Arial" w:eastAsia="Arial" w:hAnsi="Arial"/>
                <w:sz w:val="14"/>
                <w:szCs w:val="14"/>
                <w:color w:val="auto"/>
              </w:rPr>
              <w:t>154,688</w:t>
            </w:r>
          </w:p>
        </w:tc>
        <w:tc>
          <w:tcPr>
            <w:tcW w:w="740" w:type="dxa"/>
            <w:vAlign w:val="bottom"/>
            <w:shd w:val="clear" w:color="auto" w:fill="E5E5E5"/>
          </w:tcPr>
          <w:p>
            <w:pPr>
              <w:jc w:val="right"/>
              <w:ind w:right="69"/>
              <w:spacing w:after="0" w:line="157" w:lineRule="exact"/>
              <w:rPr>
                <w:sz w:val="20"/>
                <w:szCs w:val="20"/>
                <w:color w:val="auto"/>
              </w:rPr>
            </w:pPr>
            <w:r>
              <w:rPr>
                <w:rFonts w:ascii="Arial" w:cs="Arial" w:eastAsia="Arial" w:hAnsi="Arial"/>
                <w:sz w:val="14"/>
                <w:szCs w:val="14"/>
                <w:color w:val="auto"/>
              </w:rPr>
              <w:t>309,375</w:t>
            </w:r>
          </w:p>
        </w:tc>
        <w:tc>
          <w:tcPr>
            <w:tcW w:w="6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618,750</w:t>
            </w:r>
          </w:p>
        </w:tc>
        <w:tc>
          <w:tcPr>
            <w:tcW w:w="20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108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7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E5E5E5"/>
          </w:tcPr>
          <w:p>
            <w:pPr>
              <w:spacing w:after="0"/>
              <w:rPr>
                <w:sz w:val="14"/>
                <w:szCs w:val="14"/>
                <w:color w:val="auto"/>
              </w:rPr>
            </w:pPr>
          </w:p>
        </w:tc>
        <w:tc>
          <w:tcPr>
            <w:tcW w:w="860" w:type="dxa"/>
            <w:vAlign w:val="bottom"/>
            <w:shd w:val="clear" w:color="auto" w:fill="E5E5E5"/>
          </w:tcPr>
          <w:p>
            <w:pPr>
              <w:ind w:left="20"/>
              <w:spacing w:after="0"/>
              <w:rPr>
                <w:sz w:val="20"/>
                <w:szCs w:val="20"/>
                <w:color w:val="auto"/>
              </w:rPr>
            </w:pPr>
            <w:r>
              <w:rPr>
                <w:rFonts w:ascii="Arial" w:cs="Arial" w:eastAsia="Arial" w:hAnsi="Arial"/>
                <w:sz w:val="14"/>
                <w:szCs w:val="14"/>
                <w:color w:val="auto"/>
              </w:rPr>
              <w:t>RSUs(3)</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4/11/2019</w:t>
            </w:r>
          </w:p>
        </w:tc>
        <w:tc>
          <w:tcPr>
            <w:tcW w:w="760" w:type="dxa"/>
            <w:vAlign w:val="bottom"/>
            <w:shd w:val="clear" w:color="auto" w:fill="E5E5E5"/>
          </w:tcPr>
          <w:p>
            <w:pPr>
              <w:spacing w:after="0"/>
              <w:rPr>
                <w:sz w:val="14"/>
                <w:szCs w:val="14"/>
                <w:color w:val="auto"/>
              </w:rPr>
            </w:pPr>
          </w:p>
        </w:tc>
        <w:tc>
          <w:tcPr>
            <w:tcW w:w="74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760" w:type="dxa"/>
            <w:vAlign w:val="bottom"/>
            <w:shd w:val="clear" w:color="auto" w:fill="E5E5E5"/>
          </w:tcPr>
          <w:p>
            <w:pPr>
              <w:jc w:val="right"/>
              <w:ind w:right="13"/>
              <w:spacing w:after="0"/>
              <w:rPr>
                <w:sz w:val="20"/>
                <w:szCs w:val="20"/>
                <w:color w:val="auto"/>
              </w:rPr>
            </w:pPr>
            <w:r>
              <w:rPr>
                <w:rFonts w:ascii="Arial" w:cs="Arial" w:eastAsia="Arial" w:hAnsi="Arial"/>
                <w:sz w:val="14"/>
                <w:szCs w:val="14"/>
                <w:color w:val="auto"/>
              </w:rPr>
              <w:t>6,984</w:t>
            </w:r>
          </w:p>
        </w:tc>
        <w:tc>
          <w:tcPr>
            <w:tcW w:w="720" w:type="dxa"/>
            <w:vAlign w:val="bottom"/>
            <w:shd w:val="clear" w:color="auto" w:fill="E5E5E5"/>
          </w:tcPr>
          <w:p>
            <w:pPr>
              <w:jc w:val="right"/>
              <w:ind w:right="130"/>
              <w:spacing w:after="0"/>
              <w:rPr>
                <w:sz w:val="20"/>
                <w:szCs w:val="20"/>
                <w:color w:val="auto"/>
              </w:rPr>
            </w:pPr>
            <w:r>
              <w:rPr>
                <w:rFonts w:ascii="Arial" w:cs="Arial" w:eastAsia="Arial" w:hAnsi="Arial"/>
                <w:sz w:val="14"/>
                <w:szCs w:val="14"/>
                <w:color w:val="auto"/>
              </w:rPr>
              <w:t>13,968</w:t>
            </w: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27,936</w:t>
            </w:r>
          </w:p>
        </w:tc>
        <w:tc>
          <w:tcPr>
            <w:tcW w:w="108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780" w:type="dxa"/>
            <w:vAlign w:val="bottom"/>
            <w:shd w:val="clear" w:color="auto" w:fill="E5E5E5"/>
          </w:tcPr>
          <w:p>
            <w:pPr>
              <w:jc w:val="right"/>
              <w:ind w:right="11"/>
              <w:spacing w:after="0"/>
              <w:rPr>
                <w:sz w:val="20"/>
                <w:szCs w:val="20"/>
                <w:color w:val="auto"/>
              </w:rPr>
            </w:pPr>
            <w:r>
              <w:rPr>
                <w:rFonts w:ascii="Arial" w:cs="Arial" w:eastAsia="Arial" w:hAnsi="Arial"/>
                <w:sz w:val="14"/>
                <w:szCs w:val="14"/>
                <w:color w:val="auto"/>
              </w:rPr>
              <w:t>721,866</w:t>
            </w:r>
          </w:p>
        </w:tc>
        <w:tc>
          <w:tcPr>
            <w:tcW w:w="0" w:type="dxa"/>
            <w:vAlign w:val="bottom"/>
          </w:tcPr>
          <w:p>
            <w:pPr>
              <w:spacing w:after="0"/>
              <w:rPr>
                <w:sz w:val="1"/>
                <w:szCs w:val="1"/>
                <w:color w:val="auto"/>
              </w:rPr>
            </w:pPr>
          </w:p>
        </w:tc>
      </w:tr>
      <w:tr>
        <w:trPr>
          <w:trHeight w:val="167"/>
        </w:trPr>
        <w:tc>
          <w:tcPr>
            <w:tcW w:w="1600" w:type="dxa"/>
            <w:vAlign w:val="bottom"/>
            <w:shd w:val="clear" w:color="auto" w:fill="E5E5E5"/>
          </w:tcPr>
          <w:p>
            <w:pPr>
              <w:spacing w:after="0"/>
              <w:rPr>
                <w:sz w:val="14"/>
                <w:szCs w:val="14"/>
                <w:color w:val="auto"/>
              </w:rPr>
            </w:pPr>
          </w:p>
        </w:tc>
        <w:tc>
          <w:tcPr>
            <w:tcW w:w="860" w:type="dxa"/>
            <w:vAlign w:val="bottom"/>
            <w:shd w:val="clear" w:color="auto" w:fill="E5E5E5"/>
          </w:tcPr>
          <w:p>
            <w:pPr>
              <w:ind w:left="20"/>
              <w:spacing w:after="0"/>
              <w:rPr>
                <w:sz w:val="20"/>
                <w:szCs w:val="20"/>
                <w:color w:val="auto"/>
              </w:rPr>
            </w:pPr>
            <w:r>
              <w:rPr>
                <w:rFonts w:ascii="Arial" w:cs="Arial" w:eastAsia="Arial" w:hAnsi="Arial"/>
                <w:sz w:val="14"/>
                <w:szCs w:val="14"/>
                <w:color w:val="auto"/>
              </w:rPr>
              <w:t>Stock</w:t>
            </w:r>
          </w:p>
        </w:tc>
        <w:tc>
          <w:tcPr>
            <w:tcW w:w="80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74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540" w:type="dxa"/>
            <w:vAlign w:val="bottom"/>
            <w:shd w:val="clear" w:color="auto" w:fill="E5E5E5"/>
          </w:tcPr>
          <w:p>
            <w:pPr>
              <w:spacing w:after="0"/>
              <w:rPr>
                <w:sz w:val="14"/>
                <w:szCs w:val="14"/>
                <w:color w:val="auto"/>
              </w:rPr>
            </w:pPr>
          </w:p>
        </w:tc>
        <w:tc>
          <w:tcPr>
            <w:tcW w:w="108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7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00" w:type="dxa"/>
            <w:vAlign w:val="bottom"/>
            <w:shd w:val="clear" w:color="auto" w:fill="E5E5E5"/>
          </w:tcPr>
          <w:p>
            <w:pPr>
              <w:spacing w:after="0"/>
              <w:rPr>
                <w:sz w:val="13"/>
                <w:szCs w:val="13"/>
                <w:color w:val="auto"/>
              </w:rPr>
            </w:pPr>
          </w:p>
        </w:tc>
        <w:tc>
          <w:tcPr>
            <w:tcW w:w="860" w:type="dxa"/>
            <w:vAlign w:val="bottom"/>
            <w:shd w:val="clear" w:color="auto" w:fill="E5E5E5"/>
          </w:tcPr>
          <w:p>
            <w:pPr>
              <w:ind w:left="20"/>
              <w:spacing w:after="0" w:line="157" w:lineRule="exact"/>
              <w:rPr>
                <w:sz w:val="20"/>
                <w:szCs w:val="20"/>
                <w:color w:val="auto"/>
              </w:rPr>
            </w:pPr>
            <w:r>
              <w:rPr>
                <w:rFonts w:ascii="Arial" w:cs="Arial" w:eastAsia="Arial" w:hAnsi="Arial"/>
                <w:sz w:val="14"/>
                <w:szCs w:val="14"/>
                <w:color w:val="auto"/>
              </w:rPr>
              <w:t>Options</w:t>
            </w:r>
          </w:p>
        </w:tc>
        <w:tc>
          <w:tcPr>
            <w:tcW w:w="8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4/11/2019</w:t>
            </w:r>
          </w:p>
        </w:tc>
        <w:tc>
          <w:tcPr>
            <w:tcW w:w="76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108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61,420</w:t>
            </w:r>
          </w:p>
        </w:tc>
        <w:tc>
          <w:tcPr>
            <w:tcW w:w="6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51.68</w:t>
            </w:r>
          </w:p>
        </w:tc>
        <w:tc>
          <w:tcPr>
            <w:tcW w:w="780" w:type="dxa"/>
            <w:vAlign w:val="bottom"/>
            <w:shd w:val="clear" w:color="auto" w:fill="E5E5E5"/>
          </w:tcPr>
          <w:p>
            <w:pPr>
              <w:jc w:val="right"/>
              <w:ind w:right="11"/>
              <w:spacing w:after="0" w:line="157" w:lineRule="exact"/>
              <w:rPr>
                <w:sz w:val="20"/>
                <w:szCs w:val="20"/>
                <w:color w:val="auto"/>
              </w:rPr>
            </w:pPr>
            <w:r>
              <w:rPr>
                <w:rFonts w:ascii="Arial" w:cs="Arial" w:eastAsia="Arial" w:hAnsi="Arial"/>
                <w:sz w:val="14"/>
                <w:szCs w:val="14"/>
                <w:color w:val="auto"/>
              </w:rPr>
              <w:t>1,031,242</w:t>
            </w:r>
          </w:p>
        </w:tc>
        <w:tc>
          <w:tcPr>
            <w:tcW w:w="0" w:type="dxa"/>
            <w:vAlign w:val="bottom"/>
          </w:tcPr>
          <w:p>
            <w:pPr>
              <w:spacing w:after="0"/>
              <w:rPr>
                <w:sz w:val="1"/>
                <w:szCs w:val="1"/>
                <w:color w:val="auto"/>
              </w:rPr>
            </w:pPr>
          </w:p>
        </w:tc>
      </w:tr>
      <w:tr>
        <w:trPr>
          <w:trHeight w:val="167"/>
        </w:trPr>
        <w:tc>
          <w:tcPr>
            <w:tcW w:w="1600" w:type="dxa"/>
            <w:vAlign w:val="bottom"/>
          </w:tcPr>
          <w:p>
            <w:pPr>
              <w:ind w:left="60"/>
              <w:spacing w:after="0"/>
              <w:rPr>
                <w:sz w:val="20"/>
                <w:szCs w:val="20"/>
                <w:color w:val="auto"/>
              </w:rPr>
            </w:pPr>
            <w:r>
              <w:rPr>
                <w:rFonts w:ascii="Arial" w:cs="Arial" w:eastAsia="Arial" w:hAnsi="Arial"/>
                <w:sz w:val="14"/>
                <w:szCs w:val="14"/>
                <w:color w:val="auto"/>
              </w:rPr>
              <w:t>Scott Bowman</w:t>
            </w:r>
          </w:p>
        </w:tc>
        <w:tc>
          <w:tcPr>
            <w:tcW w:w="860" w:type="dxa"/>
            <w:vAlign w:val="bottom"/>
          </w:tcPr>
          <w:p>
            <w:pPr>
              <w:ind w:left="20"/>
              <w:spacing w:after="0"/>
              <w:rPr>
                <w:sz w:val="20"/>
                <w:szCs w:val="20"/>
                <w:color w:val="auto"/>
              </w:rPr>
            </w:pPr>
            <w:r>
              <w:rPr>
                <w:rFonts w:ascii="Arial" w:cs="Arial" w:eastAsia="Arial" w:hAnsi="Arial"/>
                <w:sz w:val="14"/>
                <w:szCs w:val="14"/>
                <w:color w:val="auto"/>
              </w:rPr>
              <w:t>Cash</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Incentive(1)</w:t>
            </w:r>
          </w:p>
        </w:tc>
        <w:tc>
          <w:tcPr>
            <w:tcW w:w="800" w:type="dxa"/>
            <w:vAlign w:val="bottom"/>
          </w:tcPr>
          <w:p>
            <w:pPr>
              <w:jc w:val="right"/>
              <w:spacing w:after="0"/>
              <w:rPr>
                <w:sz w:val="20"/>
                <w:szCs w:val="20"/>
                <w:color w:val="auto"/>
              </w:rPr>
            </w:pPr>
            <w:r>
              <w:rPr>
                <w:rFonts w:ascii="Arial" w:cs="Arial" w:eastAsia="Arial" w:hAnsi="Arial"/>
                <w:sz w:val="14"/>
                <w:szCs w:val="14"/>
                <w:color w:val="auto"/>
              </w:rPr>
              <w:t>N/A</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119,438</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273,000</w:t>
            </w:r>
          </w:p>
        </w:tc>
        <w:tc>
          <w:tcPr>
            <w:tcW w:w="680" w:type="dxa"/>
            <w:vAlign w:val="bottom"/>
          </w:tcPr>
          <w:p>
            <w:pPr>
              <w:jc w:val="right"/>
              <w:spacing w:after="0"/>
              <w:rPr>
                <w:sz w:val="20"/>
                <w:szCs w:val="20"/>
                <w:color w:val="auto"/>
              </w:rPr>
            </w:pPr>
            <w:r>
              <w:rPr>
                <w:rFonts w:ascii="Arial" w:cs="Arial" w:eastAsia="Arial" w:hAnsi="Arial"/>
                <w:sz w:val="14"/>
                <w:szCs w:val="14"/>
                <w:color w:val="auto"/>
              </w:rPr>
              <w:t>546,000</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Cash(2)</w:t>
            </w:r>
          </w:p>
        </w:tc>
        <w:tc>
          <w:tcPr>
            <w:tcW w:w="800" w:type="dxa"/>
            <w:vAlign w:val="bottom"/>
          </w:tcPr>
          <w:p>
            <w:pPr>
              <w:jc w:val="right"/>
              <w:spacing w:after="0"/>
              <w:rPr>
                <w:sz w:val="20"/>
                <w:szCs w:val="20"/>
                <w:color w:val="auto"/>
              </w:rPr>
            </w:pPr>
            <w:r>
              <w:rPr>
                <w:rFonts w:ascii="Arial" w:cs="Arial" w:eastAsia="Arial" w:hAnsi="Arial"/>
                <w:sz w:val="14"/>
                <w:szCs w:val="14"/>
                <w:color w:val="auto"/>
              </w:rPr>
              <w:t>5/6/19</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34,125</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68,250</w:t>
            </w:r>
          </w:p>
        </w:tc>
        <w:tc>
          <w:tcPr>
            <w:tcW w:w="680" w:type="dxa"/>
            <w:vAlign w:val="bottom"/>
          </w:tcPr>
          <w:p>
            <w:pPr>
              <w:jc w:val="right"/>
              <w:spacing w:after="0"/>
              <w:rPr>
                <w:sz w:val="20"/>
                <w:szCs w:val="20"/>
                <w:color w:val="auto"/>
              </w:rPr>
            </w:pPr>
            <w:r>
              <w:rPr>
                <w:rFonts w:ascii="Arial" w:cs="Arial" w:eastAsia="Arial" w:hAnsi="Arial"/>
                <w:sz w:val="14"/>
                <w:szCs w:val="14"/>
                <w:color w:val="auto"/>
              </w:rPr>
              <w:t>136,500</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RSUs(3)</w:t>
            </w:r>
          </w:p>
        </w:tc>
        <w:tc>
          <w:tcPr>
            <w:tcW w:w="800" w:type="dxa"/>
            <w:vAlign w:val="bottom"/>
          </w:tcPr>
          <w:p>
            <w:pPr>
              <w:jc w:val="right"/>
              <w:spacing w:after="0"/>
              <w:rPr>
                <w:sz w:val="20"/>
                <w:szCs w:val="20"/>
                <w:color w:val="auto"/>
              </w:rPr>
            </w:pPr>
            <w:r>
              <w:rPr>
                <w:rFonts w:ascii="Arial" w:cs="Arial" w:eastAsia="Arial" w:hAnsi="Arial"/>
                <w:sz w:val="14"/>
                <w:szCs w:val="14"/>
                <w:color w:val="auto"/>
              </w:rPr>
              <w:t>5/6/19</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1,362</w:t>
            </w: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2,724</w:t>
            </w:r>
          </w:p>
        </w:tc>
        <w:tc>
          <w:tcPr>
            <w:tcW w:w="540" w:type="dxa"/>
            <w:vAlign w:val="bottom"/>
          </w:tcPr>
          <w:p>
            <w:pPr>
              <w:jc w:val="right"/>
              <w:spacing w:after="0"/>
              <w:rPr>
                <w:sz w:val="20"/>
                <w:szCs w:val="20"/>
                <w:color w:val="auto"/>
              </w:rPr>
            </w:pPr>
            <w:r>
              <w:rPr>
                <w:rFonts w:ascii="Arial" w:cs="Arial" w:eastAsia="Arial" w:hAnsi="Arial"/>
                <w:sz w:val="14"/>
                <w:szCs w:val="14"/>
                <w:color w:val="auto"/>
              </w:rPr>
              <w:t>5,448</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159,245</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Stock</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Options</w:t>
            </w:r>
          </w:p>
        </w:tc>
        <w:tc>
          <w:tcPr>
            <w:tcW w:w="800" w:type="dxa"/>
            <w:vAlign w:val="bottom"/>
          </w:tcPr>
          <w:p>
            <w:pPr>
              <w:jc w:val="right"/>
              <w:spacing w:after="0"/>
              <w:rPr>
                <w:sz w:val="20"/>
                <w:szCs w:val="20"/>
                <w:color w:val="auto"/>
              </w:rPr>
            </w:pPr>
            <w:r>
              <w:rPr>
                <w:rFonts w:ascii="Arial" w:cs="Arial" w:eastAsia="Arial" w:hAnsi="Arial"/>
                <w:sz w:val="14"/>
                <w:szCs w:val="14"/>
                <w:color w:val="auto"/>
              </w:rPr>
              <w:t>5/6/19</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11,708</w:t>
            </w:r>
          </w:p>
        </w:tc>
        <w:tc>
          <w:tcPr>
            <w:tcW w:w="640" w:type="dxa"/>
            <w:vAlign w:val="bottom"/>
          </w:tcPr>
          <w:p>
            <w:pPr>
              <w:jc w:val="right"/>
              <w:spacing w:after="0"/>
              <w:rPr>
                <w:sz w:val="20"/>
                <w:szCs w:val="20"/>
                <w:color w:val="auto"/>
              </w:rPr>
            </w:pPr>
            <w:r>
              <w:rPr>
                <w:rFonts w:ascii="Arial" w:cs="Arial" w:eastAsia="Arial" w:hAnsi="Arial"/>
                <w:sz w:val="14"/>
                <w:szCs w:val="14"/>
                <w:color w:val="auto"/>
              </w:rPr>
              <w:t>58.46</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227,486</w:t>
            </w:r>
          </w:p>
        </w:tc>
        <w:tc>
          <w:tcPr>
            <w:tcW w:w="0" w:type="dxa"/>
            <w:vAlign w:val="bottom"/>
          </w:tcPr>
          <w:p>
            <w:pPr>
              <w:spacing w:after="0"/>
              <w:rPr>
                <w:sz w:val="1"/>
                <w:szCs w:val="1"/>
                <w:color w:val="auto"/>
              </w:rPr>
            </w:pPr>
          </w:p>
        </w:tc>
      </w:tr>
      <w:tr>
        <w:trPr>
          <w:trHeight w:val="157"/>
        </w:trPr>
        <w:tc>
          <w:tcPr>
            <w:tcW w:w="1600" w:type="dxa"/>
            <w:vAlign w:val="bottom"/>
          </w:tcPr>
          <w:p>
            <w:pPr>
              <w:spacing w:after="0"/>
              <w:rPr>
                <w:sz w:val="13"/>
                <w:szCs w:val="13"/>
                <w:color w:val="auto"/>
              </w:rPr>
            </w:pPr>
          </w:p>
        </w:tc>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RSUs</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5/6/19</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jc w:val="right"/>
              <w:ind w:right="130"/>
              <w:spacing w:after="0" w:line="157" w:lineRule="exact"/>
              <w:rPr>
                <w:sz w:val="20"/>
                <w:szCs w:val="20"/>
                <w:color w:val="auto"/>
              </w:rPr>
            </w:pPr>
            <w:r>
              <w:rPr>
                <w:rFonts w:ascii="Arial" w:cs="Arial" w:eastAsia="Arial" w:hAnsi="Arial"/>
                <w:sz w:val="14"/>
                <w:szCs w:val="14"/>
                <w:color w:val="auto"/>
              </w:rPr>
              <w:t>1,710</w:t>
            </w: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58.46</w:t>
            </w:r>
          </w:p>
        </w:tc>
        <w:tc>
          <w:tcPr>
            <w:tcW w:w="780" w:type="dxa"/>
            <w:vAlign w:val="bottom"/>
          </w:tcPr>
          <w:p>
            <w:pPr>
              <w:jc w:val="right"/>
              <w:ind w:right="11"/>
              <w:spacing w:after="0" w:line="157" w:lineRule="exact"/>
              <w:rPr>
                <w:sz w:val="20"/>
                <w:szCs w:val="20"/>
                <w:color w:val="auto"/>
              </w:rPr>
            </w:pPr>
            <w:r>
              <w:rPr>
                <w:rFonts w:ascii="Arial" w:cs="Arial" w:eastAsia="Arial" w:hAnsi="Arial"/>
                <w:sz w:val="14"/>
                <w:szCs w:val="14"/>
                <w:color w:val="auto"/>
              </w:rPr>
              <w:t>99,967</w:t>
            </w:r>
          </w:p>
        </w:tc>
        <w:tc>
          <w:tcPr>
            <w:tcW w:w="0" w:type="dxa"/>
            <w:vAlign w:val="bottom"/>
          </w:tcPr>
          <w:p>
            <w:pPr>
              <w:spacing w:after="0"/>
              <w:rPr>
                <w:sz w:val="1"/>
                <w:szCs w:val="1"/>
                <w:color w:val="auto"/>
              </w:rPr>
            </w:pPr>
          </w:p>
        </w:tc>
      </w:tr>
      <w:tr>
        <w:trPr>
          <w:trHeight w:val="167"/>
        </w:trPr>
        <w:tc>
          <w:tcPr>
            <w:tcW w:w="1600" w:type="dxa"/>
            <w:vAlign w:val="bottom"/>
            <w:shd w:val="clear" w:color="auto" w:fill="E5E5E5"/>
          </w:tcPr>
          <w:p>
            <w:pPr>
              <w:ind w:left="60"/>
              <w:spacing w:after="0"/>
              <w:rPr>
                <w:sz w:val="20"/>
                <w:szCs w:val="20"/>
                <w:color w:val="auto"/>
              </w:rPr>
            </w:pPr>
            <w:r>
              <w:rPr>
                <w:rFonts w:ascii="Arial" w:cs="Arial" w:eastAsia="Arial" w:hAnsi="Arial"/>
                <w:sz w:val="14"/>
                <w:szCs w:val="14"/>
                <w:color w:val="auto"/>
              </w:rPr>
              <w:t>Joe DeProspero</w:t>
            </w:r>
          </w:p>
        </w:tc>
        <w:tc>
          <w:tcPr>
            <w:tcW w:w="860" w:type="dxa"/>
            <w:vAlign w:val="bottom"/>
            <w:shd w:val="clear" w:color="auto" w:fill="E5E5E5"/>
          </w:tcPr>
          <w:p>
            <w:pPr>
              <w:ind w:left="20"/>
              <w:spacing w:after="0"/>
              <w:rPr>
                <w:sz w:val="20"/>
                <w:szCs w:val="20"/>
                <w:color w:val="auto"/>
              </w:rPr>
            </w:pPr>
            <w:r>
              <w:rPr>
                <w:rFonts w:ascii="Arial" w:cs="Arial" w:eastAsia="Arial" w:hAnsi="Arial"/>
                <w:sz w:val="14"/>
                <w:szCs w:val="14"/>
                <w:color w:val="auto"/>
              </w:rPr>
              <w:t>Cash</w:t>
            </w:r>
          </w:p>
        </w:tc>
        <w:tc>
          <w:tcPr>
            <w:tcW w:w="80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74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540" w:type="dxa"/>
            <w:vAlign w:val="bottom"/>
            <w:shd w:val="clear" w:color="auto" w:fill="E5E5E5"/>
          </w:tcPr>
          <w:p>
            <w:pPr>
              <w:spacing w:after="0"/>
              <w:rPr>
                <w:sz w:val="14"/>
                <w:szCs w:val="14"/>
                <w:color w:val="auto"/>
              </w:rPr>
            </w:pPr>
          </w:p>
        </w:tc>
        <w:tc>
          <w:tcPr>
            <w:tcW w:w="108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7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00" w:type="dxa"/>
            <w:vAlign w:val="bottom"/>
            <w:shd w:val="clear" w:color="auto" w:fill="E5E5E5"/>
          </w:tcPr>
          <w:p>
            <w:pPr>
              <w:spacing w:after="0"/>
              <w:rPr>
                <w:sz w:val="13"/>
                <w:szCs w:val="13"/>
                <w:color w:val="auto"/>
              </w:rPr>
            </w:pPr>
          </w:p>
        </w:tc>
        <w:tc>
          <w:tcPr>
            <w:tcW w:w="860" w:type="dxa"/>
            <w:vAlign w:val="bottom"/>
            <w:shd w:val="clear" w:color="auto" w:fill="E5E5E5"/>
          </w:tcPr>
          <w:p>
            <w:pPr>
              <w:ind w:left="20"/>
              <w:spacing w:after="0" w:line="157" w:lineRule="exact"/>
              <w:rPr>
                <w:sz w:val="20"/>
                <w:szCs w:val="20"/>
                <w:color w:val="auto"/>
              </w:rPr>
            </w:pPr>
            <w:r>
              <w:rPr>
                <w:rFonts w:ascii="Arial" w:cs="Arial" w:eastAsia="Arial" w:hAnsi="Arial"/>
                <w:sz w:val="14"/>
                <w:szCs w:val="14"/>
                <w:color w:val="auto"/>
              </w:rPr>
              <w:t>Incentive(1)</w:t>
            </w:r>
          </w:p>
        </w:tc>
        <w:tc>
          <w:tcPr>
            <w:tcW w:w="8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N/A</w:t>
            </w:r>
          </w:p>
        </w:tc>
        <w:tc>
          <w:tcPr>
            <w:tcW w:w="760" w:type="dxa"/>
            <w:vAlign w:val="bottom"/>
            <w:shd w:val="clear" w:color="auto" w:fill="E5E5E5"/>
          </w:tcPr>
          <w:p>
            <w:pPr>
              <w:jc w:val="right"/>
              <w:ind w:right="11"/>
              <w:spacing w:after="0" w:line="157" w:lineRule="exact"/>
              <w:rPr>
                <w:sz w:val="20"/>
                <w:szCs w:val="20"/>
                <w:color w:val="auto"/>
              </w:rPr>
            </w:pPr>
            <w:r>
              <w:rPr>
                <w:rFonts w:ascii="Arial" w:cs="Arial" w:eastAsia="Arial" w:hAnsi="Arial"/>
                <w:sz w:val="14"/>
                <w:szCs w:val="14"/>
                <w:color w:val="auto"/>
              </w:rPr>
              <w:t>65,750</w:t>
            </w:r>
          </w:p>
        </w:tc>
        <w:tc>
          <w:tcPr>
            <w:tcW w:w="740" w:type="dxa"/>
            <w:vAlign w:val="bottom"/>
            <w:shd w:val="clear" w:color="auto" w:fill="E5E5E5"/>
          </w:tcPr>
          <w:p>
            <w:pPr>
              <w:jc w:val="right"/>
              <w:ind w:right="69"/>
              <w:spacing w:after="0" w:line="157" w:lineRule="exact"/>
              <w:rPr>
                <w:sz w:val="20"/>
                <w:szCs w:val="20"/>
                <w:color w:val="auto"/>
              </w:rPr>
            </w:pPr>
            <w:r>
              <w:rPr>
                <w:rFonts w:ascii="Arial" w:cs="Arial" w:eastAsia="Arial" w:hAnsi="Arial"/>
                <w:sz w:val="14"/>
                <w:szCs w:val="14"/>
                <w:color w:val="auto"/>
              </w:rPr>
              <w:t>150,000</w:t>
            </w:r>
          </w:p>
        </w:tc>
        <w:tc>
          <w:tcPr>
            <w:tcW w:w="6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300,000</w:t>
            </w:r>
          </w:p>
        </w:tc>
        <w:tc>
          <w:tcPr>
            <w:tcW w:w="20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108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7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E5E5E5"/>
          </w:tcPr>
          <w:p>
            <w:pPr>
              <w:spacing w:after="0"/>
              <w:rPr>
                <w:sz w:val="14"/>
                <w:szCs w:val="14"/>
                <w:color w:val="auto"/>
              </w:rPr>
            </w:pPr>
          </w:p>
        </w:tc>
        <w:tc>
          <w:tcPr>
            <w:tcW w:w="860" w:type="dxa"/>
            <w:vAlign w:val="bottom"/>
            <w:shd w:val="clear" w:color="auto" w:fill="E5E5E5"/>
          </w:tcPr>
          <w:p>
            <w:pPr>
              <w:ind w:left="20"/>
              <w:spacing w:after="0"/>
              <w:rPr>
                <w:sz w:val="20"/>
                <w:szCs w:val="20"/>
                <w:color w:val="auto"/>
              </w:rPr>
            </w:pPr>
            <w:r>
              <w:rPr>
                <w:rFonts w:ascii="Arial" w:cs="Arial" w:eastAsia="Arial" w:hAnsi="Arial"/>
                <w:sz w:val="14"/>
                <w:szCs w:val="14"/>
                <w:color w:val="auto"/>
              </w:rPr>
              <w:t>Performance</w:t>
            </w:r>
          </w:p>
        </w:tc>
        <w:tc>
          <w:tcPr>
            <w:tcW w:w="80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74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540" w:type="dxa"/>
            <w:vAlign w:val="bottom"/>
            <w:shd w:val="clear" w:color="auto" w:fill="E5E5E5"/>
          </w:tcPr>
          <w:p>
            <w:pPr>
              <w:spacing w:after="0"/>
              <w:rPr>
                <w:sz w:val="14"/>
                <w:szCs w:val="14"/>
                <w:color w:val="auto"/>
              </w:rPr>
            </w:pPr>
          </w:p>
        </w:tc>
        <w:tc>
          <w:tcPr>
            <w:tcW w:w="108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7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00" w:type="dxa"/>
            <w:vAlign w:val="bottom"/>
            <w:shd w:val="clear" w:color="auto" w:fill="E5E5E5"/>
          </w:tcPr>
          <w:p>
            <w:pPr>
              <w:spacing w:after="0"/>
              <w:rPr>
                <w:sz w:val="13"/>
                <w:szCs w:val="13"/>
                <w:color w:val="auto"/>
              </w:rPr>
            </w:pPr>
          </w:p>
        </w:tc>
        <w:tc>
          <w:tcPr>
            <w:tcW w:w="860" w:type="dxa"/>
            <w:vAlign w:val="bottom"/>
            <w:shd w:val="clear" w:color="auto" w:fill="E5E5E5"/>
          </w:tcPr>
          <w:p>
            <w:pPr>
              <w:ind w:left="20"/>
              <w:spacing w:after="0" w:line="157" w:lineRule="exact"/>
              <w:rPr>
                <w:sz w:val="20"/>
                <w:szCs w:val="20"/>
                <w:color w:val="auto"/>
              </w:rPr>
            </w:pPr>
            <w:r>
              <w:rPr>
                <w:rFonts w:ascii="Arial" w:cs="Arial" w:eastAsia="Arial" w:hAnsi="Arial"/>
                <w:sz w:val="14"/>
                <w:szCs w:val="14"/>
                <w:color w:val="auto"/>
              </w:rPr>
              <w:t>Cash(2)</w:t>
            </w:r>
          </w:p>
        </w:tc>
        <w:tc>
          <w:tcPr>
            <w:tcW w:w="8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4/11/2019</w:t>
            </w:r>
          </w:p>
        </w:tc>
        <w:tc>
          <w:tcPr>
            <w:tcW w:w="760" w:type="dxa"/>
            <w:vAlign w:val="bottom"/>
            <w:shd w:val="clear" w:color="auto" w:fill="E5E5E5"/>
          </w:tcPr>
          <w:p>
            <w:pPr>
              <w:jc w:val="right"/>
              <w:ind w:right="11"/>
              <w:spacing w:after="0" w:line="157" w:lineRule="exact"/>
              <w:rPr>
                <w:sz w:val="20"/>
                <w:szCs w:val="20"/>
                <w:color w:val="auto"/>
              </w:rPr>
            </w:pPr>
            <w:r>
              <w:rPr>
                <w:rFonts w:ascii="Arial" w:cs="Arial" w:eastAsia="Arial" w:hAnsi="Arial"/>
                <w:sz w:val="14"/>
                <w:szCs w:val="14"/>
                <w:color w:val="auto"/>
              </w:rPr>
              <w:t>9,375</w:t>
            </w:r>
          </w:p>
        </w:tc>
        <w:tc>
          <w:tcPr>
            <w:tcW w:w="740" w:type="dxa"/>
            <w:vAlign w:val="bottom"/>
            <w:shd w:val="clear" w:color="auto" w:fill="E5E5E5"/>
          </w:tcPr>
          <w:p>
            <w:pPr>
              <w:jc w:val="right"/>
              <w:ind w:right="69"/>
              <w:spacing w:after="0" w:line="157" w:lineRule="exact"/>
              <w:rPr>
                <w:sz w:val="20"/>
                <w:szCs w:val="20"/>
                <w:color w:val="auto"/>
              </w:rPr>
            </w:pPr>
            <w:r>
              <w:rPr>
                <w:rFonts w:ascii="Arial" w:cs="Arial" w:eastAsia="Arial" w:hAnsi="Arial"/>
                <w:sz w:val="14"/>
                <w:szCs w:val="14"/>
                <w:color w:val="auto"/>
              </w:rPr>
              <w:t>18,750</w:t>
            </w:r>
          </w:p>
        </w:tc>
        <w:tc>
          <w:tcPr>
            <w:tcW w:w="6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37,500</w:t>
            </w:r>
          </w:p>
        </w:tc>
        <w:tc>
          <w:tcPr>
            <w:tcW w:w="20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108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7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E5E5E5"/>
          </w:tcPr>
          <w:p>
            <w:pPr>
              <w:spacing w:after="0"/>
              <w:rPr>
                <w:sz w:val="14"/>
                <w:szCs w:val="14"/>
                <w:color w:val="auto"/>
              </w:rPr>
            </w:pPr>
          </w:p>
        </w:tc>
        <w:tc>
          <w:tcPr>
            <w:tcW w:w="860" w:type="dxa"/>
            <w:vAlign w:val="bottom"/>
            <w:shd w:val="clear" w:color="auto" w:fill="E5E5E5"/>
          </w:tcPr>
          <w:p>
            <w:pPr>
              <w:ind w:left="20"/>
              <w:spacing w:after="0"/>
              <w:rPr>
                <w:sz w:val="20"/>
                <w:szCs w:val="20"/>
                <w:color w:val="auto"/>
              </w:rPr>
            </w:pPr>
            <w:r>
              <w:rPr>
                <w:rFonts w:ascii="Arial" w:cs="Arial" w:eastAsia="Arial" w:hAnsi="Arial"/>
                <w:sz w:val="14"/>
                <w:szCs w:val="14"/>
                <w:color w:val="auto"/>
              </w:rPr>
              <w:t>RSUs(3)</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4/11/2019</w:t>
            </w:r>
          </w:p>
        </w:tc>
        <w:tc>
          <w:tcPr>
            <w:tcW w:w="760" w:type="dxa"/>
            <w:vAlign w:val="bottom"/>
            <w:shd w:val="clear" w:color="auto" w:fill="E5E5E5"/>
          </w:tcPr>
          <w:p>
            <w:pPr>
              <w:spacing w:after="0"/>
              <w:rPr>
                <w:sz w:val="14"/>
                <w:szCs w:val="14"/>
                <w:color w:val="auto"/>
              </w:rPr>
            </w:pPr>
          </w:p>
        </w:tc>
        <w:tc>
          <w:tcPr>
            <w:tcW w:w="74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760" w:type="dxa"/>
            <w:vAlign w:val="bottom"/>
            <w:shd w:val="clear" w:color="auto" w:fill="E5E5E5"/>
          </w:tcPr>
          <w:p>
            <w:pPr>
              <w:jc w:val="right"/>
              <w:ind w:right="13"/>
              <w:spacing w:after="0"/>
              <w:rPr>
                <w:sz w:val="20"/>
                <w:szCs w:val="20"/>
                <w:color w:val="auto"/>
              </w:rPr>
            </w:pPr>
            <w:r>
              <w:rPr>
                <w:rFonts w:ascii="Arial" w:cs="Arial" w:eastAsia="Arial" w:hAnsi="Arial"/>
                <w:sz w:val="14"/>
                <w:szCs w:val="14"/>
                <w:color w:val="auto"/>
              </w:rPr>
              <w:t>423</w:t>
            </w:r>
          </w:p>
        </w:tc>
        <w:tc>
          <w:tcPr>
            <w:tcW w:w="720" w:type="dxa"/>
            <w:vAlign w:val="bottom"/>
            <w:shd w:val="clear" w:color="auto" w:fill="E5E5E5"/>
          </w:tcPr>
          <w:p>
            <w:pPr>
              <w:jc w:val="right"/>
              <w:ind w:right="130"/>
              <w:spacing w:after="0"/>
              <w:rPr>
                <w:sz w:val="20"/>
                <w:szCs w:val="20"/>
                <w:color w:val="auto"/>
              </w:rPr>
            </w:pPr>
            <w:r>
              <w:rPr>
                <w:rFonts w:ascii="Arial" w:cs="Arial" w:eastAsia="Arial" w:hAnsi="Arial"/>
                <w:sz w:val="14"/>
                <w:szCs w:val="14"/>
                <w:color w:val="auto"/>
              </w:rPr>
              <w:t>846</w:t>
            </w: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1,692</w:t>
            </w:r>
          </w:p>
        </w:tc>
        <w:tc>
          <w:tcPr>
            <w:tcW w:w="108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780" w:type="dxa"/>
            <w:vAlign w:val="bottom"/>
            <w:shd w:val="clear" w:color="auto" w:fill="E5E5E5"/>
          </w:tcPr>
          <w:p>
            <w:pPr>
              <w:jc w:val="right"/>
              <w:ind w:right="11"/>
              <w:spacing w:after="0"/>
              <w:rPr>
                <w:sz w:val="20"/>
                <w:szCs w:val="20"/>
                <w:color w:val="auto"/>
              </w:rPr>
            </w:pPr>
            <w:r>
              <w:rPr>
                <w:rFonts w:ascii="Arial" w:cs="Arial" w:eastAsia="Arial" w:hAnsi="Arial"/>
                <w:sz w:val="14"/>
                <w:szCs w:val="14"/>
                <w:color w:val="auto"/>
              </w:rPr>
              <w:t>43,721</w:t>
            </w:r>
          </w:p>
        </w:tc>
        <w:tc>
          <w:tcPr>
            <w:tcW w:w="0" w:type="dxa"/>
            <w:vAlign w:val="bottom"/>
          </w:tcPr>
          <w:p>
            <w:pPr>
              <w:spacing w:after="0"/>
              <w:rPr>
                <w:sz w:val="1"/>
                <w:szCs w:val="1"/>
                <w:color w:val="auto"/>
              </w:rPr>
            </w:pPr>
          </w:p>
        </w:tc>
      </w:tr>
      <w:tr>
        <w:trPr>
          <w:trHeight w:val="167"/>
        </w:trPr>
        <w:tc>
          <w:tcPr>
            <w:tcW w:w="1600" w:type="dxa"/>
            <w:vAlign w:val="bottom"/>
            <w:shd w:val="clear" w:color="auto" w:fill="E5E5E5"/>
          </w:tcPr>
          <w:p>
            <w:pPr>
              <w:spacing w:after="0"/>
              <w:rPr>
                <w:sz w:val="14"/>
                <w:szCs w:val="14"/>
                <w:color w:val="auto"/>
              </w:rPr>
            </w:pPr>
          </w:p>
        </w:tc>
        <w:tc>
          <w:tcPr>
            <w:tcW w:w="860" w:type="dxa"/>
            <w:vAlign w:val="bottom"/>
            <w:shd w:val="clear" w:color="auto" w:fill="E5E5E5"/>
          </w:tcPr>
          <w:p>
            <w:pPr>
              <w:ind w:left="20"/>
              <w:spacing w:after="0"/>
              <w:rPr>
                <w:sz w:val="20"/>
                <w:szCs w:val="20"/>
                <w:color w:val="auto"/>
              </w:rPr>
            </w:pPr>
            <w:r>
              <w:rPr>
                <w:rFonts w:ascii="Arial" w:cs="Arial" w:eastAsia="Arial" w:hAnsi="Arial"/>
                <w:sz w:val="14"/>
                <w:szCs w:val="14"/>
                <w:color w:val="auto"/>
              </w:rPr>
              <w:t>Stock</w:t>
            </w:r>
          </w:p>
        </w:tc>
        <w:tc>
          <w:tcPr>
            <w:tcW w:w="80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74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540" w:type="dxa"/>
            <w:vAlign w:val="bottom"/>
            <w:shd w:val="clear" w:color="auto" w:fill="E5E5E5"/>
          </w:tcPr>
          <w:p>
            <w:pPr>
              <w:spacing w:after="0"/>
              <w:rPr>
                <w:sz w:val="14"/>
                <w:szCs w:val="14"/>
                <w:color w:val="auto"/>
              </w:rPr>
            </w:pPr>
          </w:p>
        </w:tc>
        <w:tc>
          <w:tcPr>
            <w:tcW w:w="108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7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00" w:type="dxa"/>
            <w:vAlign w:val="bottom"/>
            <w:shd w:val="clear" w:color="auto" w:fill="E5E5E5"/>
          </w:tcPr>
          <w:p>
            <w:pPr>
              <w:spacing w:after="0"/>
              <w:rPr>
                <w:sz w:val="13"/>
                <w:szCs w:val="13"/>
                <w:color w:val="auto"/>
              </w:rPr>
            </w:pPr>
          </w:p>
        </w:tc>
        <w:tc>
          <w:tcPr>
            <w:tcW w:w="860" w:type="dxa"/>
            <w:vAlign w:val="bottom"/>
            <w:shd w:val="clear" w:color="auto" w:fill="E5E5E5"/>
          </w:tcPr>
          <w:p>
            <w:pPr>
              <w:ind w:left="20"/>
              <w:spacing w:after="0" w:line="157" w:lineRule="exact"/>
              <w:rPr>
                <w:sz w:val="20"/>
                <w:szCs w:val="20"/>
                <w:color w:val="auto"/>
              </w:rPr>
            </w:pPr>
            <w:r>
              <w:rPr>
                <w:rFonts w:ascii="Arial" w:cs="Arial" w:eastAsia="Arial" w:hAnsi="Arial"/>
                <w:sz w:val="14"/>
                <w:szCs w:val="14"/>
                <w:color w:val="auto"/>
              </w:rPr>
              <w:t>Options</w:t>
            </w:r>
          </w:p>
        </w:tc>
        <w:tc>
          <w:tcPr>
            <w:tcW w:w="8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4/11/2019</w:t>
            </w:r>
          </w:p>
        </w:tc>
        <w:tc>
          <w:tcPr>
            <w:tcW w:w="76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108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3,722</w:t>
            </w:r>
          </w:p>
        </w:tc>
        <w:tc>
          <w:tcPr>
            <w:tcW w:w="6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51.68</w:t>
            </w:r>
          </w:p>
        </w:tc>
        <w:tc>
          <w:tcPr>
            <w:tcW w:w="780" w:type="dxa"/>
            <w:vAlign w:val="bottom"/>
            <w:shd w:val="clear" w:color="auto" w:fill="E5E5E5"/>
          </w:tcPr>
          <w:p>
            <w:pPr>
              <w:jc w:val="right"/>
              <w:ind w:right="11"/>
              <w:spacing w:after="0" w:line="157" w:lineRule="exact"/>
              <w:rPr>
                <w:sz w:val="20"/>
                <w:szCs w:val="20"/>
                <w:color w:val="auto"/>
              </w:rPr>
            </w:pPr>
            <w:r>
              <w:rPr>
                <w:rFonts w:ascii="Arial" w:cs="Arial" w:eastAsia="Arial" w:hAnsi="Arial"/>
                <w:sz w:val="14"/>
                <w:szCs w:val="14"/>
                <w:color w:val="auto"/>
              </w:rPr>
              <w:t>62,492</w:t>
            </w:r>
          </w:p>
        </w:tc>
        <w:tc>
          <w:tcPr>
            <w:tcW w:w="0" w:type="dxa"/>
            <w:vAlign w:val="bottom"/>
          </w:tcPr>
          <w:p>
            <w:pPr>
              <w:spacing w:after="0"/>
              <w:rPr>
                <w:sz w:val="1"/>
                <w:szCs w:val="1"/>
                <w:color w:val="auto"/>
              </w:rPr>
            </w:pPr>
          </w:p>
        </w:tc>
      </w:tr>
      <w:tr>
        <w:trPr>
          <w:trHeight w:val="167"/>
        </w:trPr>
        <w:tc>
          <w:tcPr>
            <w:tcW w:w="1600" w:type="dxa"/>
            <w:vAlign w:val="bottom"/>
          </w:tcPr>
          <w:p>
            <w:pPr>
              <w:ind w:left="60"/>
              <w:spacing w:after="0"/>
              <w:rPr>
                <w:sz w:val="20"/>
                <w:szCs w:val="20"/>
                <w:color w:val="auto"/>
              </w:rPr>
            </w:pPr>
            <w:r>
              <w:rPr>
                <w:rFonts w:ascii="Arial" w:cs="Arial" w:eastAsia="Arial" w:hAnsi="Arial"/>
                <w:sz w:val="14"/>
                <w:szCs w:val="14"/>
                <w:color w:val="auto"/>
              </w:rPr>
              <w:t>Sean Gleason</w:t>
            </w:r>
          </w:p>
        </w:tc>
        <w:tc>
          <w:tcPr>
            <w:tcW w:w="860" w:type="dxa"/>
            <w:vAlign w:val="bottom"/>
          </w:tcPr>
          <w:p>
            <w:pPr>
              <w:ind w:left="20"/>
              <w:spacing w:after="0"/>
              <w:rPr>
                <w:sz w:val="20"/>
                <w:szCs w:val="20"/>
                <w:color w:val="auto"/>
              </w:rPr>
            </w:pPr>
            <w:r>
              <w:rPr>
                <w:rFonts w:ascii="Arial" w:cs="Arial" w:eastAsia="Arial" w:hAnsi="Arial"/>
                <w:sz w:val="14"/>
                <w:szCs w:val="14"/>
                <w:color w:val="auto"/>
              </w:rPr>
              <w:t>Cash</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Incentive(1)</w:t>
            </w:r>
          </w:p>
        </w:tc>
        <w:tc>
          <w:tcPr>
            <w:tcW w:w="800" w:type="dxa"/>
            <w:vAlign w:val="bottom"/>
          </w:tcPr>
          <w:p>
            <w:pPr>
              <w:jc w:val="right"/>
              <w:spacing w:after="0"/>
              <w:rPr>
                <w:sz w:val="20"/>
                <w:szCs w:val="20"/>
                <w:color w:val="auto"/>
              </w:rPr>
            </w:pPr>
            <w:r>
              <w:rPr>
                <w:rFonts w:ascii="Arial" w:cs="Arial" w:eastAsia="Arial" w:hAnsi="Arial"/>
                <w:sz w:val="14"/>
                <w:szCs w:val="14"/>
                <w:color w:val="auto"/>
              </w:rPr>
              <w:t>N/A</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92,250</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246,000</w:t>
            </w:r>
          </w:p>
        </w:tc>
        <w:tc>
          <w:tcPr>
            <w:tcW w:w="680" w:type="dxa"/>
            <w:vAlign w:val="bottom"/>
          </w:tcPr>
          <w:p>
            <w:pPr>
              <w:jc w:val="right"/>
              <w:spacing w:after="0"/>
              <w:rPr>
                <w:sz w:val="20"/>
                <w:szCs w:val="20"/>
                <w:color w:val="auto"/>
              </w:rPr>
            </w:pPr>
            <w:r>
              <w:rPr>
                <w:rFonts w:ascii="Arial" w:cs="Arial" w:eastAsia="Arial" w:hAnsi="Arial"/>
                <w:sz w:val="14"/>
                <w:szCs w:val="14"/>
                <w:color w:val="auto"/>
              </w:rPr>
              <w:t>492,000</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Cash(2)</w:t>
            </w:r>
          </w:p>
        </w:tc>
        <w:tc>
          <w:tcPr>
            <w:tcW w:w="800" w:type="dxa"/>
            <w:vAlign w:val="bottom"/>
          </w:tcPr>
          <w:p>
            <w:pPr>
              <w:jc w:val="right"/>
              <w:spacing w:after="0"/>
              <w:rPr>
                <w:sz w:val="20"/>
                <w:szCs w:val="20"/>
                <w:color w:val="auto"/>
              </w:rPr>
            </w:pPr>
            <w:r>
              <w:rPr>
                <w:rFonts w:ascii="Arial" w:cs="Arial" w:eastAsia="Arial" w:hAnsi="Arial"/>
                <w:sz w:val="14"/>
                <w:szCs w:val="14"/>
                <w:color w:val="auto"/>
              </w:rPr>
              <w:t>4/11/2019</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30,750</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61,500</w:t>
            </w:r>
          </w:p>
        </w:tc>
        <w:tc>
          <w:tcPr>
            <w:tcW w:w="680" w:type="dxa"/>
            <w:vAlign w:val="bottom"/>
          </w:tcPr>
          <w:p>
            <w:pPr>
              <w:jc w:val="right"/>
              <w:spacing w:after="0"/>
              <w:rPr>
                <w:sz w:val="20"/>
                <w:szCs w:val="20"/>
                <w:color w:val="auto"/>
              </w:rPr>
            </w:pPr>
            <w:r>
              <w:rPr>
                <w:rFonts w:ascii="Arial" w:cs="Arial" w:eastAsia="Arial" w:hAnsi="Arial"/>
                <w:sz w:val="14"/>
                <w:szCs w:val="14"/>
                <w:color w:val="auto"/>
              </w:rPr>
              <w:t>123,000</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RSUs(3)</w:t>
            </w:r>
          </w:p>
        </w:tc>
        <w:tc>
          <w:tcPr>
            <w:tcW w:w="800" w:type="dxa"/>
            <w:vAlign w:val="bottom"/>
          </w:tcPr>
          <w:p>
            <w:pPr>
              <w:jc w:val="right"/>
              <w:spacing w:after="0"/>
              <w:rPr>
                <w:sz w:val="20"/>
                <w:szCs w:val="20"/>
                <w:color w:val="auto"/>
              </w:rPr>
            </w:pPr>
            <w:r>
              <w:rPr>
                <w:rFonts w:ascii="Arial" w:cs="Arial" w:eastAsia="Arial" w:hAnsi="Arial"/>
                <w:sz w:val="14"/>
                <w:szCs w:val="14"/>
                <w:color w:val="auto"/>
              </w:rPr>
              <w:t>4/11/2019</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1,388</w:t>
            </w: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2,776</w:t>
            </w:r>
          </w:p>
        </w:tc>
        <w:tc>
          <w:tcPr>
            <w:tcW w:w="540" w:type="dxa"/>
            <w:vAlign w:val="bottom"/>
          </w:tcPr>
          <w:p>
            <w:pPr>
              <w:jc w:val="right"/>
              <w:spacing w:after="0"/>
              <w:rPr>
                <w:sz w:val="20"/>
                <w:szCs w:val="20"/>
                <w:color w:val="auto"/>
              </w:rPr>
            </w:pPr>
            <w:r>
              <w:rPr>
                <w:rFonts w:ascii="Arial" w:cs="Arial" w:eastAsia="Arial" w:hAnsi="Arial"/>
                <w:sz w:val="14"/>
                <w:szCs w:val="14"/>
                <w:color w:val="auto"/>
              </w:rPr>
              <w:t>5,552</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143,464</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Stock</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00" w:type="dxa"/>
            <w:vAlign w:val="bottom"/>
          </w:tcPr>
          <w:p>
            <w:pPr>
              <w:spacing w:after="0"/>
              <w:rPr>
                <w:sz w:val="13"/>
                <w:szCs w:val="13"/>
                <w:color w:val="auto"/>
              </w:rPr>
            </w:pPr>
          </w:p>
        </w:tc>
        <w:tc>
          <w:tcPr>
            <w:tcW w:w="860" w:type="dxa"/>
            <w:vAlign w:val="bottom"/>
          </w:tcPr>
          <w:p>
            <w:pPr>
              <w:ind w:left="20"/>
              <w:spacing w:after="0" w:line="157" w:lineRule="exact"/>
              <w:rPr>
                <w:sz w:val="20"/>
                <w:szCs w:val="20"/>
                <w:color w:val="auto"/>
              </w:rPr>
            </w:pPr>
            <w:r>
              <w:rPr>
                <w:rFonts w:ascii="Arial" w:cs="Arial" w:eastAsia="Arial" w:hAnsi="Arial"/>
                <w:sz w:val="14"/>
                <w:szCs w:val="14"/>
                <w:color w:val="auto"/>
              </w:rPr>
              <w:t>Options</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4/11/2019</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12,209</w:t>
            </w: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51.68</w:t>
            </w:r>
          </w:p>
        </w:tc>
        <w:tc>
          <w:tcPr>
            <w:tcW w:w="780" w:type="dxa"/>
            <w:vAlign w:val="bottom"/>
          </w:tcPr>
          <w:p>
            <w:pPr>
              <w:jc w:val="right"/>
              <w:ind w:right="11"/>
              <w:spacing w:after="0" w:line="157" w:lineRule="exact"/>
              <w:rPr>
                <w:sz w:val="20"/>
                <w:szCs w:val="20"/>
                <w:color w:val="auto"/>
              </w:rPr>
            </w:pPr>
            <w:r>
              <w:rPr>
                <w:rFonts w:ascii="Arial" w:cs="Arial" w:eastAsia="Arial" w:hAnsi="Arial"/>
                <w:sz w:val="14"/>
                <w:szCs w:val="14"/>
                <w:color w:val="auto"/>
              </w:rPr>
              <w:t>204,989</w:t>
            </w:r>
          </w:p>
        </w:tc>
        <w:tc>
          <w:tcPr>
            <w:tcW w:w="0" w:type="dxa"/>
            <w:vAlign w:val="bottom"/>
          </w:tcPr>
          <w:p>
            <w:pPr>
              <w:spacing w:after="0"/>
              <w:rPr>
                <w:sz w:val="1"/>
                <w:szCs w:val="1"/>
                <w:color w:val="auto"/>
              </w:rPr>
            </w:pPr>
          </w:p>
        </w:tc>
      </w:tr>
      <w:tr>
        <w:trPr>
          <w:trHeight w:val="167"/>
        </w:trPr>
        <w:tc>
          <w:tcPr>
            <w:tcW w:w="1600" w:type="dxa"/>
            <w:vAlign w:val="bottom"/>
            <w:shd w:val="clear" w:color="auto" w:fill="E5E5E5"/>
          </w:tcPr>
          <w:p>
            <w:pPr>
              <w:ind w:left="60"/>
              <w:spacing w:after="0"/>
              <w:rPr>
                <w:sz w:val="20"/>
                <w:szCs w:val="20"/>
                <w:color w:val="auto"/>
              </w:rPr>
            </w:pPr>
            <w:r>
              <w:rPr>
                <w:rFonts w:ascii="Arial" w:cs="Arial" w:eastAsia="Arial" w:hAnsi="Arial"/>
                <w:sz w:val="14"/>
                <w:szCs w:val="14"/>
                <w:color w:val="auto"/>
              </w:rPr>
              <w:t>Margo L. Manning</w:t>
            </w:r>
          </w:p>
        </w:tc>
        <w:tc>
          <w:tcPr>
            <w:tcW w:w="860" w:type="dxa"/>
            <w:vAlign w:val="bottom"/>
            <w:shd w:val="clear" w:color="auto" w:fill="E5E5E5"/>
          </w:tcPr>
          <w:p>
            <w:pPr>
              <w:ind w:left="20"/>
              <w:spacing w:after="0"/>
              <w:rPr>
                <w:sz w:val="20"/>
                <w:szCs w:val="20"/>
                <w:color w:val="auto"/>
              </w:rPr>
            </w:pPr>
            <w:r>
              <w:rPr>
                <w:rFonts w:ascii="Arial" w:cs="Arial" w:eastAsia="Arial" w:hAnsi="Arial"/>
                <w:sz w:val="14"/>
                <w:szCs w:val="14"/>
                <w:color w:val="auto"/>
              </w:rPr>
              <w:t>Cash</w:t>
            </w:r>
          </w:p>
        </w:tc>
        <w:tc>
          <w:tcPr>
            <w:tcW w:w="80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74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540" w:type="dxa"/>
            <w:vAlign w:val="bottom"/>
            <w:shd w:val="clear" w:color="auto" w:fill="E5E5E5"/>
          </w:tcPr>
          <w:p>
            <w:pPr>
              <w:spacing w:after="0"/>
              <w:rPr>
                <w:sz w:val="14"/>
                <w:szCs w:val="14"/>
                <w:color w:val="auto"/>
              </w:rPr>
            </w:pPr>
          </w:p>
        </w:tc>
        <w:tc>
          <w:tcPr>
            <w:tcW w:w="108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7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00" w:type="dxa"/>
            <w:vAlign w:val="bottom"/>
            <w:shd w:val="clear" w:color="auto" w:fill="E5E5E5"/>
          </w:tcPr>
          <w:p>
            <w:pPr>
              <w:spacing w:after="0"/>
              <w:rPr>
                <w:sz w:val="13"/>
                <w:szCs w:val="13"/>
                <w:color w:val="auto"/>
              </w:rPr>
            </w:pPr>
          </w:p>
        </w:tc>
        <w:tc>
          <w:tcPr>
            <w:tcW w:w="860" w:type="dxa"/>
            <w:vAlign w:val="bottom"/>
            <w:shd w:val="clear" w:color="auto" w:fill="E5E5E5"/>
          </w:tcPr>
          <w:p>
            <w:pPr>
              <w:ind w:left="20"/>
              <w:spacing w:after="0" w:line="157" w:lineRule="exact"/>
              <w:rPr>
                <w:sz w:val="20"/>
                <w:szCs w:val="20"/>
                <w:color w:val="auto"/>
              </w:rPr>
            </w:pPr>
            <w:r>
              <w:rPr>
                <w:rFonts w:ascii="Arial" w:cs="Arial" w:eastAsia="Arial" w:hAnsi="Arial"/>
                <w:sz w:val="14"/>
                <w:szCs w:val="14"/>
                <w:color w:val="auto"/>
              </w:rPr>
              <w:t>Incentive(1)</w:t>
            </w:r>
          </w:p>
        </w:tc>
        <w:tc>
          <w:tcPr>
            <w:tcW w:w="8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N/A</w:t>
            </w:r>
          </w:p>
        </w:tc>
        <w:tc>
          <w:tcPr>
            <w:tcW w:w="760" w:type="dxa"/>
            <w:vAlign w:val="bottom"/>
            <w:shd w:val="clear" w:color="auto" w:fill="E5E5E5"/>
          </w:tcPr>
          <w:p>
            <w:pPr>
              <w:jc w:val="right"/>
              <w:ind w:right="11"/>
              <w:spacing w:after="0" w:line="157" w:lineRule="exact"/>
              <w:rPr>
                <w:sz w:val="20"/>
                <w:szCs w:val="20"/>
                <w:color w:val="auto"/>
              </w:rPr>
            </w:pPr>
            <w:r>
              <w:rPr>
                <w:rFonts w:ascii="Arial" w:cs="Arial" w:eastAsia="Arial" w:hAnsi="Arial"/>
                <w:sz w:val="14"/>
                <w:szCs w:val="14"/>
                <w:color w:val="auto"/>
              </w:rPr>
              <w:t>162,750</w:t>
            </w:r>
          </w:p>
        </w:tc>
        <w:tc>
          <w:tcPr>
            <w:tcW w:w="740" w:type="dxa"/>
            <w:vAlign w:val="bottom"/>
            <w:shd w:val="clear" w:color="auto" w:fill="E5E5E5"/>
          </w:tcPr>
          <w:p>
            <w:pPr>
              <w:jc w:val="right"/>
              <w:ind w:right="69"/>
              <w:spacing w:after="0" w:line="157" w:lineRule="exact"/>
              <w:rPr>
                <w:sz w:val="20"/>
                <w:szCs w:val="20"/>
                <w:color w:val="auto"/>
              </w:rPr>
            </w:pPr>
            <w:r>
              <w:rPr>
                <w:rFonts w:ascii="Arial" w:cs="Arial" w:eastAsia="Arial" w:hAnsi="Arial"/>
                <w:sz w:val="14"/>
                <w:szCs w:val="14"/>
                <w:color w:val="auto"/>
              </w:rPr>
              <w:t>372,000</w:t>
            </w:r>
          </w:p>
        </w:tc>
        <w:tc>
          <w:tcPr>
            <w:tcW w:w="6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744,000</w:t>
            </w:r>
          </w:p>
        </w:tc>
        <w:tc>
          <w:tcPr>
            <w:tcW w:w="20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108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7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E5E5E5"/>
          </w:tcPr>
          <w:p>
            <w:pPr>
              <w:spacing w:after="0"/>
              <w:rPr>
                <w:sz w:val="14"/>
                <w:szCs w:val="14"/>
                <w:color w:val="auto"/>
              </w:rPr>
            </w:pPr>
          </w:p>
        </w:tc>
        <w:tc>
          <w:tcPr>
            <w:tcW w:w="860" w:type="dxa"/>
            <w:vAlign w:val="bottom"/>
            <w:shd w:val="clear" w:color="auto" w:fill="E5E5E5"/>
          </w:tcPr>
          <w:p>
            <w:pPr>
              <w:ind w:left="20"/>
              <w:spacing w:after="0"/>
              <w:rPr>
                <w:sz w:val="20"/>
                <w:szCs w:val="20"/>
                <w:color w:val="auto"/>
              </w:rPr>
            </w:pPr>
            <w:r>
              <w:rPr>
                <w:rFonts w:ascii="Arial" w:cs="Arial" w:eastAsia="Arial" w:hAnsi="Arial"/>
                <w:sz w:val="14"/>
                <w:szCs w:val="14"/>
                <w:color w:val="auto"/>
              </w:rPr>
              <w:t>Performance</w:t>
            </w:r>
          </w:p>
        </w:tc>
        <w:tc>
          <w:tcPr>
            <w:tcW w:w="80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74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540" w:type="dxa"/>
            <w:vAlign w:val="bottom"/>
            <w:shd w:val="clear" w:color="auto" w:fill="E5E5E5"/>
          </w:tcPr>
          <w:p>
            <w:pPr>
              <w:spacing w:after="0"/>
              <w:rPr>
                <w:sz w:val="14"/>
                <w:szCs w:val="14"/>
                <w:color w:val="auto"/>
              </w:rPr>
            </w:pPr>
          </w:p>
        </w:tc>
        <w:tc>
          <w:tcPr>
            <w:tcW w:w="108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7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00" w:type="dxa"/>
            <w:vAlign w:val="bottom"/>
            <w:shd w:val="clear" w:color="auto" w:fill="E5E5E5"/>
          </w:tcPr>
          <w:p>
            <w:pPr>
              <w:spacing w:after="0"/>
              <w:rPr>
                <w:sz w:val="13"/>
                <w:szCs w:val="13"/>
                <w:color w:val="auto"/>
              </w:rPr>
            </w:pPr>
          </w:p>
        </w:tc>
        <w:tc>
          <w:tcPr>
            <w:tcW w:w="860" w:type="dxa"/>
            <w:vAlign w:val="bottom"/>
            <w:shd w:val="clear" w:color="auto" w:fill="E5E5E5"/>
          </w:tcPr>
          <w:p>
            <w:pPr>
              <w:ind w:left="20"/>
              <w:spacing w:after="0" w:line="157" w:lineRule="exact"/>
              <w:rPr>
                <w:sz w:val="20"/>
                <w:szCs w:val="20"/>
                <w:color w:val="auto"/>
              </w:rPr>
            </w:pPr>
            <w:r>
              <w:rPr>
                <w:rFonts w:ascii="Arial" w:cs="Arial" w:eastAsia="Arial" w:hAnsi="Arial"/>
                <w:sz w:val="14"/>
                <w:szCs w:val="14"/>
                <w:color w:val="auto"/>
              </w:rPr>
              <w:t>Cash(2)</w:t>
            </w:r>
          </w:p>
        </w:tc>
        <w:tc>
          <w:tcPr>
            <w:tcW w:w="8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4/11/2019</w:t>
            </w:r>
          </w:p>
        </w:tc>
        <w:tc>
          <w:tcPr>
            <w:tcW w:w="760" w:type="dxa"/>
            <w:vAlign w:val="bottom"/>
            <w:shd w:val="clear" w:color="auto" w:fill="E5E5E5"/>
          </w:tcPr>
          <w:p>
            <w:pPr>
              <w:jc w:val="right"/>
              <w:ind w:right="11"/>
              <w:spacing w:after="0" w:line="157" w:lineRule="exact"/>
              <w:rPr>
                <w:sz w:val="20"/>
                <w:szCs w:val="20"/>
                <w:color w:val="auto"/>
              </w:rPr>
            </w:pPr>
            <w:r>
              <w:rPr>
                <w:rFonts w:ascii="Arial" w:cs="Arial" w:eastAsia="Arial" w:hAnsi="Arial"/>
                <w:sz w:val="14"/>
                <w:szCs w:val="14"/>
                <w:color w:val="auto"/>
              </w:rPr>
              <w:t>52,800</w:t>
            </w:r>
          </w:p>
        </w:tc>
        <w:tc>
          <w:tcPr>
            <w:tcW w:w="740" w:type="dxa"/>
            <w:vAlign w:val="bottom"/>
            <w:shd w:val="clear" w:color="auto" w:fill="E5E5E5"/>
          </w:tcPr>
          <w:p>
            <w:pPr>
              <w:jc w:val="right"/>
              <w:ind w:right="69"/>
              <w:spacing w:after="0" w:line="157" w:lineRule="exact"/>
              <w:rPr>
                <w:sz w:val="20"/>
                <w:szCs w:val="20"/>
                <w:color w:val="auto"/>
              </w:rPr>
            </w:pPr>
            <w:r>
              <w:rPr>
                <w:rFonts w:ascii="Arial" w:cs="Arial" w:eastAsia="Arial" w:hAnsi="Arial"/>
                <w:sz w:val="14"/>
                <w:szCs w:val="14"/>
                <w:color w:val="auto"/>
              </w:rPr>
              <w:t>105,600</w:t>
            </w:r>
          </w:p>
        </w:tc>
        <w:tc>
          <w:tcPr>
            <w:tcW w:w="6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211,200</w:t>
            </w:r>
          </w:p>
        </w:tc>
        <w:tc>
          <w:tcPr>
            <w:tcW w:w="20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108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7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E5E5E5"/>
          </w:tcPr>
          <w:p>
            <w:pPr>
              <w:spacing w:after="0"/>
              <w:rPr>
                <w:sz w:val="14"/>
                <w:szCs w:val="14"/>
                <w:color w:val="auto"/>
              </w:rPr>
            </w:pPr>
          </w:p>
        </w:tc>
        <w:tc>
          <w:tcPr>
            <w:tcW w:w="860" w:type="dxa"/>
            <w:vAlign w:val="bottom"/>
            <w:shd w:val="clear" w:color="auto" w:fill="E5E5E5"/>
          </w:tcPr>
          <w:p>
            <w:pPr>
              <w:ind w:left="20"/>
              <w:spacing w:after="0"/>
              <w:rPr>
                <w:sz w:val="20"/>
                <w:szCs w:val="20"/>
                <w:color w:val="auto"/>
              </w:rPr>
            </w:pPr>
            <w:r>
              <w:rPr>
                <w:rFonts w:ascii="Arial" w:cs="Arial" w:eastAsia="Arial" w:hAnsi="Arial"/>
                <w:sz w:val="14"/>
                <w:szCs w:val="14"/>
                <w:color w:val="auto"/>
              </w:rPr>
              <w:t>RSUs(3)</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4/11/2019</w:t>
            </w:r>
          </w:p>
        </w:tc>
        <w:tc>
          <w:tcPr>
            <w:tcW w:w="760" w:type="dxa"/>
            <w:vAlign w:val="bottom"/>
            <w:shd w:val="clear" w:color="auto" w:fill="E5E5E5"/>
          </w:tcPr>
          <w:p>
            <w:pPr>
              <w:spacing w:after="0"/>
              <w:rPr>
                <w:sz w:val="14"/>
                <w:szCs w:val="14"/>
                <w:color w:val="auto"/>
              </w:rPr>
            </w:pPr>
          </w:p>
        </w:tc>
        <w:tc>
          <w:tcPr>
            <w:tcW w:w="74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760" w:type="dxa"/>
            <w:vAlign w:val="bottom"/>
            <w:shd w:val="clear" w:color="auto" w:fill="E5E5E5"/>
          </w:tcPr>
          <w:p>
            <w:pPr>
              <w:jc w:val="right"/>
              <w:ind w:right="13"/>
              <w:spacing w:after="0"/>
              <w:rPr>
                <w:sz w:val="20"/>
                <w:szCs w:val="20"/>
                <w:color w:val="auto"/>
              </w:rPr>
            </w:pPr>
            <w:r>
              <w:rPr>
                <w:rFonts w:ascii="Arial" w:cs="Arial" w:eastAsia="Arial" w:hAnsi="Arial"/>
                <w:sz w:val="14"/>
                <w:szCs w:val="14"/>
                <w:color w:val="auto"/>
              </w:rPr>
              <w:t>2,384</w:t>
            </w:r>
          </w:p>
        </w:tc>
        <w:tc>
          <w:tcPr>
            <w:tcW w:w="720" w:type="dxa"/>
            <w:vAlign w:val="bottom"/>
            <w:shd w:val="clear" w:color="auto" w:fill="E5E5E5"/>
          </w:tcPr>
          <w:p>
            <w:pPr>
              <w:jc w:val="right"/>
              <w:ind w:right="130"/>
              <w:spacing w:after="0"/>
              <w:rPr>
                <w:sz w:val="20"/>
                <w:szCs w:val="20"/>
                <w:color w:val="auto"/>
              </w:rPr>
            </w:pPr>
            <w:r>
              <w:rPr>
                <w:rFonts w:ascii="Arial" w:cs="Arial" w:eastAsia="Arial" w:hAnsi="Arial"/>
                <w:sz w:val="14"/>
                <w:szCs w:val="14"/>
                <w:color w:val="auto"/>
              </w:rPr>
              <w:t>4,767</w:t>
            </w: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9,534</w:t>
            </w:r>
          </w:p>
        </w:tc>
        <w:tc>
          <w:tcPr>
            <w:tcW w:w="108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780" w:type="dxa"/>
            <w:vAlign w:val="bottom"/>
            <w:shd w:val="clear" w:color="auto" w:fill="E5E5E5"/>
          </w:tcPr>
          <w:p>
            <w:pPr>
              <w:jc w:val="right"/>
              <w:ind w:right="11"/>
              <w:spacing w:after="0"/>
              <w:rPr>
                <w:sz w:val="20"/>
                <w:szCs w:val="20"/>
                <w:color w:val="auto"/>
              </w:rPr>
            </w:pPr>
            <w:r>
              <w:rPr>
                <w:rFonts w:ascii="Arial" w:cs="Arial" w:eastAsia="Arial" w:hAnsi="Arial"/>
                <w:sz w:val="14"/>
                <w:szCs w:val="14"/>
                <w:color w:val="auto"/>
              </w:rPr>
              <w:t>246,359</w:t>
            </w:r>
          </w:p>
        </w:tc>
        <w:tc>
          <w:tcPr>
            <w:tcW w:w="0" w:type="dxa"/>
            <w:vAlign w:val="bottom"/>
          </w:tcPr>
          <w:p>
            <w:pPr>
              <w:spacing w:after="0"/>
              <w:rPr>
                <w:sz w:val="1"/>
                <w:szCs w:val="1"/>
                <w:color w:val="auto"/>
              </w:rPr>
            </w:pPr>
          </w:p>
        </w:tc>
      </w:tr>
      <w:tr>
        <w:trPr>
          <w:trHeight w:val="167"/>
        </w:trPr>
        <w:tc>
          <w:tcPr>
            <w:tcW w:w="1600" w:type="dxa"/>
            <w:vAlign w:val="bottom"/>
            <w:shd w:val="clear" w:color="auto" w:fill="E5E5E5"/>
          </w:tcPr>
          <w:p>
            <w:pPr>
              <w:spacing w:after="0"/>
              <w:rPr>
                <w:sz w:val="14"/>
                <w:szCs w:val="14"/>
                <w:color w:val="auto"/>
              </w:rPr>
            </w:pPr>
          </w:p>
        </w:tc>
        <w:tc>
          <w:tcPr>
            <w:tcW w:w="860" w:type="dxa"/>
            <w:vAlign w:val="bottom"/>
            <w:shd w:val="clear" w:color="auto" w:fill="E5E5E5"/>
          </w:tcPr>
          <w:p>
            <w:pPr>
              <w:ind w:left="20"/>
              <w:spacing w:after="0"/>
              <w:rPr>
                <w:sz w:val="20"/>
                <w:szCs w:val="20"/>
                <w:color w:val="auto"/>
              </w:rPr>
            </w:pPr>
            <w:r>
              <w:rPr>
                <w:rFonts w:ascii="Arial" w:cs="Arial" w:eastAsia="Arial" w:hAnsi="Arial"/>
                <w:sz w:val="14"/>
                <w:szCs w:val="14"/>
                <w:color w:val="auto"/>
              </w:rPr>
              <w:t>Stock</w:t>
            </w:r>
          </w:p>
        </w:tc>
        <w:tc>
          <w:tcPr>
            <w:tcW w:w="80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74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540" w:type="dxa"/>
            <w:vAlign w:val="bottom"/>
            <w:shd w:val="clear" w:color="auto" w:fill="E5E5E5"/>
          </w:tcPr>
          <w:p>
            <w:pPr>
              <w:spacing w:after="0"/>
              <w:rPr>
                <w:sz w:val="14"/>
                <w:szCs w:val="14"/>
                <w:color w:val="auto"/>
              </w:rPr>
            </w:pPr>
          </w:p>
        </w:tc>
        <w:tc>
          <w:tcPr>
            <w:tcW w:w="108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7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00" w:type="dxa"/>
            <w:vAlign w:val="bottom"/>
            <w:shd w:val="clear" w:color="auto" w:fill="E5E5E5"/>
          </w:tcPr>
          <w:p>
            <w:pPr>
              <w:spacing w:after="0"/>
              <w:rPr>
                <w:sz w:val="13"/>
                <w:szCs w:val="13"/>
                <w:color w:val="auto"/>
              </w:rPr>
            </w:pPr>
          </w:p>
        </w:tc>
        <w:tc>
          <w:tcPr>
            <w:tcW w:w="860" w:type="dxa"/>
            <w:vAlign w:val="bottom"/>
            <w:shd w:val="clear" w:color="auto" w:fill="E5E5E5"/>
          </w:tcPr>
          <w:p>
            <w:pPr>
              <w:ind w:left="20"/>
              <w:spacing w:after="0" w:line="157" w:lineRule="exact"/>
              <w:rPr>
                <w:sz w:val="20"/>
                <w:szCs w:val="20"/>
                <w:color w:val="auto"/>
              </w:rPr>
            </w:pPr>
            <w:r>
              <w:rPr>
                <w:rFonts w:ascii="Arial" w:cs="Arial" w:eastAsia="Arial" w:hAnsi="Arial"/>
                <w:sz w:val="14"/>
                <w:szCs w:val="14"/>
                <w:color w:val="auto"/>
              </w:rPr>
              <w:t>Options</w:t>
            </w:r>
          </w:p>
        </w:tc>
        <w:tc>
          <w:tcPr>
            <w:tcW w:w="8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4/11/2019</w:t>
            </w:r>
          </w:p>
        </w:tc>
        <w:tc>
          <w:tcPr>
            <w:tcW w:w="76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108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20,964</w:t>
            </w:r>
          </w:p>
        </w:tc>
        <w:tc>
          <w:tcPr>
            <w:tcW w:w="6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51.68</w:t>
            </w:r>
          </w:p>
        </w:tc>
        <w:tc>
          <w:tcPr>
            <w:tcW w:w="780" w:type="dxa"/>
            <w:vAlign w:val="bottom"/>
            <w:shd w:val="clear" w:color="auto" w:fill="E5E5E5"/>
          </w:tcPr>
          <w:p>
            <w:pPr>
              <w:jc w:val="right"/>
              <w:ind w:right="11"/>
              <w:spacing w:after="0" w:line="157" w:lineRule="exact"/>
              <w:rPr>
                <w:sz w:val="20"/>
                <w:szCs w:val="20"/>
                <w:color w:val="auto"/>
              </w:rPr>
            </w:pPr>
            <w:r>
              <w:rPr>
                <w:rFonts w:ascii="Arial" w:cs="Arial" w:eastAsia="Arial" w:hAnsi="Arial"/>
                <w:sz w:val="14"/>
                <w:szCs w:val="14"/>
                <w:color w:val="auto"/>
              </w:rPr>
              <w:t>351,986</w:t>
            </w:r>
          </w:p>
        </w:tc>
        <w:tc>
          <w:tcPr>
            <w:tcW w:w="0" w:type="dxa"/>
            <w:vAlign w:val="bottom"/>
          </w:tcPr>
          <w:p>
            <w:pPr>
              <w:spacing w:after="0"/>
              <w:rPr>
                <w:sz w:val="1"/>
                <w:szCs w:val="1"/>
                <w:color w:val="auto"/>
              </w:rPr>
            </w:pPr>
          </w:p>
        </w:tc>
      </w:tr>
      <w:tr>
        <w:trPr>
          <w:trHeight w:val="167"/>
        </w:trPr>
        <w:tc>
          <w:tcPr>
            <w:tcW w:w="1600" w:type="dxa"/>
            <w:vAlign w:val="bottom"/>
          </w:tcPr>
          <w:p>
            <w:pPr>
              <w:ind w:left="60"/>
              <w:spacing w:after="0"/>
              <w:rPr>
                <w:sz w:val="20"/>
                <w:szCs w:val="20"/>
                <w:color w:val="auto"/>
              </w:rPr>
            </w:pPr>
            <w:r>
              <w:rPr>
                <w:rFonts w:ascii="Arial" w:cs="Arial" w:eastAsia="Arial" w:hAnsi="Arial"/>
                <w:sz w:val="14"/>
                <w:szCs w:val="14"/>
                <w:color w:val="auto"/>
              </w:rPr>
              <w:t>John B. Mulleady</w:t>
            </w:r>
          </w:p>
        </w:tc>
        <w:tc>
          <w:tcPr>
            <w:tcW w:w="860" w:type="dxa"/>
            <w:vAlign w:val="bottom"/>
          </w:tcPr>
          <w:p>
            <w:pPr>
              <w:ind w:left="20"/>
              <w:spacing w:after="0"/>
              <w:rPr>
                <w:sz w:val="20"/>
                <w:szCs w:val="20"/>
                <w:color w:val="auto"/>
              </w:rPr>
            </w:pPr>
            <w:r>
              <w:rPr>
                <w:rFonts w:ascii="Arial" w:cs="Arial" w:eastAsia="Arial" w:hAnsi="Arial"/>
                <w:sz w:val="14"/>
                <w:szCs w:val="14"/>
                <w:color w:val="auto"/>
              </w:rPr>
              <w:t>Cash</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Incentive(1)</w:t>
            </w:r>
          </w:p>
        </w:tc>
        <w:tc>
          <w:tcPr>
            <w:tcW w:w="800" w:type="dxa"/>
            <w:vAlign w:val="bottom"/>
          </w:tcPr>
          <w:p>
            <w:pPr>
              <w:jc w:val="right"/>
              <w:spacing w:after="0"/>
              <w:rPr>
                <w:sz w:val="20"/>
                <w:szCs w:val="20"/>
                <w:color w:val="auto"/>
              </w:rPr>
            </w:pPr>
            <w:r>
              <w:rPr>
                <w:rFonts w:ascii="Arial" w:cs="Arial" w:eastAsia="Arial" w:hAnsi="Arial"/>
                <w:sz w:val="14"/>
                <w:szCs w:val="14"/>
                <w:color w:val="auto"/>
              </w:rPr>
              <w:t>N/A</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77,456</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247,200</w:t>
            </w:r>
          </w:p>
        </w:tc>
        <w:tc>
          <w:tcPr>
            <w:tcW w:w="680" w:type="dxa"/>
            <w:vAlign w:val="bottom"/>
          </w:tcPr>
          <w:p>
            <w:pPr>
              <w:jc w:val="right"/>
              <w:spacing w:after="0"/>
              <w:rPr>
                <w:sz w:val="20"/>
                <w:szCs w:val="20"/>
                <w:color w:val="auto"/>
              </w:rPr>
            </w:pPr>
            <w:r>
              <w:rPr>
                <w:rFonts w:ascii="Arial" w:cs="Arial" w:eastAsia="Arial" w:hAnsi="Arial"/>
                <w:sz w:val="14"/>
                <w:szCs w:val="14"/>
                <w:color w:val="auto"/>
              </w:rPr>
              <w:t>494,400</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Cash(2)</w:t>
            </w:r>
          </w:p>
        </w:tc>
        <w:tc>
          <w:tcPr>
            <w:tcW w:w="800" w:type="dxa"/>
            <w:vAlign w:val="bottom"/>
          </w:tcPr>
          <w:p>
            <w:pPr>
              <w:jc w:val="right"/>
              <w:spacing w:after="0"/>
              <w:rPr>
                <w:sz w:val="20"/>
                <w:szCs w:val="20"/>
                <w:color w:val="auto"/>
              </w:rPr>
            </w:pPr>
            <w:r>
              <w:rPr>
                <w:rFonts w:ascii="Arial" w:cs="Arial" w:eastAsia="Arial" w:hAnsi="Arial"/>
                <w:sz w:val="14"/>
                <w:szCs w:val="14"/>
                <w:color w:val="auto"/>
              </w:rPr>
              <w:t>4/11/2019</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37,080</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74,160</w:t>
            </w:r>
          </w:p>
        </w:tc>
        <w:tc>
          <w:tcPr>
            <w:tcW w:w="680" w:type="dxa"/>
            <w:vAlign w:val="bottom"/>
          </w:tcPr>
          <w:p>
            <w:pPr>
              <w:jc w:val="right"/>
              <w:spacing w:after="0"/>
              <w:rPr>
                <w:sz w:val="20"/>
                <w:szCs w:val="20"/>
                <w:color w:val="auto"/>
              </w:rPr>
            </w:pPr>
            <w:r>
              <w:rPr>
                <w:rFonts w:ascii="Arial" w:cs="Arial" w:eastAsia="Arial" w:hAnsi="Arial"/>
                <w:sz w:val="14"/>
                <w:szCs w:val="14"/>
                <w:color w:val="auto"/>
              </w:rPr>
              <w:t>148,320</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RSUs(3)</w:t>
            </w:r>
          </w:p>
        </w:tc>
        <w:tc>
          <w:tcPr>
            <w:tcW w:w="800" w:type="dxa"/>
            <w:vAlign w:val="bottom"/>
          </w:tcPr>
          <w:p>
            <w:pPr>
              <w:jc w:val="right"/>
              <w:spacing w:after="0"/>
              <w:rPr>
                <w:sz w:val="20"/>
                <w:szCs w:val="20"/>
                <w:color w:val="auto"/>
              </w:rPr>
            </w:pPr>
            <w:r>
              <w:rPr>
                <w:rFonts w:ascii="Arial" w:cs="Arial" w:eastAsia="Arial" w:hAnsi="Arial"/>
                <w:sz w:val="14"/>
                <w:szCs w:val="14"/>
                <w:color w:val="auto"/>
              </w:rPr>
              <w:t>4/11/2019</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1,674</w:t>
            </w: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3,348</w:t>
            </w:r>
          </w:p>
        </w:tc>
        <w:tc>
          <w:tcPr>
            <w:tcW w:w="540" w:type="dxa"/>
            <w:vAlign w:val="bottom"/>
          </w:tcPr>
          <w:p>
            <w:pPr>
              <w:jc w:val="right"/>
              <w:spacing w:after="0"/>
              <w:rPr>
                <w:sz w:val="20"/>
                <w:szCs w:val="20"/>
                <w:color w:val="auto"/>
              </w:rPr>
            </w:pPr>
            <w:r>
              <w:rPr>
                <w:rFonts w:ascii="Arial" w:cs="Arial" w:eastAsia="Arial" w:hAnsi="Arial"/>
                <w:sz w:val="14"/>
                <w:szCs w:val="14"/>
                <w:color w:val="auto"/>
              </w:rPr>
              <w:t>6,696</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173,025</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Stock</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00" w:type="dxa"/>
            <w:vAlign w:val="bottom"/>
            <w:tcBorders>
              <w:bottom w:val="single" w:sz="8" w:color="003B71"/>
            </w:tcBorders>
          </w:tcPr>
          <w:p>
            <w:pPr>
              <w:spacing w:after="0"/>
              <w:rPr>
                <w:sz w:val="13"/>
                <w:szCs w:val="13"/>
                <w:color w:val="auto"/>
              </w:rPr>
            </w:pPr>
          </w:p>
        </w:tc>
        <w:tc>
          <w:tcPr>
            <w:tcW w:w="860" w:type="dxa"/>
            <w:vAlign w:val="bottom"/>
            <w:tcBorders>
              <w:bottom w:val="single" w:sz="8" w:color="003B71"/>
            </w:tcBorders>
          </w:tcPr>
          <w:p>
            <w:pPr>
              <w:ind w:left="20"/>
              <w:spacing w:after="0" w:line="157" w:lineRule="exact"/>
              <w:rPr>
                <w:sz w:val="20"/>
                <w:szCs w:val="20"/>
                <w:color w:val="auto"/>
              </w:rPr>
            </w:pPr>
            <w:r>
              <w:rPr>
                <w:rFonts w:ascii="Arial" w:cs="Arial" w:eastAsia="Arial" w:hAnsi="Arial"/>
                <w:sz w:val="14"/>
                <w:szCs w:val="14"/>
                <w:color w:val="auto"/>
              </w:rPr>
              <w:t>Options</w:t>
            </w:r>
          </w:p>
        </w:tc>
        <w:tc>
          <w:tcPr>
            <w:tcW w:w="800" w:type="dxa"/>
            <w:vAlign w:val="bottom"/>
            <w:tcBorders>
              <w:bottom w:val="single" w:sz="8" w:color="003B71"/>
            </w:tcBorders>
          </w:tcPr>
          <w:p>
            <w:pPr>
              <w:jc w:val="right"/>
              <w:spacing w:after="0" w:line="157" w:lineRule="exact"/>
              <w:rPr>
                <w:sz w:val="20"/>
                <w:szCs w:val="20"/>
                <w:color w:val="auto"/>
              </w:rPr>
            </w:pPr>
            <w:r>
              <w:rPr>
                <w:rFonts w:ascii="Arial" w:cs="Arial" w:eastAsia="Arial" w:hAnsi="Arial"/>
                <w:sz w:val="14"/>
                <w:szCs w:val="14"/>
                <w:color w:val="auto"/>
              </w:rPr>
              <w:t>4/11/2019</w:t>
            </w:r>
          </w:p>
        </w:tc>
        <w:tc>
          <w:tcPr>
            <w:tcW w:w="760" w:type="dxa"/>
            <w:vAlign w:val="bottom"/>
            <w:tcBorders>
              <w:bottom w:val="single" w:sz="8" w:color="003B71"/>
            </w:tcBorders>
          </w:tcPr>
          <w:p>
            <w:pPr>
              <w:spacing w:after="0"/>
              <w:rPr>
                <w:sz w:val="13"/>
                <w:szCs w:val="13"/>
                <w:color w:val="auto"/>
              </w:rPr>
            </w:pPr>
          </w:p>
        </w:tc>
        <w:tc>
          <w:tcPr>
            <w:tcW w:w="740" w:type="dxa"/>
            <w:vAlign w:val="bottom"/>
            <w:tcBorders>
              <w:bottom w:val="single" w:sz="8" w:color="003B71"/>
            </w:tcBorders>
          </w:tcPr>
          <w:p>
            <w:pPr>
              <w:spacing w:after="0"/>
              <w:rPr>
                <w:sz w:val="13"/>
                <w:szCs w:val="13"/>
                <w:color w:val="auto"/>
              </w:rPr>
            </w:pPr>
          </w:p>
        </w:tc>
        <w:tc>
          <w:tcPr>
            <w:tcW w:w="680" w:type="dxa"/>
            <w:vAlign w:val="bottom"/>
            <w:tcBorders>
              <w:bottom w:val="single" w:sz="8" w:color="003B71"/>
            </w:tcBorders>
          </w:tcPr>
          <w:p>
            <w:pPr>
              <w:spacing w:after="0"/>
              <w:rPr>
                <w:sz w:val="13"/>
                <w:szCs w:val="13"/>
                <w:color w:val="auto"/>
              </w:rPr>
            </w:pPr>
          </w:p>
        </w:tc>
        <w:tc>
          <w:tcPr>
            <w:tcW w:w="200" w:type="dxa"/>
            <w:vAlign w:val="bottom"/>
            <w:tcBorders>
              <w:bottom w:val="single" w:sz="8" w:color="003B71"/>
            </w:tcBorders>
          </w:tcPr>
          <w:p>
            <w:pPr>
              <w:spacing w:after="0"/>
              <w:rPr>
                <w:sz w:val="13"/>
                <w:szCs w:val="13"/>
                <w:color w:val="auto"/>
              </w:rPr>
            </w:pPr>
          </w:p>
        </w:tc>
        <w:tc>
          <w:tcPr>
            <w:tcW w:w="760" w:type="dxa"/>
            <w:vAlign w:val="bottom"/>
            <w:tcBorders>
              <w:bottom w:val="single" w:sz="8" w:color="003B71"/>
            </w:tcBorders>
          </w:tcPr>
          <w:p>
            <w:pPr>
              <w:spacing w:after="0"/>
              <w:rPr>
                <w:sz w:val="13"/>
                <w:szCs w:val="13"/>
                <w:color w:val="auto"/>
              </w:rPr>
            </w:pPr>
          </w:p>
        </w:tc>
        <w:tc>
          <w:tcPr>
            <w:tcW w:w="720" w:type="dxa"/>
            <w:vAlign w:val="bottom"/>
            <w:tcBorders>
              <w:bottom w:val="single" w:sz="8" w:color="003B71"/>
            </w:tcBorders>
          </w:tcPr>
          <w:p>
            <w:pPr>
              <w:spacing w:after="0"/>
              <w:rPr>
                <w:sz w:val="13"/>
                <w:szCs w:val="13"/>
                <w:color w:val="auto"/>
              </w:rPr>
            </w:pPr>
          </w:p>
        </w:tc>
        <w:tc>
          <w:tcPr>
            <w:tcW w:w="540" w:type="dxa"/>
            <w:vAlign w:val="bottom"/>
            <w:tcBorders>
              <w:bottom w:val="single" w:sz="8" w:color="003B71"/>
            </w:tcBorders>
          </w:tcPr>
          <w:p>
            <w:pPr>
              <w:spacing w:after="0"/>
              <w:rPr>
                <w:sz w:val="13"/>
                <w:szCs w:val="13"/>
                <w:color w:val="auto"/>
              </w:rPr>
            </w:pPr>
          </w:p>
        </w:tc>
        <w:tc>
          <w:tcPr>
            <w:tcW w:w="1080" w:type="dxa"/>
            <w:vAlign w:val="bottom"/>
            <w:tcBorders>
              <w:bottom w:val="single" w:sz="8" w:color="003B71"/>
            </w:tcBorders>
          </w:tcPr>
          <w:p>
            <w:pPr>
              <w:spacing w:after="0"/>
              <w:rPr>
                <w:sz w:val="13"/>
                <w:szCs w:val="13"/>
                <w:color w:val="auto"/>
              </w:rPr>
            </w:pPr>
          </w:p>
        </w:tc>
        <w:tc>
          <w:tcPr>
            <w:tcW w:w="860" w:type="dxa"/>
            <w:vAlign w:val="bottom"/>
            <w:tcBorders>
              <w:bottom w:val="single" w:sz="8" w:color="003B71"/>
            </w:tcBorders>
          </w:tcPr>
          <w:p>
            <w:pPr>
              <w:jc w:val="right"/>
              <w:spacing w:after="0" w:line="157" w:lineRule="exact"/>
              <w:rPr>
                <w:sz w:val="20"/>
                <w:szCs w:val="20"/>
                <w:color w:val="auto"/>
              </w:rPr>
            </w:pPr>
            <w:r>
              <w:rPr>
                <w:rFonts w:ascii="Arial" w:cs="Arial" w:eastAsia="Arial" w:hAnsi="Arial"/>
                <w:sz w:val="14"/>
                <w:szCs w:val="14"/>
                <w:color w:val="auto"/>
              </w:rPr>
              <w:t>14,723</w:t>
            </w:r>
          </w:p>
        </w:tc>
        <w:tc>
          <w:tcPr>
            <w:tcW w:w="640" w:type="dxa"/>
            <w:vAlign w:val="bottom"/>
            <w:tcBorders>
              <w:bottom w:val="single" w:sz="8" w:color="003B71"/>
            </w:tcBorders>
          </w:tcPr>
          <w:p>
            <w:pPr>
              <w:jc w:val="right"/>
              <w:spacing w:after="0" w:line="157" w:lineRule="exact"/>
              <w:rPr>
                <w:sz w:val="20"/>
                <w:szCs w:val="20"/>
                <w:color w:val="auto"/>
              </w:rPr>
            </w:pPr>
            <w:r>
              <w:rPr>
                <w:rFonts w:ascii="Arial" w:cs="Arial" w:eastAsia="Arial" w:hAnsi="Arial"/>
                <w:sz w:val="14"/>
                <w:szCs w:val="14"/>
                <w:color w:val="auto"/>
              </w:rPr>
              <w:t>51.68</w:t>
            </w:r>
          </w:p>
        </w:tc>
        <w:tc>
          <w:tcPr>
            <w:tcW w:w="780" w:type="dxa"/>
            <w:vAlign w:val="bottom"/>
            <w:tcBorders>
              <w:bottom w:val="single" w:sz="8" w:color="003B71"/>
            </w:tcBorders>
          </w:tcPr>
          <w:p>
            <w:pPr>
              <w:jc w:val="right"/>
              <w:ind w:right="11"/>
              <w:spacing w:after="0" w:line="157" w:lineRule="exact"/>
              <w:rPr>
                <w:sz w:val="20"/>
                <w:szCs w:val="20"/>
                <w:color w:val="auto"/>
              </w:rPr>
            </w:pPr>
            <w:r>
              <w:rPr>
                <w:rFonts w:ascii="Arial" w:cs="Arial" w:eastAsia="Arial" w:hAnsi="Arial"/>
                <w:sz w:val="14"/>
                <w:szCs w:val="14"/>
                <w:color w:val="auto"/>
              </w:rPr>
              <w:t>247,199</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540" w:right="20" w:hanging="424"/>
        <w:spacing w:after="0" w:line="260" w:lineRule="auto"/>
        <w:tabs>
          <w:tab w:leader="none" w:pos="5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Reflect annual Executive Incentive Plan award opportunity described under “Annual Incentive Awards” above and actual payouts are recorded under “Non-Equity Incentive Plan Compensation” in the “2019 Summary Compensation Table.”</w:t>
      </w:r>
    </w:p>
    <w:p>
      <w:pPr>
        <w:spacing w:after="0" w:line="11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47</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540" w:right="20" w:hanging="424"/>
        <w:spacing w:after="0" w:line="253" w:lineRule="auto"/>
        <w:tabs>
          <w:tab w:leader="none" w:pos="5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amounts shown in the “Threshold” column reflect the minimum payment level under the Company’s Performance Cash component of the LTIP. The minimum award level is 50% of target (“Target”) and the maximum award is 200% of target (“Maximum”). Threshold is represented with the minimum possible payout, but zero payout is possible if threshold performance measures are not met.</w:t>
      </w:r>
    </w:p>
    <w:p>
      <w:pPr>
        <w:spacing w:after="0" w:line="66" w:lineRule="exact"/>
        <w:rPr>
          <w:rFonts w:ascii="Arial" w:cs="Arial" w:eastAsia="Arial" w:hAnsi="Arial"/>
          <w:sz w:val="16"/>
          <w:szCs w:val="16"/>
          <w:color w:val="auto"/>
        </w:rPr>
      </w:pPr>
    </w:p>
    <w:p>
      <w:pPr>
        <w:jc w:val="both"/>
        <w:ind w:left="540" w:right="20" w:hanging="424"/>
        <w:spacing w:after="0" w:line="253" w:lineRule="auto"/>
        <w:tabs>
          <w:tab w:leader="none" w:pos="5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shares shown in the “Threshold” column reflect the minimum payment level under the Company’s RSU component of the 2014 Stock Incentive Plan. The minimum award level is 50% of target (“Target”) and the maximum award is 200% of target (“Maximum”). Threshold is represented with the minimum possible payout, but zero payout is possible if threshold performance measures are not met.</w:t>
      </w:r>
    </w:p>
    <w:p>
      <w:pPr>
        <w:spacing w:after="0" w:line="122"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48</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Outstanding Equity Awards at Fiscal Year-End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220" w:type="dxa"/>
            <w:vAlign w:val="bottom"/>
          </w:tcPr>
          <w:p>
            <w:pPr>
              <w:spacing w:after="0"/>
              <w:rPr>
                <w:sz w:val="15"/>
                <w:szCs w:val="15"/>
                <w:color w:val="auto"/>
              </w:rPr>
            </w:pPr>
          </w:p>
        </w:tc>
        <w:tc>
          <w:tcPr>
            <w:tcW w:w="320" w:type="dxa"/>
            <w:vAlign w:val="bottom"/>
            <w:tcBorders>
              <w:bottom w:val="single" w:sz="8" w:color="003B71"/>
            </w:tcBorders>
          </w:tcPr>
          <w:p>
            <w:pPr>
              <w:spacing w:after="0"/>
              <w:rPr>
                <w:sz w:val="15"/>
                <w:szCs w:val="15"/>
                <w:color w:val="auto"/>
              </w:rPr>
            </w:pPr>
          </w:p>
        </w:tc>
        <w:tc>
          <w:tcPr>
            <w:tcW w:w="1160" w:type="dxa"/>
            <w:vAlign w:val="bottom"/>
            <w:tcBorders>
              <w:bottom w:val="single" w:sz="8" w:color="003B71"/>
            </w:tcBorders>
          </w:tcPr>
          <w:p>
            <w:pPr>
              <w:spacing w:after="0"/>
              <w:rPr>
                <w:sz w:val="15"/>
                <w:szCs w:val="15"/>
                <w:color w:val="auto"/>
              </w:rPr>
            </w:pPr>
          </w:p>
        </w:tc>
        <w:tc>
          <w:tcPr>
            <w:tcW w:w="1800" w:type="dxa"/>
            <w:vAlign w:val="bottom"/>
            <w:tcBorders>
              <w:bottom w:val="single" w:sz="8" w:color="003B71"/>
            </w:tcBorders>
          </w:tcPr>
          <w:p>
            <w:pPr>
              <w:jc w:val="right"/>
              <w:ind w:right="8"/>
              <w:spacing w:after="0"/>
              <w:rPr>
                <w:sz w:val="20"/>
                <w:szCs w:val="20"/>
                <w:color w:val="auto"/>
              </w:rPr>
            </w:pPr>
            <w:r>
              <w:rPr>
                <w:rFonts w:ascii="Arial" w:cs="Arial" w:eastAsia="Arial" w:hAnsi="Arial"/>
                <w:sz w:val="14"/>
                <w:szCs w:val="14"/>
                <w:b w:val="1"/>
                <w:bCs w:val="1"/>
                <w:color w:val="003B71"/>
              </w:rPr>
              <w:t>Option Awards</w:t>
            </w:r>
          </w:p>
        </w:tc>
        <w:tc>
          <w:tcPr>
            <w:tcW w:w="900" w:type="dxa"/>
            <w:vAlign w:val="bottom"/>
            <w:tcBorders>
              <w:bottom w:val="single" w:sz="8" w:color="003B71"/>
            </w:tcBorders>
          </w:tcPr>
          <w:p>
            <w:pPr>
              <w:spacing w:after="0"/>
              <w:rPr>
                <w:sz w:val="15"/>
                <w:szCs w:val="15"/>
                <w:color w:val="auto"/>
              </w:rPr>
            </w:pPr>
          </w:p>
        </w:tc>
        <w:tc>
          <w:tcPr>
            <w:tcW w:w="1080" w:type="dxa"/>
            <w:vAlign w:val="bottom"/>
            <w:tcBorders>
              <w:bottom w:val="single" w:sz="8" w:color="003B71"/>
            </w:tcBorders>
          </w:tcPr>
          <w:p>
            <w:pPr>
              <w:spacing w:after="0"/>
              <w:rPr>
                <w:sz w:val="15"/>
                <w:szCs w:val="15"/>
                <w:color w:val="auto"/>
              </w:rPr>
            </w:pPr>
          </w:p>
        </w:tc>
        <w:tc>
          <w:tcPr>
            <w:tcW w:w="340" w:type="dxa"/>
            <w:vAlign w:val="bottom"/>
          </w:tcPr>
          <w:p>
            <w:pPr>
              <w:spacing w:after="0"/>
              <w:rPr>
                <w:sz w:val="15"/>
                <w:szCs w:val="15"/>
                <w:color w:val="auto"/>
              </w:rPr>
            </w:pPr>
          </w:p>
        </w:tc>
        <w:tc>
          <w:tcPr>
            <w:tcW w:w="3200" w:type="dxa"/>
            <w:vAlign w:val="bottom"/>
            <w:tcBorders>
              <w:bottom w:val="single" w:sz="8" w:color="003B71"/>
            </w:tcBorders>
            <w:gridSpan w:val="2"/>
          </w:tcPr>
          <w:p>
            <w:pPr>
              <w:jc w:val="right"/>
              <w:ind w:right="988"/>
              <w:spacing w:after="0"/>
              <w:rPr>
                <w:sz w:val="20"/>
                <w:szCs w:val="20"/>
                <w:color w:val="auto"/>
              </w:rPr>
            </w:pPr>
            <w:r>
              <w:rPr>
                <w:rFonts w:ascii="Arial" w:cs="Arial" w:eastAsia="Arial" w:hAnsi="Arial"/>
                <w:sz w:val="14"/>
                <w:szCs w:val="14"/>
                <w:b w:val="1"/>
                <w:bCs w:val="1"/>
                <w:color w:val="003B71"/>
              </w:rPr>
              <w:t>Stock Awards</w:t>
            </w:r>
          </w:p>
        </w:tc>
      </w:tr>
      <w:tr>
        <w:trPr>
          <w:trHeight w:val="142"/>
        </w:trPr>
        <w:tc>
          <w:tcPr>
            <w:tcW w:w="2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20" w:type="dxa"/>
            <w:vAlign w:val="bottom"/>
          </w:tcPr>
          <w:p>
            <w:pPr>
              <w:jc w:val="center"/>
              <w:spacing w:after="0" w:line="143" w:lineRule="exact"/>
              <w:rPr>
                <w:sz w:val="20"/>
                <w:szCs w:val="20"/>
                <w:color w:val="auto"/>
              </w:rPr>
            </w:pPr>
            <w:r>
              <w:rPr>
                <w:rFonts w:ascii="Arial" w:cs="Arial" w:eastAsia="Arial" w:hAnsi="Arial"/>
                <w:sz w:val="14"/>
                <w:szCs w:val="14"/>
                <w:b w:val="1"/>
                <w:bCs w:val="1"/>
                <w:color w:val="003B71"/>
              </w:rPr>
              <w:t>INCENTIVE PLAN</w:t>
            </w:r>
          </w:p>
        </w:tc>
      </w:tr>
      <w:tr>
        <w:trPr>
          <w:trHeight w:val="162"/>
        </w:trPr>
        <w:tc>
          <w:tcPr>
            <w:tcW w:w="2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3B71"/>
                <w:w w:val="97"/>
              </w:rPr>
              <w:t>AWARDS:</w:t>
            </w:r>
          </w:p>
        </w:tc>
      </w:tr>
      <w:tr>
        <w:trPr>
          <w:trHeight w:val="162"/>
        </w:trPr>
        <w:tc>
          <w:tcPr>
            <w:tcW w:w="2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tcPr>
          <w:p>
            <w:pPr>
              <w:jc w:val="center"/>
              <w:ind w:right="8"/>
              <w:spacing w:after="0"/>
              <w:rPr>
                <w:sz w:val="20"/>
                <w:szCs w:val="20"/>
                <w:color w:val="auto"/>
              </w:rPr>
            </w:pPr>
            <w:r>
              <w:rPr>
                <w:rFonts w:ascii="Arial" w:cs="Arial" w:eastAsia="Arial" w:hAnsi="Arial"/>
                <w:sz w:val="14"/>
                <w:szCs w:val="14"/>
                <w:b w:val="1"/>
                <w:bCs w:val="1"/>
                <w:color w:val="003B71"/>
              </w:rPr>
              <w:t>INCENTIVE PLAN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3B71"/>
              </w:rPr>
              <w:t>MARKET OR</w:t>
            </w:r>
          </w:p>
        </w:tc>
      </w:tr>
      <w:tr>
        <w:trPr>
          <w:trHeight w:val="162"/>
        </w:trPr>
        <w:tc>
          <w:tcPr>
            <w:tcW w:w="2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tcPr>
          <w:p>
            <w:pPr>
              <w:jc w:val="center"/>
              <w:ind w:right="8"/>
              <w:spacing w:after="0"/>
              <w:rPr>
                <w:sz w:val="20"/>
                <w:szCs w:val="20"/>
                <w:color w:val="auto"/>
              </w:rPr>
            </w:pPr>
            <w:r>
              <w:rPr>
                <w:rFonts w:ascii="Arial" w:cs="Arial" w:eastAsia="Arial" w:hAnsi="Arial"/>
                <w:sz w:val="14"/>
                <w:szCs w:val="14"/>
                <w:b w:val="1"/>
                <w:bCs w:val="1"/>
                <w:color w:val="003B71"/>
                <w:w w:val="97"/>
              </w:rPr>
              <w:t>AWARDS: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3B71"/>
              </w:rPr>
              <w:t>PAYOUT VALUE</w:t>
            </w:r>
          </w:p>
        </w:tc>
      </w:tr>
      <w:tr>
        <w:trPr>
          <w:trHeight w:val="162"/>
        </w:trPr>
        <w:tc>
          <w:tcPr>
            <w:tcW w:w="2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tcPr>
          <w:p>
            <w:pPr>
              <w:jc w:val="center"/>
              <w:ind w:right="8"/>
              <w:spacing w:after="0"/>
              <w:rPr>
                <w:sz w:val="20"/>
                <w:szCs w:val="20"/>
                <w:color w:val="auto"/>
              </w:rPr>
            </w:pPr>
            <w:r>
              <w:rPr>
                <w:rFonts w:ascii="Arial" w:cs="Arial" w:eastAsia="Arial" w:hAnsi="Arial"/>
                <w:sz w:val="14"/>
                <w:szCs w:val="14"/>
                <w:b w:val="1"/>
                <w:bCs w:val="1"/>
                <w:color w:val="003B71"/>
              </w:rPr>
              <w:t>NUMBER OF</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3B71"/>
              </w:rPr>
              <w:t>OF UNEARNED</w:t>
            </w:r>
          </w:p>
        </w:tc>
      </w:tr>
      <w:tr>
        <w:trPr>
          <w:trHeight w:val="162"/>
        </w:trPr>
        <w:tc>
          <w:tcPr>
            <w:tcW w:w="2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tcPr>
          <w:p>
            <w:pPr>
              <w:jc w:val="center"/>
              <w:ind w:right="8"/>
              <w:spacing w:after="0"/>
              <w:rPr>
                <w:sz w:val="20"/>
                <w:szCs w:val="20"/>
                <w:color w:val="auto"/>
              </w:rPr>
            </w:pPr>
            <w:r>
              <w:rPr>
                <w:rFonts w:ascii="Arial" w:cs="Arial" w:eastAsia="Arial" w:hAnsi="Arial"/>
                <w:sz w:val="14"/>
                <w:szCs w:val="14"/>
                <w:b w:val="1"/>
                <w:bCs w:val="1"/>
                <w:color w:val="003B71"/>
              </w:rPr>
              <w:t>UNEARNED</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3B71"/>
              </w:rPr>
              <w:t>SHARES, UNITS</w:t>
            </w:r>
          </w:p>
        </w:tc>
      </w:tr>
      <w:tr>
        <w:trPr>
          <w:trHeight w:val="162"/>
        </w:trPr>
        <w:tc>
          <w:tcPr>
            <w:tcW w:w="2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tcPr>
          <w:p>
            <w:pPr>
              <w:jc w:val="center"/>
              <w:ind w:right="8"/>
              <w:spacing w:after="0"/>
              <w:rPr>
                <w:sz w:val="20"/>
                <w:szCs w:val="20"/>
                <w:color w:val="auto"/>
              </w:rPr>
            </w:pPr>
            <w:r>
              <w:rPr>
                <w:rFonts w:ascii="Arial" w:cs="Arial" w:eastAsia="Arial" w:hAnsi="Arial"/>
                <w:sz w:val="14"/>
                <w:szCs w:val="14"/>
                <w:b w:val="1"/>
                <w:bCs w:val="1"/>
                <w:color w:val="003B71"/>
              </w:rPr>
              <w:t>SHARES, UNITS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3B71"/>
              </w:rPr>
              <w:t>OR OTHER</w:t>
            </w:r>
          </w:p>
        </w:tc>
      </w:tr>
      <w:tr>
        <w:trPr>
          <w:trHeight w:val="162"/>
        </w:trPr>
        <w:tc>
          <w:tcPr>
            <w:tcW w:w="2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003B71"/>
              </w:rPr>
              <w:t>OPTION</w:t>
            </w: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tcPr>
          <w:p>
            <w:pPr>
              <w:jc w:val="center"/>
              <w:ind w:right="8"/>
              <w:spacing w:after="0"/>
              <w:rPr>
                <w:sz w:val="20"/>
                <w:szCs w:val="20"/>
                <w:color w:val="auto"/>
              </w:rPr>
            </w:pPr>
            <w:r>
              <w:rPr>
                <w:rFonts w:ascii="Arial" w:cs="Arial" w:eastAsia="Arial" w:hAnsi="Arial"/>
                <w:sz w:val="14"/>
                <w:szCs w:val="14"/>
                <w:b w:val="1"/>
                <w:bCs w:val="1"/>
                <w:color w:val="003B71"/>
              </w:rPr>
              <w:t>OR OTHER</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3B71"/>
                <w:w w:val="99"/>
              </w:rPr>
              <w:t>RIGHTS THAT</w:t>
            </w:r>
          </w:p>
        </w:tc>
      </w:tr>
      <w:tr>
        <w:trPr>
          <w:trHeight w:val="162"/>
        </w:trPr>
        <w:tc>
          <w:tcPr>
            <w:tcW w:w="2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003B71"/>
              </w:rPr>
              <w:t>EXERCISE</w:t>
            </w: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003B71"/>
              </w:rPr>
              <w:t>OPTION</w:t>
            </w:r>
          </w:p>
        </w:tc>
        <w:tc>
          <w:tcPr>
            <w:tcW w:w="1780" w:type="dxa"/>
            <w:vAlign w:val="bottom"/>
          </w:tcPr>
          <w:p>
            <w:pPr>
              <w:jc w:val="center"/>
              <w:ind w:right="8"/>
              <w:spacing w:after="0"/>
              <w:rPr>
                <w:sz w:val="20"/>
                <w:szCs w:val="20"/>
                <w:color w:val="auto"/>
              </w:rPr>
            </w:pPr>
            <w:r>
              <w:rPr>
                <w:rFonts w:ascii="Arial" w:cs="Arial" w:eastAsia="Arial" w:hAnsi="Arial"/>
                <w:sz w:val="14"/>
                <w:szCs w:val="14"/>
                <w:b w:val="1"/>
                <w:bCs w:val="1"/>
                <w:color w:val="003B71"/>
                <w:w w:val="99"/>
              </w:rPr>
              <w:t>RIGHTS THAT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3B71"/>
              </w:rPr>
              <w:t>HAVE NOT</w:t>
            </w:r>
          </w:p>
        </w:tc>
      </w:tr>
      <w:tr>
        <w:trPr>
          <w:trHeight w:val="162"/>
        </w:trPr>
        <w:tc>
          <w:tcPr>
            <w:tcW w:w="2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003B71"/>
              </w:rPr>
              <w:t>PRICE</w:t>
            </w: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003B71"/>
              </w:rPr>
              <w:t>EXPIRATION</w:t>
            </w:r>
          </w:p>
        </w:tc>
        <w:tc>
          <w:tcPr>
            <w:tcW w:w="1780" w:type="dxa"/>
            <w:vAlign w:val="bottom"/>
          </w:tcPr>
          <w:p>
            <w:pPr>
              <w:jc w:val="center"/>
              <w:ind w:right="8"/>
              <w:spacing w:after="0"/>
              <w:rPr>
                <w:sz w:val="20"/>
                <w:szCs w:val="20"/>
                <w:color w:val="auto"/>
              </w:rPr>
            </w:pPr>
            <w:r>
              <w:rPr>
                <w:rFonts w:ascii="Arial" w:cs="Arial" w:eastAsia="Arial" w:hAnsi="Arial"/>
                <w:sz w:val="14"/>
                <w:szCs w:val="14"/>
                <w:b w:val="1"/>
                <w:bCs w:val="1"/>
                <w:color w:val="003B71"/>
              </w:rPr>
              <w:t>HAVE NOT YET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3B71"/>
              </w:rPr>
              <w:t>VESTED(19)</w:t>
            </w:r>
          </w:p>
        </w:tc>
      </w:tr>
      <w:tr>
        <w:trPr>
          <w:trHeight w:val="175"/>
        </w:trPr>
        <w:tc>
          <w:tcPr>
            <w:tcW w:w="222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NAME</w:t>
            </w:r>
          </w:p>
        </w:tc>
        <w:tc>
          <w:tcPr>
            <w:tcW w:w="1480" w:type="dxa"/>
            <w:vAlign w:val="bottom"/>
            <w:tcBorders>
              <w:bottom w:val="single" w:sz="8" w:color="003B71"/>
            </w:tcBorders>
            <w:gridSpan w:val="2"/>
          </w:tcPr>
          <w:p>
            <w:pPr>
              <w:jc w:val="right"/>
              <w:ind w:right="148"/>
              <w:spacing w:after="0"/>
              <w:rPr>
                <w:sz w:val="20"/>
                <w:szCs w:val="20"/>
                <w:color w:val="auto"/>
              </w:rPr>
            </w:pPr>
            <w:r>
              <w:rPr>
                <w:rFonts w:ascii="Arial" w:cs="Arial" w:eastAsia="Arial" w:hAnsi="Arial"/>
                <w:sz w:val="14"/>
                <w:szCs w:val="14"/>
                <w:b w:val="1"/>
                <w:bCs w:val="1"/>
                <w:color w:val="003B71"/>
              </w:rPr>
              <w:t>EXERCISABLE</w:t>
            </w:r>
          </w:p>
        </w:tc>
        <w:tc>
          <w:tcPr>
            <w:tcW w:w="1800" w:type="dxa"/>
            <w:vAlign w:val="bottom"/>
            <w:tcBorders>
              <w:bottom w:val="single" w:sz="8" w:color="003B71"/>
            </w:tcBorders>
          </w:tcPr>
          <w:p>
            <w:pPr>
              <w:jc w:val="right"/>
              <w:ind w:right="288"/>
              <w:spacing w:after="0"/>
              <w:rPr>
                <w:sz w:val="20"/>
                <w:szCs w:val="20"/>
                <w:color w:val="auto"/>
              </w:rPr>
            </w:pPr>
            <w:r>
              <w:rPr>
                <w:rFonts w:ascii="Arial" w:cs="Arial" w:eastAsia="Arial" w:hAnsi="Arial"/>
                <w:sz w:val="14"/>
                <w:szCs w:val="14"/>
                <w:b w:val="1"/>
                <w:bCs w:val="1"/>
                <w:color w:val="003B71"/>
              </w:rPr>
              <w:t>UNEXERCISABLE</w:t>
            </w:r>
          </w:p>
        </w:tc>
        <w:tc>
          <w:tcPr>
            <w:tcW w:w="90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w:t>
            </w:r>
          </w:p>
        </w:tc>
        <w:tc>
          <w:tcPr>
            <w:tcW w:w="1420" w:type="dxa"/>
            <w:vAlign w:val="bottom"/>
            <w:tcBorders>
              <w:bottom w:val="single" w:sz="8" w:color="003B71"/>
            </w:tcBorders>
            <w:gridSpan w:val="2"/>
          </w:tcPr>
          <w:p>
            <w:pPr>
              <w:jc w:val="center"/>
              <w:ind w:right="360"/>
              <w:spacing w:after="0"/>
              <w:rPr>
                <w:sz w:val="20"/>
                <w:szCs w:val="20"/>
                <w:color w:val="auto"/>
              </w:rPr>
            </w:pPr>
            <w:r>
              <w:rPr>
                <w:rFonts w:ascii="Arial" w:cs="Arial" w:eastAsia="Arial" w:hAnsi="Arial"/>
                <w:sz w:val="14"/>
                <w:szCs w:val="14"/>
                <w:b w:val="1"/>
                <w:bCs w:val="1"/>
                <w:color w:val="003B71"/>
                <w:w w:val="99"/>
              </w:rPr>
              <w:t>DATE</w:t>
            </w:r>
          </w:p>
        </w:tc>
        <w:tc>
          <w:tcPr>
            <w:tcW w:w="1780" w:type="dxa"/>
            <w:vAlign w:val="bottom"/>
            <w:tcBorders>
              <w:bottom w:val="single" w:sz="8" w:color="003B71"/>
            </w:tcBorders>
          </w:tcPr>
          <w:p>
            <w:pPr>
              <w:jc w:val="center"/>
              <w:ind w:right="8"/>
              <w:spacing w:after="0"/>
              <w:rPr>
                <w:sz w:val="20"/>
                <w:szCs w:val="20"/>
                <w:color w:val="auto"/>
              </w:rPr>
            </w:pPr>
            <w:r>
              <w:rPr>
                <w:rFonts w:ascii="Arial" w:cs="Arial" w:eastAsia="Arial" w:hAnsi="Arial"/>
                <w:sz w:val="14"/>
                <w:szCs w:val="14"/>
                <w:b w:val="1"/>
                <w:bCs w:val="1"/>
                <w:color w:val="003B71"/>
              </w:rPr>
              <w:t>VESTED</w:t>
            </w:r>
          </w:p>
        </w:tc>
        <w:tc>
          <w:tcPr>
            <w:tcW w:w="1420" w:type="dxa"/>
            <w:vAlign w:val="bottom"/>
            <w:tcBorders>
              <w:bottom w:val="single" w:sz="8" w:color="003B71"/>
            </w:tcBorders>
          </w:tcPr>
          <w:p>
            <w:pPr>
              <w:jc w:val="right"/>
              <w:ind w:right="568"/>
              <w:spacing w:after="0"/>
              <w:rPr>
                <w:sz w:val="20"/>
                <w:szCs w:val="20"/>
                <w:color w:val="auto"/>
              </w:rPr>
            </w:pPr>
            <w:r>
              <w:rPr>
                <w:rFonts w:ascii="Arial" w:cs="Arial" w:eastAsia="Arial" w:hAnsi="Arial"/>
                <w:sz w:val="14"/>
                <w:szCs w:val="14"/>
                <w:b w:val="1"/>
                <w:bCs w:val="1"/>
                <w:color w:val="003B71"/>
              </w:rPr>
              <w:t>($)</w:t>
            </w:r>
          </w:p>
        </w:tc>
      </w:tr>
      <w:tr>
        <w:trPr>
          <w:trHeight w:val="155"/>
        </w:trPr>
        <w:tc>
          <w:tcPr>
            <w:tcW w:w="2220" w:type="dxa"/>
            <w:vAlign w:val="bottom"/>
            <w:shd w:val="clear" w:color="auto" w:fill="E5E5E5"/>
          </w:tcPr>
          <w:p>
            <w:pPr>
              <w:ind w:left="100"/>
              <w:spacing w:after="0" w:line="155" w:lineRule="exact"/>
              <w:rPr>
                <w:sz w:val="20"/>
                <w:szCs w:val="20"/>
                <w:color w:val="auto"/>
              </w:rPr>
            </w:pPr>
            <w:r>
              <w:rPr>
                <w:rFonts w:ascii="Arial" w:cs="Arial" w:eastAsia="Arial" w:hAnsi="Arial"/>
                <w:sz w:val="14"/>
                <w:szCs w:val="14"/>
                <w:color w:val="auto"/>
              </w:rPr>
              <w:t>Brian A. Jenkins</w:t>
            </w:r>
          </w:p>
        </w:tc>
        <w:tc>
          <w:tcPr>
            <w:tcW w:w="1480" w:type="dxa"/>
            <w:vAlign w:val="bottom"/>
            <w:gridSpan w:val="2"/>
            <w:shd w:val="clear" w:color="auto" w:fill="E5E5E5"/>
          </w:tcPr>
          <w:p>
            <w:pPr>
              <w:jc w:val="right"/>
              <w:ind w:right="148"/>
              <w:spacing w:after="0" w:line="155" w:lineRule="exact"/>
              <w:rPr>
                <w:sz w:val="20"/>
                <w:szCs w:val="20"/>
                <w:color w:val="auto"/>
              </w:rPr>
            </w:pPr>
            <w:r>
              <w:rPr>
                <w:rFonts w:ascii="Arial" w:cs="Arial" w:eastAsia="Arial" w:hAnsi="Arial"/>
                <w:sz w:val="14"/>
                <w:szCs w:val="14"/>
                <w:color w:val="auto"/>
              </w:rPr>
              <w:t>0</w:t>
            </w:r>
          </w:p>
        </w:tc>
        <w:tc>
          <w:tcPr>
            <w:tcW w:w="1800" w:type="dxa"/>
            <w:vAlign w:val="bottom"/>
            <w:shd w:val="clear" w:color="auto" w:fill="E5E5E5"/>
          </w:tcPr>
          <w:p>
            <w:pPr>
              <w:jc w:val="right"/>
              <w:ind w:right="108"/>
              <w:spacing w:after="0" w:line="155" w:lineRule="exact"/>
              <w:rPr>
                <w:sz w:val="20"/>
                <w:szCs w:val="20"/>
                <w:color w:val="auto"/>
              </w:rPr>
            </w:pPr>
            <w:r>
              <w:rPr>
                <w:rFonts w:ascii="Arial" w:cs="Arial" w:eastAsia="Arial" w:hAnsi="Arial"/>
                <w:sz w:val="14"/>
                <w:szCs w:val="14"/>
                <w:color w:val="auto"/>
              </w:rPr>
              <w:t>61,420(1)</w:t>
            </w:r>
          </w:p>
        </w:tc>
        <w:tc>
          <w:tcPr>
            <w:tcW w:w="900" w:type="dxa"/>
            <w:vAlign w:val="bottom"/>
            <w:shd w:val="clear" w:color="auto" w:fill="E5E5E5"/>
          </w:tcPr>
          <w:p>
            <w:pPr>
              <w:jc w:val="right"/>
              <w:ind w:right="28"/>
              <w:spacing w:after="0" w:line="155" w:lineRule="exact"/>
              <w:rPr>
                <w:sz w:val="20"/>
                <w:szCs w:val="20"/>
                <w:color w:val="auto"/>
              </w:rPr>
            </w:pPr>
            <w:r>
              <w:rPr>
                <w:rFonts w:ascii="Arial" w:cs="Arial" w:eastAsia="Arial" w:hAnsi="Arial"/>
                <w:sz w:val="14"/>
                <w:szCs w:val="14"/>
                <w:color w:val="auto"/>
              </w:rPr>
              <w:t>51.68</w:t>
            </w:r>
          </w:p>
        </w:tc>
        <w:tc>
          <w:tcPr>
            <w:tcW w:w="1080" w:type="dxa"/>
            <w:vAlign w:val="bottom"/>
            <w:shd w:val="clear" w:color="auto" w:fill="E5E5E5"/>
          </w:tcPr>
          <w:p>
            <w:pPr>
              <w:jc w:val="right"/>
              <w:ind w:right="48"/>
              <w:spacing w:after="0" w:line="155" w:lineRule="exact"/>
              <w:rPr>
                <w:sz w:val="20"/>
                <w:szCs w:val="20"/>
                <w:color w:val="auto"/>
              </w:rPr>
            </w:pPr>
            <w:r>
              <w:rPr>
                <w:rFonts w:ascii="Arial" w:cs="Arial" w:eastAsia="Arial" w:hAnsi="Arial"/>
                <w:sz w:val="14"/>
                <w:szCs w:val="14"/>
                <w:color w:val="auto"/>
              </w:rPr>
              <w:t>4/11/2029</w:t>
            </w:r>
          </w:p>
        </w:tc>
        <w:tc>
          <w:tcPr>
            <w:tcW w:w="340" w:type="dxa"/>
            <w:vAlign w:val="bottom"/>
            <w:shd w:val="clear" w:color="auto" w:fill="E5E5E5"/>
          </w:tcPr>
          <w:p>
            <w:pPr>
              <w:spacing w:after="0"/>
              <w:rPr>
                <w:sz w:val="13"/>
                <w:szCs w:val="13"/>
                <w:color w:val="auto"/>
              </w:rPr>
            </w:pPr>
          </w:p>
        </w:tc>
        <w:tc>
          <w:tcPr>
            <w:tcW w:w="1780" w:type="dxa"/>
            <w:vAlign w:val="bottom"/>
            <w:shd w:val="clear" w:color="auto" w:fill="E5E5E5"/>
          </w:tcPr>
          <w:p>
            <w:pPr>
              <w:jc w:val="right"/>
              <w:ind w:right="88"/>
              <w:spacing w:after="0" w:line="155" w:lineRule="exact"/>
              <w:rPr>
                <w:sz w:val="20"/>
                <w:szCs w:val="20"/>
                <w:color w:val="auto"/>
              </w:rPr>
            </w:pPr>
            <w:r>
              <w:rPr>
                <w:rFonts w:ascii="Arial" w:cs="Arial" w:eastAsia="Arial" w:hAnsi="Arial"/>
                <w:sz w:val="14"/>
                <w:szCs w:val="14"/>
                <w:color w:val="auto"/>
              </w:rPr>
              <w:t>13,968(9)</w:t>
            </w:r>
          </w:p>
        </w:tc>
        <w:tc>
          <w:tcPr>
            <w:tcW w:w="1420" w:type="dxa"/>
            <w:vAlign w:val="bottom"/>
            <w:shd w:val="clear" w:color="auto" w:fill="E5E5E5"/>
          </w:tcPr>
          <w:p>
            <w:pPr>
              <w:jc w:val="right"/>
              <w:ind w:right="48"/>
              <w:spacing w:after="0" w:line="155" w:lineRule="exact"/>
              <w:rPr>
                <w:sz w:val="20"/>
                <w:szCs w:val="20"/>
                <w:color w:val="auto"/>
              </w:rPr>
            </w:pPr>
            <w:r>
              <w:rPr>
                <w:rFonts w:ascii="Arial" w:cs="Arial" w:eastAsia="Arial" w:hAnsi="Arial"/>
                <w:sz w:val="14"/>
                <w:szCs w:val="14"/>
                <w:color w:val="auto"/>
              </w:rPr>
              <w:t>616,827</w:t>
            </w:r>
          </w:p>
        </w:tc>
      </w:tr>
      <w:tr>
        <w:trPr>
          <w:trHeight w:val="162"/>
        </w:trPr>
        <w:tc>
          <w:tcPr>
            <w:tcW w:w="2220" w:type="dxa"/>
            <w:vAlign w:val="bottom"/>
            <w:shd w:val="clear" w:color="auto" w:fill="E5E5E5"/>
          </w:tcPr>
          <w:p>
            <w:pPr>
              <w:spacing w:after="0"/>
              <w:rPr>
                <w:sz w:val="14"/>
                <w:szCs w:val="14"/>
                <w:color w:val="auto"/>
              </w:rPr>
            </w:pPr>
          </w:p>
        </w:tc>
        <w:tc>
          <w:tcPr>
            <w:tcW w:w="148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10,851(2)</w:t>
            </w:r>
          </w:p>
        </w:tc>
        <w:tc>
          <w:tcPr>
            <w:tcW w:w="18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21,701(3)</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41.65</w:t>
            </w:r>
          </w:p>
        </w:tc>
        <w:tc>
          <w:tcPr>
            <w:tcW w:w="10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4/12/2028</w:t>
            </w:r>
          </w:p>
        </w:tc>
        <w:tc>
          <w:tcPr>
            <w:tcW w:w="340" w:type="dxa"/>
            <w:vAlign w:val="bottom"/>
            <w:shd w:val="clear" w:color="auto" w:fill="E5E5E5"/>
          </w:tcPr>
          <w:p>
            <w:pPr>
              <w:spacing w:after="0"/>
              <w:rPr>
                <w:sz w:val="14"/>
                <w:szCs w:val="14"/>
                <w:color w:val="auto"/>
              </w:rPr>
            </w:pPr>
          </w:p>
        </w:tc>
        <w:tc>
          <w:tcPr>
            <w:tcW w:w="17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33,590(10)</w:t>
            </w:r>
          </w:p>
        </w:tc>
        <w:tc>
          <w:tcPr>
            <w:tcW w:w="14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1,483,334</w:t>
            </w:r>
          </w:p>
        </w:tc>
      </w:tr>
      <w:tr>
        <w:trPr>
          <w:trHeight w:val="162"/>
        </w:trPr>
        <w:tc>
          <w:tcPr>
            <w:tcW w:w="222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19,770(2)</w:t>
            </w:r>
          </w:p>
        </w:tc>
        <w:tc>
          <w:tcPr>
            <w:tcW w:w="18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9,885(4)</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49.59</w:t>
            </w:r>
          </w:p>
        </w:tc>
        <w:tc>
          <w:tcPr>
            <w:tcW w:w="10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9/7/2027</w:t>
            </w:r>
          </w:p>
        </w:tc>
        <w:tc>
          <w:tcPr>
            <w:tcW w:w="340" w:type="dxa"/>
            <w:vAlign w:val="bottom"/>
            <w:shd w:val="clear" w:color="auto" w:fill="E5E5E5"/>
          </w:tcPr>
          <w:p>
            <w:pPr>
              <w:spacing w:after="0"/>
              <w:rPr>
                <w:sz w:val="14"/>
                <w:szCs w:val="14"/>
                <w:color w:val="auto"/>
              </w:rPr>
            </w:pPr>
          </w:p>
        </w:tc>
        <w:tc>
          <w:tcPr>
            <w:tcW w:w="17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16,806(11)</w:t>
            </w:r>
          </w:p>
        </w:tc>
        <w:tc>
          <w:tcPr>
            <w:tcW w:w="14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742,153</w:t>
            </w:r>
          </w:p>
        </w:tc>
      </w:tr>
      <w:tr>
        <w:trPr>
          <w:trHeight w:val="162"/>
        </w:trPr>
        <w:tc>
          <w:tcPr>
            <w:tcW w:w="222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9,586(2)</w:t>
            </w:r>
          </w:p>
        </w:tc>
        <w:tc>
          <w:tcPr>
            <w:tcW w:w="18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4,793(5)</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59.67</w:t>
            </w:r>
          </w:p>
        </w:tc>
        <w:tc>
          <w:tcPr>
            <w:tcW w:w="10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4/7/2027</w:t>
            </w:r>
          </w:p>
        </w:tc>
        <w:tc>
          <w:tcPr>
            <w:tcW w:w="340" w:type="dxa"/>
            <w:vAlign w:val="bottom"/>
            <w:shd w:val="clear" w:color="auto" w:fill="E5E5E5"/>
          </w:tcPr>
          <w:p>
            <w:pPr>
              <w:spacing w:after="0"/>
              <w:rPr>
                <w:sz w:val="14"/>
                <w:szCs w:val="14"/>
                <w:color w:val="auto"/>
              </w:rPr>
            </w:pPr>
          </w:p>
        </w:tc>
        <w:tc>
          <w:tcPr>
            <w:tcW w:w="17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5,041(12)</w:t>
            </w:r>
          </w:p>
        </w:tc>
        <w:tc>
          <w:tcPr>
            <w:tcW w:w="14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222,611</w:t>
            </w:r>
          </w:p>
        </w:tc>
      </w:tr>
      <w:tr>
        <w:trPr>
          <w:trHeight w:val="162"/>
        </w:trPr>
        <w:tc>
          <w:tcPr>
            <w:tcW w:w="222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25,227(2)</w:t>
            </w:r>
          </w:p>
        </w:tc>
        <w:tc>
          <w:tcPr>
            <w:tcW w:w="180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39.10</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4/7/2026</w:t>
            </w:r>
          </w:p>
        </w:tc>
        <w:tc>
          <w:tcPr>
            <w:tcW w:w="340" w:type="dxa"/>
            <w:vAlign w:val="bottom"/>
          </w:tcPr>
          <w:p>
            <w:pPr>
              <w:spacing w:after="0"/>
              <w:rPr>
                <w:sz w:val="14"/>
                <w:szCs w:val="14"/>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7,226(13)</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319,100</w:t>
            </w:r>
          </w:p>
        </w:tc>
      </w:tr>
      <w:tr>
        <w:trPr>
          <w:trHeight w:val="162"/>
        </w:trPr>
        <w:tc>
          <w:tcPr>
            <w:tcW w:w="222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22,506(2)</w:t>
            </w:r>
          </w:p>
        </w:tc>
        <w:tc>
          <w:tcPr>
            <w:tcW w:w="18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0</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31.71</w:t>
            </w:r>
          </w:p>
        </w:tc>
        <w:tc>
          <w:tcPr>
            <w:tcW w:w="10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4/9/2025</w:t>
            </w:r>
          </w:p>
        </w:tc>
        <w:tc>
          <w:tcPr>
            <w:tcW w:w="340" w:type="dxa"/>
            <w:vAlign w:val="bottom"/>
            <w:shd w:val="clear" w:color="auto" w:fill="E5E5E5"/>
          </w:tcPr>
          <w:p>
            <w:pPr>
              <w:spacing w:after="0"/>
              <w:rPr>
                <w:sz w:val="14"/>
                <w:szCs w:val="14"/>
                <w:color w:val="auto"/>
              </w:rPr>
            </w:pPr>
          </w:p>
        </w:tc>
        <w:tc>
          <w:tcPr>
            <w:tcW w:w="1780" w:type="dxa"/>
            <w:vAlign w:val="bottom"/>
            <w:shd w:val="clear" w:color="auto" w:fill="E5E5E5"/>
          </w:tcPr>
          <w:p>
            <w:pPr>
              <w:spacing w:after="0"/>
              <w:rPr>
                <w:sz w:val="14"/>
                <w:szCs w:val="14"/>
                <w:color w:val="auto"/>
              </w:rPr>
            </w:pPr>
          </w:p>
        </w:tc>
        <w:tc>
          <w:tcPr>
            <w:tcW w:w="1420" w:type="dxa"/>
            <w:vAlign w:val="bottom"/>
            <w:shd w:val="clear" w:color="auto" w:fill="E5E5E5"/>
          </w:tcPr>
          <w:p>
            <w:pPr>
              <w:spacing w:after="0"/>
              <w:rPr>
                <w:sz w:val="14"/>
                <w:szCs w:val="14"/>
                <w:color w:val="auto"/>
              </w:rPr>
            </w:pPr>
          </w:p>
        </w:tc>
      </w:tr>
      <w:tr>
        <w:trPr>
          <w:trHeight w:val="162"/>
        </w:trPr>
        <w:tc>
          <w:tcPr>
            <w:tcW w:w="222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61,183(2)</w:t>
            </w:r>
          </w:p>
        </w:tc>
        <w:tc>
          <w:tcPr>
            <w:tcW w:w="18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0</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16.00</w:t>
            </w:r>
          </w:p>
        </w:tc>
        <w:tc>
          <w:tcPr>
            <w:tcW w:w="10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10/9/2024</w:t>
            </w:r>
          </w:p>
        </w:tc>
        <w:tc>
          <w:tcPr>
            <w:tcW w:w="340" w:type="dxa"/>
            <w:vAlign w:val="bottom"/>
            <w:shd w:val="clear" w:color="auto" w:fill="E5E5E5"/>
          </w:tcPr>
          <w:p>
            <w:pPr>
              <w:spacing w:after="0"/>
              <w:rPr>
                <w:sz w:val="14"/>
                <w:szCs w:val="14"/>
                <w:color w:val="auto"/>
              </w:rPr>
            </w:pPr>
          </w:p>
        </w:tc>
        <w:tc>
          <w:tcPr>
            <w:tcW w:w="1780" w:type="dxa"/>
            <w:vAlign w:val="bottom"/>
            <w:shd w:val="clear" w:color="auto" w:fill="E5E5E5"/>
          </w:tcPr>
          <w:p>
            <w:pPr>
              <w:spacing w:after="0"/>
              <w:rPr>
                <w:sz w:val="14"/>
                <w:szCs w:val="14"/>
                <w:color w:val="auto"/>
              </w:rPr>
            </w:pPr>
          </w:p>
        </w:tc>
        <w:tc>
          <w:tcPr>
            <w:tcW w:w="1420" w:type="dxa"/>
            <w:vAlign w:val="bottom"/>
            <w:shd w:val="clear" w:color="auto" w:fill="E5E5E5"/>
          </w:tcPr>
          <w:p>
            <w:pPr>
              <w:spacing w:after="0"/>
              <w:rPr>
                <w:sz w:val="14"/>
                <w:szCs w:val="14"/>
                <w:color w:val="auto"/>
              </w:rPr>
            </w:pPr>
          </w:p>
        </w:tc>
      </w:tr>
      <w:tr>
        <w:trPr>
          <w:trHeight w:val="162"/>
        </w:trPr>
        <w:tc>
          <w:tcPr>
            <w:tcW w:w="222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38,808(6)</w:t>
            </w:r>
          </w:p>
        </w:tc>
        <w:tc>
          <w:tcPr>
            <w:tcW w:w="18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0</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4.44</w:t>
            </w:r>
          </w:p>
        </w:tc>
        <w:tc>
          <w:tcPr>
            <w:tcW w:w="10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6/1/2020</w:t>
            </w:r>
          </w:p>
        </w:tc>
        <w:tc>
          <w:tcPr>
            <w:tcW w:w="340" w:type="dxa"/>
            <w:vAlign w:val="bottom"/>
            <w:shd w:val="clear" w:color="auto" w:fill="E5E5E5"/>
          </w:tcPr>
          <w:p>
            <w:pPr>
              <w:spacing w:after="0"/>
              <w:rPr>
                <w:sz w:val="14"/>
                <w:szCs w:val="14"/>
                <w:color w:val="auto"/>
              </w:rPr>
            </w:pPr>
          </w:p>
        </w:tc>
        <w:tc>
          <w:tcPr>
            <w:tcW w:w="1780" w:type="dxa"/>
            <w:vAlign w:val="bottom"/>
            <w:shd w:val="clear" w:color="auto" w:fill="E5E5E5"/>
          </w:tcPr>
          <w:p>
            <w:pPr>
              <w:spacing w:after="0"/>
              <w:rPr>
                <w:sz w:val="14"/>
                <w:szCs w:val="14"/>
                <w:color w:val="auto"/>
              </w:rPr>
            </w:pPr>
          </w:p>
        </w:tc>
        <w:tc>
          <w:tcPr>
            <w:tcW w:w="1420" w:type="dxa"/>
            <w:vAlign w:val="bottom"/>
            <w:shd w:val="clear" w:color="auto" w:fill="E5E5E5"/>
          </w:tcPr>
          <w:p>
            <w:pPr>
              <w:spacing w:after="0"/>
              <w:rPr>
                <w:sz w:val="14"/>
                <w:szCs w:val="14"/>
                <w:color w:val="auto"/>
              </w:rPr>
            </w:pPr>
          </w:p>
        </w:tc>
      </w:tr>
      <w:tr>
        <w:trPr>
          <w:trHeight w:val="167"/>
        </w:trPr>
        <w:tc>
          <w:tcPr>
            <w:tcW w:w="2220" w:type="dxa"/>
            <w:vAlign w:val="bottom"/>
          </w:tcPr>
          <w:p>
            <w:pPr>
              <w:ind w:left="100"/>
              <w:spacing w:after="0"/>
              <w:rPr>
                <w:sz w:val="20"/>
                <w:szCs w:val="20"/>
                <w:color w:val="auto"/>
              </w:rPr>
            </w:pPr>
            <w:r>
              <w:rPr>
                <w:rFonts w:ascii="Arial" w:cs="Arial" w:eastAsia="Arial" w:hAnsi="Arial"/>
                <w:sz w:val="14"/>
                <w:szCs w:val="14"/>
                <w:color w:val="auto"/>
              </w:rPr>
              <w:t>Scott Bowman</w:t>
            </w:r>
          </w:p>
        </w:tc>
        <w:tc>
          <w:tcPr>
            <w:tcW w:w="1480" w:type="dxa"/>
            <w:vAlign w:val="bottom"/>
            <w:gridSpan w:val="2"/>
          </w:tcPr>
          <w:p>
            <w:pPr>
              <w:jc w:val="right"/>
              <w:ind w:right="148"/>
              <w:spacing w:after="0"/>
              <w:rPr>
                <w:sz w:val="20"/>
                <w:szCs w:val="20"/>
                <w:color w:val="auto"/>
              </w:rPr>
            </w:pPr>
            <w:r>
              <w:rPr>
                <w:rFonts w:ascii="Arial" w:cs="Arial" w:eastAsia="Arial" w:hAnsi="Arial"/>
                <w:sz w:val="14"/>
                <w:szCs w:val="14"/>
                <w:color w:val="auto"/>
              </w:rPr>
              <w:t>0</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11,708(7)</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58.46</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5/6/2029</w:t>
            </w:r>
          </w:p>
        </w:tc>
        <w:tc>
          <w:tcPr>
            <w:tcW w:w="340" w:type="dxa"/>
            <w:vAlign w:val="bottom"/>
          </w:tcPr>
          <w:p>
            <w:pPr>
              <w:spacing w:after="0"/>
              <w:rPr>
                <w:sz w:val="14"/>
                <w:szCs w:val="14"/>
                <w:color w:val="auto"/>
              </w:rPr>
            </w:pPr>
          </w:p>
        </w:tc>
        <w:tc>
          <w:tcPr>
            <w:tcW w:w="1780" w:type="dxa"/>
            <w:vAlign w:val="bottom"/>
          </w:tcPr>
          <w:p>
            <w:pPr>
              <w:jc w:val="right"/>
              <w:ind w:right="88"/>
              <w:spacing w:after="0"/>
              <w:rPr>
                <w:sz w:val="20"/>
                <w:szCs w:val="20"/>
                <w:color w:val="auto"/>
              </w:rPr>
            </w:pPr>
            <w:r>
              <w:rPr>
                <w:rFonts w:ascii="Arial" w:cs="Arial" w:eastAsia="Arial" w:hAnsi="Arial"/>
                <w:sz w:val="14"/>
                <w:szCs w:val="14"/>
                <w:color w:val="auto"/>
              </w:rPr>
              <w:t>2,724(9)</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120,292</w:t>
            </w:r>
          </w:p>
        </w:tc>
      </w:tr>
      <w:tr>
        <w:trPr>
          <w:trHeight w:val="157"/>
        </w:trPr>
        <w:tc>
          <w:tcPr>
            <w:tcW w:w="2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tcPr>
          <w:p>
            <w:pPr>
              <w:jc w:val="right"/>
              <w:ind w:right="8"/>
              <w:spacing w:after="0" w:line="157" w:lineRule="exact"/>
              <w:rPr>
                <w:sz w:val="20"/>
                <w:szCs w:val="20"/>
                <w:color w:val="auto"/>
              </w:rPr>
            </w:pPr>
            <w:r>
              <w:rPr>
                <w:rFonts w:ascii="Arial" w:cs="Arial" w:eastAsia="Arial" w:hAnsi="Arial"/>
                <w:sz w:val="14"/>
                <w:szCs w:val="14"/>
                <w:color w:val="auto"/>
              </w:rPr>
              <w:t>1,710(14)</w:t>
            </w:r>
          </w:p>
        </w:tc>
        <w:tc>
          <w:tcPr>
            <w:tcW w:w="14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75,514</w:t>
            </w:r>
          </w:p>
        </w:tc>
      </w:tr>
      <w:tr>
        <w:trPr>
          <w:trHeight w:val="162"/>
        </w:trPr>
        <w:tc>
          <w:tcPr>
            <w:tcW w:w="2220" w:type="dxa"/>
            <w:vAlign w:val="bottom"/>
            <w:shd w:val="clear" w:color="auto" w:fill="E5E5E5"/>
          </w:tcPr>
          <w:p>
            <w:pPr>
              <w:ind w:left="100"/>
              <w:spacing w:after="0"/>
              <w:rPr>
                <w:sz w:val="20"/>
                <w:szCs w:val="20"/>
                <w:color w:val="auto"/>
              </w:rPr>
            </w:pPr>
            <w:r>
              <w:rPr>
                <w:rFonts w:ascii="Arial" w:cs="Arial" w:eastAsia="Arial" w:hAnsi="Arial"/>
                <w:sz w:val="14"/>
                <w:szCs w:val="14"/>
                <w:color w:val="auto"/>
              </w:rPr>
              <w:t>Joe DeProspero</w:t>
            </w:r>
          </w:p>
        </w:tc>
        <w:tc>
          <w:tcPr>
            <w:tcW w:w="1480" w:type="dxa"/>
            <w:vAlign w:val="bottom"/>
            <w:gridSpan w:val="2"/>
            <w:shd w:val="clear" w:color="auto" w:fill="E5E5E5"/>
          </w:tcPr>
          <w:p>
            <w:pPr>
              <w:jc w:val="right"/>
              <w:ind w:right="148"/>
              <w:spacing w:after="0"/>
              <w:rPr>
                <w:sz w:val="20"/>
                <w:szCs w:val="20"/>
                <w:color w:val="auto"/>
              </w:rPr>
            </w:pPr>
            <w:r>
              <w:rPr>
                <w:rFonts w:ascii="Arial" w:cs="Arial" w:eastAsia="Arial" w:hAnsi="Arial"/>
                <w:sz w:val="14"/>
                <w:szCs w:val="14"/>
                <w:color w:val="auto"/>
              </w:rPr>
              <w:t>0</w:t>
            </w:r>
          </w:p>
        </w:tc>
        <w:tc>
          <w:tcPr>
            <w:tcW w:w="18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3,722(1)</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51.68</w:t>
            </w:r>
          </w:p>
        </w:tc>
        <w:tc>
          <w:tcPr>
            <w:tcW w:w="10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4/11/2029</w:t>
            </w:r>
          </w:p>
        </w:tc>
        <w:tc>
          <w:tcPr>
            <w:tcW w:w="340" w:type="dxa"/>
            <w:vAlign w:val="bottom"/>
            <w:shd w:val="clear" w:color="auto" w:fill="E5E5E5"/>
          </w:tcPr>
          <w:p>
            <w:pPr>
              <w:spacing w:after="0"/>
              <w:rPr>
                <w:sz w:val="14"/>
                <w:szCs w:val="14"/>
                <w:color w:val="auto"/>
              </w:rPr>
            </w:pPr>
          </w:p>
        </w:tc>
        <w:tc>
          <w:tcPr>
            <w:tcW w:w="17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846(9)</w:t>
            </w:r>
          </w:p>
        </w:tc>
        <w:tc>
          <w:tcPr>
            <w:tcW w:w="14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37,359</w:t>
            </w:r>
          </w:p>
        </w:tc>
      </w:tr>
      <w:tr>
        <w:trPr>
          <w:trHeight w:val="162"/>
        </w:trPr>
        <w:tc>
          <w:tcPr>
            <w:tcW w:w="2220" w:type="dxa"/>
            <w:vAlign w:val="bottom"/>
            <w:shd w:val="clear" w:color="auto" w:fill="E5E5E5"/>
          </w:tcPr>
          <w:p>
            <w:pPr>
              <w:spacing w:after="0"/>
              <w:rPr>
                <w:sz w:val="14"/>
                <w:szCs w:val="14"/>
                <w:color w:val="auto"/>
              </w:rPr>
            </w:pPr>
          </w:p>
        </w:tc>
        <w:tc>
          <w:tcPr>
            <w:tcW w:w="148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895(2)</w:t>
            </w:r>
          </w:p>
        </w:tc>
        <w:tc>
          <w:tcPr>
            <w:tcW w:w="18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1,790(3)</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41.65</w:t>
            </w:r>
          </w:p>
        </w:tc>
        <w:tc>
          <w:tcPr>
            <w:tcW w:w="10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4/12/2028</w:t>
            </w:r>
          </w:p>
        </w:tc>
        <w:tc>
          <w:tcPr>
            <w:tcW w:w="340" w:type="dxa"/>
            <w:vAlign w:val="bottom"/>
            <w:shd w:val="clear" w:color="auto" w:fill="E5E5E5"/>
          </w:tcPr>
          <w:p>
            <w:pPr>
              <w:spacing w:after="0"/>
              <w:rPr>
                <w:sz w:val="14"/>
                <w:szCs w:val="14"/>
                <w:color w:val="auto"/>
              </w:rPr>
            </w:pPr>
          </w:p>
        </w:tc>
        <w:tc>
          <w:tcPr>
            <w:tcW w:w="17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1,386(11)</w:t>
            </w:r>
          </w:p>
        </w:tc>
        <w:tc>
          <w:tcPr>
            <w:tcW w:w="14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61,206</w:t>
            </w:r>
          </w:p>
        </w:tc>
      </w:tr>
      <w:tr>
        <w:trPr>
          <w:trHeight w:val="162"/>
        </w:trPr>
        <w:tc>
          <w:tcPr>
            <w:tcW w:w="222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1,228(2)</w:t>
            </w:r>
          </w:p>
        </w:tc>
        <w:tc>
          <w:tcPr>
            <w:tcW w:w="18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613(5)</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59.67</w:t>
            </w:r>
          </w:p>
        </w:tc>
        <w:tc>
          <w:tcPr>
            <w:tcW w:w="10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4/7/2027</w:t>
            </w:r>
          </w:p>
        </w:tc>
        <w:tc>
          <w:tcPr>
            <w:tcW w:w="340" w:type="dxa"/>
            <w:vAlign w:val="bottom"/>
            <w:shd w:val="clear" w:color="auto" w:fill="E5E5E5"/>
          </w:tcPr>
          <w:p>
            <w:pPr>
              <w:spacing w:after="0"/>
              <w:rPr>
                <w:sz w:val="14"/>
                <w:szCs w:val="14"/>
                <w:color w:val="auto"/>
              </w:rPr>
            </w:pPr>
          </w:p>
        </w:tc>
        <w:tc>
          <w:tcPr>
            <w:tcW w:w="17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924(13)</w:t>
            </w:r>
          </w:p>
        </w:tc>
        <w:tc>
          <w:tcPr>
            <w:tcW w:w="14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40,804</w:t>
            </w:r>
          </w:p>
        </w:tc>
      </w:tr>
      <w:tr>
        <w:trPr>
          <w:trHeight w:val="162"/>
        </w:trPr>
        <w:tc>
          <w:tcPr>
            <w:tcW w:w="222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2,092(2)</w:t>
            </w:r>
          </w:p>
        </w:tc>
        <w:tc>
          <w:tcPr>
            <w:tcW w:w="18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0</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39.10</w:t>
            </w:r>
          </w:p>
        </w:tc>
        <w:tc>
          <w:tcPr>
            <w:tcW w:w="10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4/7/2026</w:t>
            </w:r>
          </w:p>
        </w:tc>
        <w:tc>
          <w:tcPr>
            <w:tcW w:w="340" w:type="dxa"/>
            <w:vAlign w:val="bottom"/>
            <w:shd w:val="clear" w:color="auto" w:fill="E5E5E5"/>
          </w:tcPr>
          <w:p>
            <w:pPr>
              <w:spacing w:after="0"/>
              <w:rPr>
                <w:sz w:val="14"/>
                <w:szCs w:val="14"/>
                <w:color w:val="auto"/>
              </w:rPr>
            </w:pPr>
          </w:p>
        </w:tc>
        <w:tc>
          <w:tcPr>
            <w:tcW w:w="1780" w:type="dxa"/>
            <w:vAlign w:val="bottom"/>
            <w:shd w:val="clear" w:color="auto" w:fill="E5E5E5"/>
          </w:tcPr>
          <w:p>
            <w:pPr>
              <w:spacing w:after="0"/>
              <w:rPr>
                <w:sz w:val="14"/>
                <w:szCs w:val="14"/>
                <w:color w:val="auto"/>
              </w:rPr>
            </w:pPr>
          </w:p>
        </w:tc>
        <w:tc>
          <w:tcPr>
            <w:tcW w:w="1420" w:type="dxa"/>
            <w:vAlign w:val="bottom"/>
            <w:shd w:val="clear" w:color="auto" w:fill="E5E5E5"/>
          </w:tcPr>
          <w:p>
            <w:pPr>
              <w:spacing w:after="0"/>
              <w:rPr>
                <w:sz w:val="14"/>
                <w:szCs w:val="14"/>
                <w:color w:val="auto"/>
              </w:rPr>
            </w:pPr>
          </w:p>
        </w:tc>
      </w:tr>
      <w:tr>
        <w:trPr>
          <w:trHeight w:val="162"/>
        </w:trPr>
        <w:tc>
          <w:tcPr>
            <w:tcW w:w="222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2,330(2)</w:t>
            </w:r>
          </w:p>
        </w:tc>
        <w:tc>
          <w:tcPr>
            <w:tcW w:w="180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31.71</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4/9/2025</w:t>
            </w:r>
          </w:p>
        </w:tc>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222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11,249(8)</w:t>
            </w:r>
          </w:p>
        </w:tc>
        <w:tc>
          <w:tcPr>
            <w:tcW w:w="18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0</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9.34</w:t>
            </w:r>
          </w:p>
        </w:tc>
        <w:tc>
          <w:tcPr>
            <w:tcW w:w="10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9/27/2023</w:t>
            </w:r>
          </w:p>
        </w:tc>
        <w:tc>
          <w:tcPr>
            <w:tcW w:w="340" w:type="dxa"/>
            <w:vAlign w:val="bottom"/>
            <w:shd w:val="clear" w:color="auto" w:fill="E5E5E5"/>
          </w:tcPr>
          <w:p>
            <w:pPr>
              <w:spacing w:after="0"/>
              <w:rPr>
                <w:sz w:val="14"/>
                <w:szCs w:val="14"/>
                <w:color w:val="auto"/>
              </w:rPr>
            </w:pPr>
          </w:p>
        </w:tc>
        <w:tc>
          <w:tcPr>
            <w:tcW w:w="1780" w:type="dxa"/>
            <w:vAlign w:val="bottom"/>
            <w:shd w:val="clear" w:color="auto" w:fill="E5E5E5"/>
          </w:tcPr>
          <w:p>
            <w:pPr>
              <w:spacing w:after="0"/>
              <w:rPr>
                <w:sz w:val="14"/>
                <w:szCs w:val="14"/>
                <w:color w:val="auto"/>
              </w:rPr>
            </w:pPr>
          </w:p>
        </w:tc>
        <w:tc>
          <w:tcPr>
            <w:tcW w:w="1420" w:type="dxa"/>
            <w:vAlign w:val="bottom"/>
            <w:shd w:val="clear" w:color="auto" w:fill="E5E5E5"/>
          </w:tcPr>
          <w:p>
            <w:pPr>
              <w:spacing w:after="0"/>
              <w:rPr>
                <w:sz w:val="14"/>
                <w:szCs w:val="14"/>
                <w:color w:val="auto"/>
              </w:rPr>
            </w:pPr>
          </w:p>
        </w:tc>
      </w:tr>
      <w:tr>
        <w:trPr>
          <w:trHeight w:val="162"/>
        </w:trPr>
        <w:tc>
          <w:tcPr>
            <w:tcW w:w="222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4,244(8)</w:t>
            </w:r>
          </w:p>
        </w:tc>
        <w:tc>
          <w:tcPr>
            <w:tcW w:w="18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0</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6.27</w:t>
            </w:r>
          </w:p>
        </w:tc>
        <w:tc>
          <w:tcPr>
            <w:tcW w:w="10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12/5/2022</w:t>
            </w:r>
          </w:p>
        </w:tc>
        <w:tc>
          <w:tcPr>
            <w:tcW w:w="340" w:type="dxa"/>
            <w:vAlign w:val="bottom"/>
            <w:shd w:val="clear" w:color="auto" w:fill="E5E5E5"/>
          </w:tcPr>
          <w:p>
            <w:pPr>
              <w:spacing w:after="0"/>
              <w:rPr>
                <w:sz w:val="14"/>
                <w:szCs w:val="14"/>
                <w:color w:val="auto"/>
              </w:rPr>
            </w:pPr>
          </w:p>
        </w:tc>
        <w:tc>
          <w:tcPr>
            <w:tcW w:w="1780" w:type="dxa"/>
            <w:vAlign w:val="bottom"/>
            <w:shd w:val="clear" w:color="auto" w:fill="E5E5E5"/>
          </w:tcPr>
          <w:p>
            <w:pPr>
              <w:spacing w:after="0"/>
              <w:rPr>
                <w:sz w:val="14"/>
                <w:szCs w:val="14"/>
                <w:color w:val="auto"/>
              </w:rPr>
            </w:pPr>
          </w:p>
        </w:tc>
        <w:tc>
          <w:tcPr>
            <w:tcW w:w="1420" w:type="dxa"/>
            <w:vAlign w:val="bottom"/>
            <w:shd w:val="clear" w:color="auto" w:fill="E5E5E5"/>
          </w:tcPr>
          <w:p>
            <w:pPr>
              <w:spacing w:after="0"/>
              <w:rPr>
                <w:sz w:val="14"/>
                <w:szCs w:val="14"/>
                <w:color w:val="auto"/>
              </w:rPr>
            </w:pPr>
          </w:p>
        </w:tc>
      </w:tr>
      <w:tr>
        <w:trPr>
          <w:trHeight w:val="167"/>
        </w:trPr>
        <w:tc>
          <w:tcPr>
            <w:tcW w:w="2220" w:type="dxa"/>
            <w:vAlign w:val="bottom"/>
          </w:tcPr>
          <w:p>
            <w:pPr>
              <w:ind w:left="100"/>
              <w:spacing w:after="0"/>
              <w:rPr>
                <w:sz w:val="20"/>
                <w:szCs w:val="20"/>
                <w:color w:val="auto"/>
              </w:rPr>
            </w:pPr>
            <w:r>
              <w:rPr>
                <w:rFonts w:ascii="Arial" w:cs="Arial" w:eastAsia="Arial" w:hAnsi="Arial"/>
                <w:sz w:val="14"/>
                <w:szCs w:val="14"/>
                <w:color w:val="auto"/>
              </w:rPr>
              <w:t>Sean Gleason</w:t>
            </w:r>
          </w:p>
        </w:tc>
        <w:tc>
          <w:tcPr>
            <w:tcW w:w="1480" w:type="dxa"/>
            <w:vAlign w:val="bottom"/>
            <w:gridSpan w:val="2"/>
          </w:tcPr>
          <w:p>
            <w:pPr>
              <w:jc w:val="right"/>
              <w:ind w:right="148"/>
              <w:spacing w:after="0"/>
              <w:rPr>
                <w:sz w:val="20"/>
                <w:szCs w:val="20"/>
                <w:color w:val="auto"/>
              </w:rPr>
            </w:pPr>
            <w:r>
              <w:rPr>
                <w:rFonts w:ascii="Arial" w:cs="Arial" w:eastAsia="Arial" w:hAnsi="Arial"/>
                <w:sz w:val="14"/>
                <w:szCs w:val="14"/>
                <w:color w:val="auto"/>
              </w:rPr>
              <w:t>0</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12,209(1)</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51.68</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4/11/2029</w:t>
            </w:r>
          </w:p>
        </w:tc>
        <w:tc>
          <w:tcPr>
            <w:tcW w:w="340" w:type="dxa"/>
            <w:vAlign w:val="bottom"/>
          </w:tcPr>
          <w:p>
            <w:pPr>
              <w:spacing w:after="0"/>
              <w:rPr>
                <w:sz w:val="14"/>
                <w:szCs w:val="14"/>
                <w:color w:val="auto"/>
              </w:rPr>
            </w:pPr>
          </w:p>
        </w:tc>
        <w:tc>
          <w:tcPr>
            <w:tcW w:w="1780" w:type="dxa"/>
            <w:vAlign w:val="bottom"/>
          </w:tcPr>
          <w:p>
            <w:pPr>
              <w:jc w:val="right"/>
              <w:ind w:right="88"/>
              <w:spacing w:after="0"/>
              <w:rPr>
                <w:sz w:val="20"/>
                <w:szCs w:val="20"/>
                <w:color w:val="auto"/>
              </w:rPr>
            </w:pPr>
            <w:r>
              <w:rPr>
                <w:rFonts w:ascii="Arial" w:cs="Arial" w:eastAsia="Arial" w:hAnsi="Arial"/>
                <w:sz w:val="14"/>
                <w:szCs w:val="14"/>
                <w:color w:val="auto"/>
              </w:rPr>
              <w:t>2,776(9)</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122,588</w:t>
            </w:r>
          </w:p>
        </w:tc>
      </w:tr>
      <w:tr>
        <w:trPr>
          <w:trHeight w:val="162"/>
        </w:trPr>
        <w:tc>
          <w:tcPr>
            <w:tcW w:w="222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3,744(2)</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7,486(3)</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41.65</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4/12/2028</w:t>
            </w:r>
          </w:p>
        </w:tc>
        <w:tc>
          <w:tcPr>
            <w:tcW w:w="340" w:type="dxa"/>
            <w:vAlign w:val="bottom"/>
          </w:tcPr>
          <w:p>
            <w:pPr>
              <w:spacing w:after="0"/>
              <w:rPr>
                <w:sz w:val="14"/>
                <w:szCs w:val="14"/>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5,798(11)</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256,040</w:t>
            </w:r>
          </w:p>
        </w:tc>
      </w:tr>
      <w:tr>
        <w:trPr>
          <w:trHeight w:val="162"/>
        </w:trPr>
        <w:tc>
          <w:tcPr>
            <w:tcW w:w="222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4,613(2)</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2,306(4)</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49.59</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9/7/2027</w:t>
            </w:r>
          </w:p>
        </w:tc>
        <w:tc>
          <w:tcPr>
            <w:tcW w:w="340" w:type="dxa"/>
            <w:vAlign w:val="bottom"/>
          </w:tcPr>
          <w:p>
            <w:pPr>
              <w:spacing w:after="0"/>
              <w:rPr>
                <w:sz w:val="14"/>
                <w:szCs w:val="14"/>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1,176(15)</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51,932</w:t>
            </w:r>
          </w:p>
        </w:tc>
      </w:tr>
      <w:tr>
        <w:trPr>
          <w:trHeight w:val="162"/>
        </w:trPr>
        <w:tc>
          <w:tcPr>
            <w:tcW w:w="222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3,595(2)</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1,797(5)</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59.67</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4/7/2027</w:t>
            </w:r>
          </w:p>
        </w:tc>
        <w:tc>
          <w:tcPr>
            <w:tcW w:w="340" w:type="dxa"/>
            <w:vAlign w:val="bottom"/>
          </w:tcPr>
          <w:p>
            <w:pPr>
              <w:spacing w:after="0"/>
              <w:rPr>
                <w:sz w:val="14"/>
                <w:szCs w:val="14"/>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2,708(13)</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119,585</w:t>
            </w:r>
          </w:p>
        </w:tc>
      </w:tr>
      <w:tr>
        <w:trPr>
          <w:trHeight w:val="162"/>
        </w:trPr>
        <w:tc>
          <w:tcPr>
            <w:tcW w:w="222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16,041(2)</w:t>
            </w:r>
          </w:p>
        </w:tc>
        <w:tc>
          <w:tcPr>
            <w:tcW w:w="180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39.10</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4/7/2026</w:t>
            </w:r>
          </w:p>
        </w:tc>
        <w:tc>
          <w:tcPr>
            <w:tcW w:w="340" w:type="dxa"/>
            <w:vAlign w:val="bottom"/>
          </w:tcPr>
          <w:p>
            <w:pPr>
              <w:spacing w:after="0"/>
              <w:rPr>
                <w:sz w:val="14"/>
                <w:szCs w:val="14"/>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10,504(16)</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463,857</w:t>
            </w:r>
          </w:p>
        </w:tc>
      </w:tr>
      <w:tr>
        <w:trPr>
          <w:trHeight w:val="162"/>
        </w:trPr>
        <w:tc>
          <w:tcPr>
            <w:tcW w:w="222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8,305(2)</w:t>
            </w:r>
          </w:p>
        </w:tc>
        <w:tc>
          <w:tcPr>
            <w:tcW w:w="180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31.71</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4/9/2025</w:t>
            </w:r>
          </w:p>
        </w:tc>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57"/>
        </w:trPr>
        <w:tc>
          <w:tcPr>
            <w:tcW w:w="2220" w:type="dxa"/>
            <w:vAlign w:val="bottom"/>
          </w:tcPr>
          <w:p>
            <w:pPr>
              <w:spacing w:after="0"/>
              <w:rPr>
                <w:sz w:val="13"/>
                <w:szCs w:val="13"/>
                <w:color w:val="auto"/>
              </w:rPr>
            </w:pPr>
          </w:p>
        </w:tc>
        <w:tc>
          <w:tcPr>
            <w:tcW w:w="14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17,633(2)</w:t>
            </w:r>
          </w:p>
        </w:tc>
        <w:tc>
          <w:tcPr>
            <w:tcW w:w="1800" w:type="dxa"/>
            <w:vAlign w:val="bottom"/>
          </w:tcPr>
          <w:p>
            <w:pPr>
              <w:jc w:val="right"/>
              <w:ind w:right="288"/>
              <w:spacing w:after="0" w:line="157" w:lineRule="exact"/>
              <w:rPr>
                <w:sz w:val="20"/>
                <w:szCs w:val="20"/>
                <w:color w:val="auto"/>
              </w:rPr>
            </w:pPr>
            <w:r>
              <w:rPr>
                <w:rFonts w:ascii="Arial" w:cs="Arial" w:eastAsia="Arial" w:hAnsi="Arial"/>
                <w:sz w:val="14"/>
                <w:szCs w:val="14"/>
                <w:color w:val="auto"/>
              </w:rPr>
              <w:t>0</w:t>
            </w:r>
          </w:p>
        </w:tc>
        <w:tc>
          <w:tcPr>
            <w:tcW w:w="9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16.00</w:t>
            </w:r>
          </w:p>
        </w:tc>
        <w:tc>
          <w:tcPr>
            <w:tcW w:w="10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10/9/2024</w:t>
            </w:r>
          </w:p>
        </w:tc>
        <w:tc>
          <w:tcPr>
            <w:tcW w:w="3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62"/>
        </w:trPr>
        <w:tc>
          <w:tcPr>
            <w:tcW w:w="2220" w:type="dxa"/>
            <w:vAlign w:val="bottom"/>
            <w:shd w:val="clear" w:color="auto" w:fill="E5E5E5"/>
          </w:tcPr>
          <w:p>
            <w:pPr>
              <w:ind w:left="100"/>
              <w:spacing w:after="0"/>
              <w:rPr>
                <w:sz w:val="20"/>
                <w:szCs w:val="20"/>
                <w:color w:val="auto"/>
              </w:rPr>
            </w:pPr>
            <w:r>
              <w:rPr>
                <w:rFonts w:ascii="Arial" w:cs="Arial" w:eastAsia="Arial" w:hAnsi="Arial"/>
                <w:sz w:val="14"/>
                <w:szCs w:val="14"/>
                <w:color w:val="auto"/>
              </w:rPr>
              <w:t>Margo L. Manning</w:t>
            </w:r>
          </w:p>
        </w:tc>
        <w:tc>
          <w:tcPr>
            <w:tcW w:w="1480" w:type="dxa"/>
            <w:vAlign w:val="bottom"/>
            <w:gridSpan w:val="2"/>
            <w:shd w:val="clear" w:color="auto" w:fill="E5E5E5"/>
          </w:tcPr>
          <w:p>
            <w:pPr>
              <w:jc w:val="right"/>
              <w:ind w:right="148"/>
              <w:spacing w:after="0"/>
              <w:rPr>
                <w:sz w:val="20"/>
                <w:szCs w:val="20"/>
                <w:color w:val="auto"/>
              </w:rPr>
            </w:pPr>
            <w:r>
              <w:rPr>
                <w:rFonts w:ascii="Arial" w:cs="Arial" w:eastAsia="Arial" w:hAnsi="Arial"/>
                <w:sz w:val="14"/>
                <w:szCs w:val="14"/>
                <w:color w:val="auto"/>
              </w:rPr>
              <w:t>0</w:t>
            </w:r>
          </w:p>
        </w:tc>
        <w:tc>
          <w:tcPr>
            <w:tcW w:w="18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20,964(1)</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51.68</w:t>
            </w:r>
          </w:p>
        </w:tc>
        <w:tc>
          <w:tcPr>
            <w:tcW w:w="10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4/11/2029</w:t>
            </w:r>
          </w:p>
        </w:tc>
        <w:tc>
          <w:tcPr>
            <w:tcW w:w="340" w:type="dxa"/>
            <w:vAlign w:val="bottom"/>
            <w:shd w:val="clear" w:color="auto" w:fill="E5E5E5"/>
          </w:tcPr>
          <w:p>
            <w:pPr>
              <w:spacing w:after="0"/>
              <w:rPr>
                <w:sz w:val="14"/>
                <w:szCs w:val="14"/>
                <w:color w:val="auto"/>
              </w:rPr>
            </w:pPr>
          </w:p>
        </w:tc>
        <w:tc>
          <w:tcPr>
            <w:tcW w:w="17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4,767(9)</w:t>
            </w:r>
          </w:p>
        </w:tc>
        <w:tc>
          <w:tcPr>
            <w:tcW w:w="14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210,511</w:t>
            </w:r>
          </w:p>
        </w:tc>
      </w:tr>
      <w:tr>
        <w:trPr>
          <w:trHeight w:val="162"/>
        </w:trPr>
        <w:tc>
          <w:tcPr>
            <w:tcW w:w="2220" w:type="dxa"/>
            <w:vAlign w:val="bottom"/>
            <w:shd w:val="clear" w:color="auto" w:fill="E5E5E5"/>
          </w:tcPr>
          <w:p>
            <w:pPr>
              <w:spacing w:after="0"/>
              <w:rPr>
                <w:sz w:val="14"/>
                <w:szCs w:val="14"/>
                <w:color w:val="auto"/>
              </w:rPr>
            </w:pPr>
          </w:p>
        </w:tc>
        <w:tc>
          <w:tcPr>
            <w:tcW w:w="148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8,138(2)</w:t>
            </w:r>
          </w:p>
        </w:tc>
        <w:tc>
          <w:tcPr>
            <w:tcW w:w="18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16,276(3)</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41.65</w:t>
            </w:r>
          </w:p>
        </w:tc>
        <w:tc>
          <w:tcPr>
            <w:tcW w:w="10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4/12/2028</w:t>
            </w:r>
          </w:p>
        </w:tc>
        <w:tc>
          <w:tcPr>
            <w:tcW w:w="340" w:type="dxa"/>
            <w:vAlign w:val="bottom"/>
            <w:shd w:val="clear" w:color="auto" w:fill="E5E5E5"/>
          </w:tcPr>
          <w:p>
            <w:pPr>
              <w:spacing w:after="0"/>
              <w:rPr>
                <w:sz w:val="14"/>
                <w:szCs w:val="14"/>
                <w:color w:val="auto"/>
              </w:rPr>
            </w:pPr>
          </w:p>
        </w:tc>
        <w:tc>
          <w:tcPr>
            <w:tcW w:w="17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12,604(11)</w:t>
            </w:r>
          </w:p>
        </w:tc>
        <w:tc>
          <w:tcPr>
            <w:tcW w:w="14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556,593</w:t>
            </w:r>
          </w:p>
        </w:tc>
      </w:tr>
      <w:tr>
        <w:trPr>
          <w:trHeight w:val="162"/>
        </w:trPr>
        <w:tc>
          <w:tcPr>
            <w:tcW w:w="222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9,710(2)</w:t>
            </w:r>
          </w:p>
        </w:tc>
        <w:tc>
          <w:tcPr>
            <w:tcW w:w="18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4,855(5)</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59.67</w:t>
            </w:r>
          </w:p>
        </w:tc>
        <w:tc>
          <w:tcPr>
            <w:tcW w:w="10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4/7/2027</w:t>
            </w:r>
          </w:p>
        </w:tc>
        <w:tc>
          <w:tcPr>
            <w:tcW w:w="340" w:type="dxa"/>
            <w:vAlign w:val="bottom"/>
            <w:shd w:val="clear" w:color="auto" w:fill="E5E5E5"/>
          </w:tcPr>
          <w:p>
            <w:pPr>
              <w:spacing w:after="0"/>
              <w:rPr>
                <w:sz w:val="14"/>
                <w:szCs w:val="14"/>
                <w:color w:val="auto"/>
              </w:rPr>
            </w:pPr>
          </w:p>
        </w:tc>
        <w:tc>
          <w:tcPr>
            <w:tcW w:w="17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5,446(17)</w:t>
            </w:r>
          </w:p>
        </w:tc>
        <w:tc>
          <w:tcPr>
            <w:tcW w:w="14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240,495</w:t>
            </w:r>
          </w:p>
        </w:tc>
      </w:tr>
      <w:tr>
        <w:trPr>
          <w:trHeight w:val="162"/>
        </w:trPr>
        <w:tc>
          <w:tcPr>
            <w:tcW w:w="222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14,275(2)</w:t>
            </w:r>
          </w:p>
        </w:tc>
        <w:tc>
          <w:tcPr>
            <w:tcW w:w="18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0</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39.10</w:t>
            </w:r>
          </w:p>
        </w:tc>
        <w:tc>
          <w:tcPr>
            <w:tcW w:w="10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4/7/2026</w:t>
            </w:r>
          </w:p>
        </w:tc>
        <w:tc>
          <w:tcPr>
            <w:tcW w:w="340" w:type="dxa"/>
            <w:vAlign w:val="bottom"/>
            <w:shd w:val="clear" w:color="auto" w:fill="E5E5E5"/>
          </w:tcPr>
          <w:p>
            <w:pPr>
              <w:spacing w:after="0"/>
              <w:rPr>
                <w:sz w:val="14"/>
                <w:szCs w:val="14"/>
                <w:color w:val="auto"/>
              </w:rPr>
            </w:pPr>
          </w:p>
        </w:tc>
        <w:tc>
          <w:tcPr>
            <w:tcW w:w="17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7,320(13)</w:t>
            </w:r>
          </w:p>
        </w:tc>
        <w:tc>
          <w:tcPr>
            <w:tcW w:w="14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323,251</w:t>
            </w:r>
          </w:p>
        </w:tc>
      </w:tr>
      <w:tr>
        <w:trPr>
          <w:trHeight w:val="162"/>
        </w:trPr>
        <w:tc>
          <w:tcPr>
            <w:tcW w:w="222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7,234(2)</w:t>
            </w:r>
          </w:p>
        </w:tc>
        <w:tc>
          <w:tcPr>
            <w:tcW w:w="180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31.71</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4/9/2025</w:t>
            </w:r>
          </w:p>
        </w:tc>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222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17,396(2)</w:t>
            </w:r>
          </w:p>
        </w:tc>
        <w:tc>
          <w:tcPr>
            <w:tcW w:w="18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0</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16.00</w:t>
            </w:r>
          </w:p>
        </w:tc>
        <w:tc>
          <w:tcPr>
            <w:tcW w:w="10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10/9/2024</w:t>
            </w:r>
          </w:p>
        </w:tc>
        <w:tc>
          <w:tcPr>
            <w:tcW w:w="340" w:type="dxa"/>
            <w:vAlign w:val="bottom"/>
            <w:shd w:val="clear" w:color="auto" w:fill="E5E5E5"/>
          </w:tcPr>
          <w:p>
            <w:pPr>
              <w:spacing w:after="0"/>
              <w:rPr>
                <w:sz w:val="14"/>
                <w:szCs w:val="14"/>
                <w:color w:val="auto"/>
              </w:rPr>
            </w:pPr>
          </w:p>
        </w:tc>
        <w:tc>
          <w:tcPr>
            <w:tcW w:w="1780" w:type="dxa"/>
            <w:vAlign w:val="bottom"/>
            <w:shd w:val="clear" w:color="auto" w:fill="E5E5E5"/>
          </w:tcPr>
          <w:p>
            <w:pPr>
              <w:spacing w:after="0"/>
              <w:rPr>
                <w:sz w:val="14"/>
                <w:szCs w:val="14"/>
                <w:color w:val="auto"/>
              </w:rPr>
            </w:pPr>
          </w:p>
        </w:tc>
        <w:tc>
          <w:tcPr>
            <w:tcW w:w="1420" w:type="dxa"/>
            <w:vAlign w:val="bottom"/>
            <w:shd w:val="clear" w:color="auto" w:fill="E5E5E5"/>
          </w:tcPr>
          <w:p>
            <w:pPr>
              <w:spacing w:after="0"/>
              <w:rPr>
                <w:sz w:val="14"/>
                <w:szCs w:val="14"/>
                <w:color w:val="auto"/>
              </w:rPr>
            </w:pPr>
          </w:p>
        </w:tc>
      </w:tr>
      <w:tr>
        <w:trPr>
          <w:trHeight w:val="162"/>
        </w:trPr>
        <w:tc>
          <w:tcPr>
            <w:tcW w:w="222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5,683(6)</w:t>
            </w:r>
          </w:p>
        </w:tc>
        <w:tc>
          <w:tcPr>
            <w:tcW w:w="180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0</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5.07</w:t>
            </w:r>
          </w:p>
        </w:tc>
        <w:tc>
          <w:tcPr>
            <w:tcW w:w="10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3/8/2022</w:t>
            </w:r>
          </w:p>
        </w:tc>
        <w:tc>
          <w:tcPr>
            <w:tcW w:w="340" w:type="dxa"/>
            <w:vAlign w:val="bottom"/>
            <w:shd w:val="clear" w:color="auto" w:fill="E5E5E5"/>
          </w:tcPr>
          <w:p>
            <w:pPr>
              <w:spacing w:after="0"/>
              <w:rPr>
                <w:sz w:val="14"/>
                <w:szCs w:val="14"/>
                <w:color w:val="auto"/>
              </w:rPr>
            </w:pPr>
          </w:p>
        </w:tc>
        <w:tc>
          <w:tcPr>
            <w:tcW w:w="1780" w:type="dxa"/>
            <w:vAlign w:val="bottom"/>
            <w:shd w:val="clear" w:color="auto" w:fill="E5E5E5"/>
          </w:tcPr>
          <w:p>
            <w:pPr>
              <w:spacing w:after="0"/>
              <w:rPr>
                <w:sz w:val="14"/>
                <w:szCs w:val="14"/>
                <w:color w:val="auto"/>
              </w:rPr>
            </w:pPr>
          </w:p>
        </w:tc>
        <w:tc>
          <w:tcPr>
            <w:tcW w:w="1420" w:type="dxa"/>
            <w:vAlign w:val="bottom"/>
            <w:shd w:val="clear" w:color="auto" w:fill="E5E5E5"/>
          </w:tcPr>
          <w:p>
            <w:pPr>
              <w:spacing w:after="0"/>
              <w:rPr>
                <w:sz w:val="14"/>
                <w:szCs w:val="14"/>
                <w:color w:val="auto"/>
              </w:rPr>
            </w:pPr>
          </w:p>
        </w:tc>
      </w:tr>
      <w:tr>
        <w:trPr>
          <w:trHeight w:val="167"/>
        </w:trPr>
        <w:tc>
          <w:tcPr>
            <w:tcW w:w="2220" w:type="dxa"/>
            <w:vAlign w:val="bottom"/>
          </w:tcPr>
          <w:p>
            <w:pPr>
              <w:ind w:left="100"/>
              <w:spacing w:after="0"/>
              <w:rPr>
                <w:sz w:val="20"/>
                <w:szCs w:val="20"/>
                <w:color w:val="auto"/>
              </w:rPr>
            </w:pPr>
            <w:r>
              <w:rPr>
                <w:rFonts w:ascii="Arial" w:cs="Arial" w:eastAsia="Arial" w:hAnsi="Arial"/>
                <w:sz w:val="14"/>
                <w:szCs w:val="14"/>
                <w:color w:val="auto"/>
              </w:rPr>
              <w:t>John B. Mulleady</w:t>
            </w:r>
          </w:p>
        </w:tc>
        <w:tc>
          <w:tcPr>
            <w:tcW w:w="1480" w:type="dxa"/>
            <w:vAlign w:val="bottom"/>
            <w:gridSpan w:val="2"/>
          </w:tcPr>
          <w:p>
            <w:pPr>
              <w:jc w:val="right"/>
              <w:ind w:right="148"/>
              <w:spacing w:after="0"/>
              <w:rPr>
                <w:sz w:val="20"/>
                <w:szCs w:val="20"/>
                <w:color w:val="auto"/>
              </w:rPr>
            </w:pPr>
            <w:r>
              <w:rPr>
                <w:rFonts w:ascii="Arial" w:cs="Arial" w:eastAsia="Arial" w:hAnsi="Arial"/>
                <w:sz w:val="14"/>
                <w:szCs w:val="14"/>
                <w:color w:val="auto"/>
              </w:rPr>
              <w:t>0</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14,723(1)</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51.68</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4/11/2029</w:t>
            </w:r>
          </w:p>
        </w:tc>
        <w:tc>
          <w:tcPr>
            <w:tcW w:w="340" w:type="dxa"/>
            <w:vAlign w:val="bottom"/>
          </w:tcPr>
          <w:p>
            <w:pPr>
              <w:spacing w:after="0"/>
              <w:rPr>
                <w:sz w:val="14"/>
                <w:szCs w:val="14"/>
                <w:color w:val="auto"/>
              </w:rPr>
            </w:pPr>
          </w:p>
        </w:tc>
        <w:tc>
          <w:tcPr>
            <w:tcW w:w="1780" w:type="dxa"/>
            <w:vAlign w:val="bottom"/>
          </w:tcPr>
          <w:p>
            <w:pPr>
              <w:jc w:val="right"/>
              <w:ind w:right="88"/>
              <w:spacing w:after="0"/>
              <w:rPr>
                <w:sz w:val="20"/>
                <w:szCs w:val="20"/>
                <w:color w:val="auto"/>
              </w:rPr>
            </w:pPr>
            <w:r>
              <w:rPr>
                <w:rFonts w:ascii="Arial" w:cs="Arial" w:eastAsia="Arial" w:hAnsi="Arial"/>
                <w:sz w:val="14"/>
                <w:szCs w:val="14"/>
                <w:color w:val="auto"/>
              </w:rPr>
              <w:t>3,348(9)</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147,848</w:t>
            </w:r>
          </w:p>
        </w:tc>
      </w:tr>
      <w:tr>
        <w:trPr>
          <w:trHeight w:val="162"/>
        </w:trPr>
        <w:tc>
          <w:tcPr>
            <w:tcW w:w="222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4,340(2)</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8,680(3)</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41.65</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4/12/2028</w:t>
            </w:r>
          </w:p>
        </w:tc>
        <w:tc>
          <w:tcPr>
            <w:tcW w:w="340" w:type="dxa"/>
            <w:vAlign w:val="bottom"/>
          </w:tcPr>
          <w:p>
            <w:pPr>
              <w:spacing w:after="0"/>
              <w:rPr>
                <w:sz w:val="14"/>
                <w:szCs w:val="14"/>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6,722(11)</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296,844</w:t>
            </w:r>
          </w:p>
        </w:tc>
      </w:tr>
      <w:tr>
        <w:trPr>
          <w:trHeight w:val="162"/>
        </w:trPr>
        <w:tc>
          <w:tcPr>
            <w:tcW w:w="222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6,081(2)</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3,040(5)</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59.67</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4/7/2027</w:t>
            </w:r>
          </w:p>
        </w:tc>
        <w:tc>
          <w:tcPr>
            <w:tcW w:w="340" w:type="dxa"/>
            <w:vAlign w:val="bottom"/>
          </w:tcPr>
          <w:p>
            <w:pPr>
              <w:spacing w:after="0"/>
              <w:rPr>
                <w:sz w:val="14"/>
                <w:szCs w:val="14"/>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3,351(18)</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147,980</w:t>
            </w:r>
          </w:p>
        </w:tc>
      </w:tr>
      <w:tr>
        <w:trPr>
          <w:trHeight w:val="162"/>
        </w:trPr>
        <w:tc>
          <w:tcPr>
            <w:tcW w:w="222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14,230(2)</w:t>
            </w:r>
          </w:p>
        </w:tc>
        <w:tc>
          <w:tcPr>
            <w:tcW w:w="180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39.10</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4/7/2026</w:t>
            </w:r>
          </w:p>
        </w:tc>
        <w:tc>
          <w:tcPr>
            <w:tcW w:w="340" w:type="dxa"/>
            <w:vAlign w:val="bottom"/>
          </w:tcPr>
          <w:p>
            <w:pPr>
              <w:spacing w:after="0"/>
              <w:rPr>
                <w:sz w:val="14"/>
                <w:szCs w:val="14"/>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4,584(13)</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202,429</w:t>
            </w:r>
          </w:p>
        </w:tc>
      </w:tr>
      <w:tr>
        <w:trPr>
          <w:trHeight w:val="162"/>
        </w:trPr>
        <w:tc>
          <w:tcPr>
            <w:tcW w:w="222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14,282(2)</w:t>
            </w:r>
          </w:p>
        </w:tc>
        <w:tc>
          <w:tcPr>
            <w:tcW w:w="180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31.71</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4/9/2025</w:t>
            </w:r>
          </w:p>
        </w:tc>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222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38,225(2)</w:t>
            </w:r>
          </w:p>
        </w:tc>
        <w:tc>
          <w:tcPr>
            <w:tcW w:w="180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16.00</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10/9/2024</w:t>
            </w:r>
          </w:p>
        </w:tc>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57"/>
        </w:trPr>
        <w:tc>
          <w:tcPr>
            <w:tcW w:w="2220" w:type="dxa"/>
            <w:vAlign w:val="bottom"/>
            <w:tcBorders>
              <w:bottom w:val="single" w:sz="8" w:color="003B71"/>
            </w:tcBorders>
          </w:tcPr>
          <w:p>
            <w:pPr>
              <w:spacing w:after="0"/>
              <w:rPr>
                <w:sz w:val="13"/>
                <w:szCs w:val="13"/>
                <w:color w:val="auto"/>
              </w:rPr>
            </w:pPr>
          </w:p>
        </w:tc>
        <w:tc>
          <w:tcPr>
            <w:tcW w:w="1480" w:type="dxa"/>
            <w:vAlign w:val="bottom"/>
            <w:tcBorders>
              <w:bottom w:val="single" w:sz="8" w:color="003B71"/>
            </w:tcBorders>
            <w:gridSpan w:val="2"/>
          </w:tcPr>
          <w:p>
            <w:pPr>
              <w:jc w:val="right"/>
              <w:spacing w:after="0" w:line="157" w:lineRule="exact"/>
              <w:rPr>
                <w:sz w:val="20"/>
                <w:szCs w:val="20"/>
                <w:color w:val="auto"/>
              </w:rPr>
            </w:pPr>
            <w:r>
              <w:rPr>
                <w:rFonts w:ascii="Arial" w:cs="Arial" w:eastAsia="Arial" w:hAnsi="Arial"/>
                <w:sz w:val="14"/>
                <w:szCs w:val="14"/>
                <w:color w:val="auto"/>
              </w:rPr>
              <w:t>20,953(8)</w:t>
            </w:r>
          </w:p>
        </w:tc>
        <w:tc>
          <w:tcPr>
            <w:tcW w:w="1800" w:type="dxa"/>
            <w:vAlign w:val="bottom"/>
            <w:tcBorders>
              <w:bottom w:val="single" w:sz="8" w:color="003B71"/>
            </w:tcBorders>
          </w:tcPr>
          <w:p>
            <w:pPr>
              <w:jc w:val="right"/>
              <w:ind w:right="288"/>
              <w:spacing w:after="0" w:line="157" w:lineRule="exact"/>
              <w:rPr>
                <w:sz w:val="20"/>
                <w:szCs w:val="20"/>
                <w:color w:val="auto"/>
              </w:rPr>
            </w:pPr>
            <w:r>
              <w:rPr>
                <w:rFonts w:ascii="Arial" w:cs="Arial" w:eastAsia="Arial" w:hAnsi="Arial"/>
                <w:sz w:val="14"/>
                <w:szCs w:val="14"/>
                <w:color w:val="auto"/>
              </w:rPr>
              <w:t>0</w:t>
            </w:r>
          </w:p>
        </w:tc>
        <w:tc>
          <w:tcPr>
            <w:tcW w:w="900" w:type="dxa"/>
            <w:vAlign w:val="bottom"/>
            <w:tcBorders>
              <w:bottom w:val="single" w:sz="8" w:color="003B71"/>
            </w:tcBorders>
          </w:tcPr>
          <w:p>
            <w:pPr>
              <w:jc w:val="right"/>
              <w:ind w:right="28"/>
              <w:spacing w:after="0" w:line="157" w:lineRule="exact"/>
              <w:rPr>
                <w:sz w:val="20"/>
                <w:szCs w:val="20"/>
                <w:color w:val="auto"/>
              </w:rPr>
            </w:pPr>
            <w:r>
              <w:rPr>
                <w:rFonts w:ascii="Arial" w:cs="Arial" w:eastAsia="Arial" w:hAnsi="Arial"/>
                <w:sz w:val="14"/>
                <w:szCs w:val="14"/>
                <w:color w:val="auto"/>
              </w:rPr>
              <w:t>9.34</w:t>
            </w:r>
          </w:p>
        </w:tc>
        <w:tc>
          <w:tcPr>
            <w:tcW w:w="1080" w:type="dxa"/>
            <w:vAlign w:val="bottom"/>
            <w:tcBorders>
              <w:bottom w:val="single" w:sz="8" w:color="003B71"/>
            </w:tcBorders>
          </w:tcPr>
          <w:p>
            <w:pPr>
              <w:jc w:val="right"/>
              <w:ind w:right="48"/>
              <w:spacing w:after="0" w:line="157" w:lineRule="exact"/>
              <w:rPr>
                <w:sz w:val="20"/>
                <w:szCs w:val="20"/>
                <w:color w:val="auto"/>
              </w:rPr>
            </w:pPr>
            <w:r>
              <w:rPr>
                <w:rFonts w:ascii="Arial" w:cs="Arial" w:eastAsia="Arial" w:hAnsi="Arial"/>
                <w:sz w:val="14"/>
                <w:szCs w:val="14"/>
                <w:color w:val="auto"/>
              </w:rPr>
              <w:t>9/27/2023</w:t>
            </w:r>
          </w:p>
        </w:tc>
        <w:tc>
          <w:tcPr>
            <w:tcW w:w="340" w:type="dxa"/>
            <w:vAlign w:val="bottom"/>
            <w:tcBorders>
              <w:bottom w:val="single" w:sz="8" w:color="003B71"/>
            </w:tcBorders>
          </w:tcPr>
          <w:p>
            <w:pPr>
              <w:spacing w:after="0"/>
              <w:rPr>
                <w:sz w:val="13"/>
                <w:szCs w:val="13"/>
                <w:color w:val="auto"/>
              </w:rPr>
            </w:pPr>
          </w:p>
        </w:tc>
        <w:tc>
          <w:tcPr>
            <w:tcW w:w="1780" w:type="dxa"/>
            <w:vAlign w:val="bottom"/>
            <w:tcBorders>
              <w:bottom w:val="single" w:sz="8" w:color="003B71"/>
            </w:tcBorders>
          </w:tcPr>
          <w:p>
            <w:pPr>
              <w:spacing w:after="0"/>
              <w:rPr>
                <w:sz w:val="13"/>
                <w:szCs w:val="13"/>
                <w:color w:val="auto"/>
              </w:rPr>
            </w:pPr>
          </w:p>
        </w:tc>
        <w:tc>
          <w:tcPr>
            <w:tcW w:w="1420" w:type="dxa"/>
            <w:vAlign w:val="bottom"/>
            <w:tcBorders>
              <w:bottom w:val="single" w:sz="8" w:color="003B71"/>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-3608070</wp:posOffset>
            </wp:positionV>
            <wp:extent cx="5383530" cy="514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83530" cy="51435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-2579370</wp:posOffset>
            </wp:positionV>
            <wp:extent cx="5383530" cy="4114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83530" cy="41148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-1139190</wp:posOffset>
            </wp:positionV>
            <wp:extent cx="5383530" cy="4114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383530" cy="411480"/>
                    </a:xfrm>
                    <a:prstGeom prst="rect">
                      <a:avLst/>
                    </a:prstGeom>
                    <a:noFill/>
                  </pic:spPr>
                </pic:pic>
              </a:graphicData>
            </a:graphic>
          </wp:anchor>
        </w:drawing>
      </w:r>
    </w:p>
    <w:p>
      <w:pPr>
        <w:spacing w:after="0" w:line="63" w:lineRule="exact"/>
        <w:rPr>
          <w:sz w:val="20"/>
          <w:szCs w:val="20"/>
          <w:color w:val="auto"/>
        </w:rPr>
      </w:pPr>
    </w:p>
    <w:p>
      <w:pPr>
        <w:ind w:left="540" w:right="20" w:hanging="424"/>
        <w:spacing w:after="0" w:line="260" w:lineRule="auto"/>
        <w:tabs>
          <w:tab w:leader="none" w:pos="5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These options represent unvested service-based options granted under the 2014 Stock Incentive Plan. One-third of these options will vest on each of April 11, 2020, April 11, 2021 and April 11, 2022.</w:t>
      </w:r>
    </w:p>
    <w:p>
      <w:pPr>
        <w:spacing w:after="0" w:line="11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49</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These options represent vested service-based options granted under the 2014 Stock Incentive Plan.</w:t>
      </w:r>
    </w:p>
    <w:p>
      <w:pPr>
        <w:spacing w:after="0" w:line="8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These options represent unvested service-based options granted under the 2014 Stock Incentive Plan. Half of these options will vest on each of April 12, 2020 and April 12, 2021.</w:t>
      </w:r>
    </w:p>
    <w:p>
      <w:pPr>
        <w:spacing w:after="0" w:line="60"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These options represent unvested service-based options granted under the 2014 Stock Incentive Plan to Mr. Jenkins and Mr. Gleason in recognition of their respective strong performance and contribution to the Company’s success. These options will vest on September 7, 2020.</w:t>
      </w:r>
    </w:p>
    <w:p>
      <w:pPr>
        <w:spacing w:after="0" w:line="60" w:lineRule="exact"/>
        <w:rPr>
          <w:rFonts w:ascii="Arial" w:cs="Arial" w:eastAsia="Arial" w:hAnsi="Arial"/>
          <w:sz w:val="16"/>
          <w:szCs w:val="16"/>
          <w:color w:val="auto"/>
        </w:rPr>
      </w:pPr>
    </w:p>
    <w:p>
      <w:pPr>
        <w:ind w:left="540" w:hanging="424"/>
        <w:spacing w:after="0"/>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These options represent unvested service-based options granted under the 2014 Stock Incentive Plan. These options will vest on April 7, 2020.</w:t>
      </w:r>
    </w:p>
    <w:p>
      <w:pPr>
        <w:spacing w:after="0" w:line="86" w:lineRule="exact"/>
        <w:rPr>
          <w:rFonts w:ascii="Arial" w:cs="Arial" w:eastAsia="Arial" w:hAnsi="Arial"/>
          <w:sz w:val="16"/>
          <w:szCs w:val="16"/>
          <w:color w:val="auto"/>
        </w:rPr>
      </w:pPr>
    </w:p>
    <w:p>
      <w:pPr>
        <w:ind w:left="540" w:hanging="424"/>
        <w:spacing w:after="0"/>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These options represent vested performance-based options granted under the 2010 Stock Incentive Plan.</w:t>
      </w:r>
    </w:p>
    <w:p>
      <w:pPr>
        <w:spacing w:after="0" w:line="8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These options represent unvested service-based options granted under the 2014 Stock Incentive Plan. One-third of these options will vest on each of May 6, 2020, May 6, 2021 and May 6, 2022.</w:t>
      </w:r>
    </w:p>
    <w:p>
      <w:pPr>
        <w:spacing w:after="0" w:line="60" w:lineRule="exact"/>
        <w:rPr>
          <w:rFonts w:ascii="Arial" w:cs="Arial" w:eastAsia="Arial" w:hAnsi="Arial"/>
          <w:sz w:val="16"/>
          <w:szCs w:val="16"/>
          <w:color w:val="auto"/>
        </w:rPr>
      </w:pPr>
    </w:p>
    <w:p>
      <w:pPr>
        <w:ind w:left="540" w:hanging="424"/>
        <w:spacing w:after="0"/>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These options represent vested service-based options granted under the 2010 Stock Incentive Plan.</w:t>
      </w:r>
    </w:p>
    <w:p>
      <w:pPr>
        <w:spacing w:after="0" w:line="86" w:lineRule="exact"/>
        <w:rPr>
          <w:rFonts w:ascii="Arial" w:cs="Arial" w:eastAsia="Arial" w:hAnsi="Arial"/>
          <w:sz w:val="16"/>
          <w:szCs w:val="16"/>
          <w:color w:val="auto"/>
        </w:rPr>
      </w:pPr>
    </w:p>
    <w:p>
      <w:pPr>
        <w:ind w:left="540" w:hanging="424"/>
        <w:spacing w:after="0"/>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These grants reflect target RSU awards under the Fiscal 2019-2021 LTIP.</w:t>
      </w:r>
    </w:p>
    <w:p>
      <w:pPr>
        <w:spacing w:after="0" w:line="8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This grant reflects an award to Mr. Jenkins in connection with his succession to CEO of the Company. These RSUs vest in equal installments on June 11, 2021 and June 11, 2022.</w:t>
      </w:r>
    </w:p>
    <w:p>
      <w:pPr>
        <w:spacing w:after="0" w:line="60" w:lineRule="exact"/>
        <w:rPr>
          <w:rFonts w:ascii="Arial" w:cs="Arial" w:eastAsia="Arial" w:hAnsi="Arial"/>
          <w:sz w:val="16"/>
          <w:szCs w:val="16"/>
          <w:color w:val="auto"/>
        </w:rPr>
      </w:pPr>
    </w:p>
    <w:p>
      <w:pPr>
        <w:ind w:left="540" w:hanging="424"/>
        <w:spacing w:after="0"/>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These grants reflect maximum RSU awards under the Fiscal 2018-Fiscal 2020 LTIP.</w:t>
      </w:r>
    </w:p>
    <w:p>
      <w:pPr>
        <w:spacing w:after="0" w:line="8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This grant reflects an award of RSUs to Mr. Jenkins in recognition of his strong performance and contribution to the Company’s success. These RSUs vest in equal installments on September 7, 2021 and September 7, 2022.</w:t>
      </w:r>
    </w:p>
    <w:p>
      <w:pPr>
        <w:spacing w:after="0" w:line="60" w:lineRule="exact"/>
        <w:rPr>
          <w:rFonts w:ascii="Arial" w:cs="Arial" w:eastAsia="Arial" w:hAnsi="Arial"/>
          <w:sz w:val="16"/>
          <w:szCs w:val="16"/>
          <w:color w:val="auto"/>
        </w:rPr>
      </w:pPr>
    </w:p>
    <w:p>
      <w:pPr>
        <w:ind w:left="540" w:hanging="424"/>
        <w:spacing w:after="0"/>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These grants reflect maximum RSU awards under the Fiscal 2017-Fiscal 2019 LTIP.</w:t>
      </w:r>
    </w:p>
    <w:p>
      <w:pPr>
        <w:spacing w:after="0" w:line="8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This grant reflects an award of RSUs to Mr. Bowman in connection with his joining the Company. One-third of these RSUs vest in on each of May 6, 2020, May 6, 2021 and May 6, 2022.</w:t>
      </w:r>
    </w:p>
    <w:p>
      <w:pPr>
        <w:spacing w:after="0" w:line="60"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This grant reflects an award of RSUs to Mr. Gleason in recognition of his strong performance and contribution to the Company’s success. These RSUs vest in equal installments on September 7, 2021 and September 7, 2022.</w:t>
      </w:r>
    </w:p>
    <w:p>
      <w:pPr>
        <w:spacing w:after="0" w:line="60"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This grant reflects an award of RSUs to Mr. Gleason in recognition of his strong performance and contribution to the Company’s success. These RSUs vest in equal installments on July 18, 2020 and July 18, 2021.</w:t>
      </w:r>
    </w:p>
    <w:p>
      <w:pPr>
        <w:spacing w:after="0" w:line="60"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This grant reflects an award of RSUs to Ms. Manning in recognition of her strong performance and contribution to the Company’s success. These RSUs vest in equal installments on April 7, 2021 and April 7, 2022.</w:t>
      </w:r>
    </w:p>
    <w:p>
      <w:pPr>
        <w:spacing w:after="0" w:line="60"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This grant reflects an award of RSUs to Mr. Mulleady in recognition of his strong performance and contribution to the Company’s success. These RSUs vest in equal installments on April 7, 2021 and April 7, 2022.</w:t>
      </w:r>
    </w:p>
    <w:p>
      <w:pPr>
        <w:spacing w:after="0" w:line="60" w:lineRule="exact"/>
        <w:rPr>
          <w:rFonts w:ascii="Arial" w:cs="Arial" w:eastAsia="Arial" w:hAnsi="Arial"/>
          <w:sz w:val="16"/>
          <w:szCs w:val="16"/>
          <w:color w:val="auto"/>
        </w:rPr>
      </w:pPr>
    </w:p>
    <w:p>
      <w:pPr>
        <w:jc w:val="both"/>
        <w:ind w:left="540" w:right="20" w:hanging="424"/>
        <w:spacing w:after="0" w:line="250" w:lineRule="auto"/>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The market value is equal to the number of shares underlying the units based on achieving target or maximum performance goals, as applicable, multiplied by the closing market price of the Company’s common stock on January 31, 2020, the last trading day of the Company’s fiscal year. Actual payout and market value is dependent on achievement in any remaining term of the measurement period. Subsequent to the end of the 2019 fiscal year, attainment under the 2017 Long Term Incentive Plan was calculated. The actual number of shares awarded to each NEO under that plan are detailed in the table in the </w:t>
      </w:r>
      <w:r>
        <w:rPr>
          <w:rFonts w:ascii="Arial" w:cs="Arial" w:eastAsia="Arial" w:hAnsi="Arial"/>
          <w:sz w:val="16"/>
          <w:szCs w:val="16"/>
          <w:i w:val="1"/>
          <w:iCs w:val="1"/>
          <w:color w:val="auto"/>
        </w:rPr>
        <w:t>2017 Long Term Incentive Award Payout</w:t>
      </w:r>
      <w:r>
        <w:rPr>
          <w:rFonts w:ascii="Arial" w:cs="Arial" w:eastAsia="Arial" w:hAnsi="Arial"/>
          <w:sz w:val="16"/>
          <w:szCs w:val="16"/>
          <w:color w:val="auto"/>
        </w:rPr>
        <w:t xml:space="preserve"> discussion on p. 40.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Fiscal 2019 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720" w:type="dxa"/>
            <w:vAlign w:val="bottom"/>
          </w:tcPr>
          <w:p>
            <w:pPr>
              <w:spacing w:after="0"/>
              <w:rPr>
                <w:sz w:val="15"/>
                <w:szCs w:val="15"/>
                <w:color w:val="auto"/>
              </w:rPr>
            </w:pPr>
          </w:p>
        </w:tc>
        <w:tc>
          <w:tcPr>
            <w:tcW w:w="4820" w:type="dxa"/>
            <w:vAlign w:val="bottom"/>
            <w:gridSpan w:val="3"/>
          </w:tcPr>
          <w:p>
            <w:pPr>
              <w:ind w:left="1700"/>
              <w:spacing w:after="0"/>
              <w:rPr>
                <w:sz w:val="20"/>
                <w:szCs w:val="20"/>
                <w:color w:val="auto"/>
              </w:rPr>
            </w:pPr>
            <w:r>
              <w:rPr>
                <w:rFonts w:ascii="Arial" w:cs="Arial" w:eastAsia="Arial" w:hAnsi="Arial"/>
                <w:sz w:val="14"/>
                <w:szCs w:val="14"/>
                <w:b w:val="1"/>
                <w:bCs w:val="1"/>
                <w:color w:val="003B71"/>
              </w:rPr>
              <w:t>OPTION AWARDS</w:t>
            </w:r>
          </w:p>
        </w:tc>
        <w:tc>
          <w:tcPr>
            <w:tcW w:w="4480" w:type="dxa"/>
            <w:vAlign w:val="bottom"/>
            <w:gridSpan w:val="2"/>
          </w:tcPr>
          <w:p>
            <w:pPr>
              <w:jc w:val="right"/>
              <w:ind w:right="1421"/>
              <w:spacing w:after="0"/>
              <w:rPr>
                <w:sz w:val="20"/>
                <w:szCs w:val="20"/>
                <w:color w:val="auto"/>
              </w:rPr>
            </w:pPr>
            <w:r>
              <w:rPr>
                <w:rFonts w:ascii="Arial" w:cs="Arial" w:eastAsia="Arial" w:hAnsi="Arial"/>
                <w:sz w:val="14"/>
                <w:szCs w:val="14"/>
                <w:b w:val="1"/>
                <w:bCs w:val="1"/>
                <w:color w:val="003B71"/>
              </w:rPr>
              <w:t>STOCK VESTED</w:t>
            </w:r>
          </w:p>
        </w:tc>
      </w:tr>
      <w:tr>
        <w:trPr>
          <w:trHeight w:val="142"/>
        </w:trPr>
        <w:tc>
          <w:tcPr>
            <w:tcW w:w="1720" w:type="dxa"/>
            <w:vAlign w:val="bottom"/>
          </w:tcPr>
          <w:p>
            <w:pPr>
              <w:spacing w:after="0"/>
              <w:rPr>
                <w:sz w:val="12"/>
                <w:szCs w:val="12"/>
                <w:color w:val="auto"/>
              </w:rPr>
            </w:pPr>
          </w:p>
        </w:tc>
        <w:tc>
          <w:tcPr>
            <w:tcW w:w="2120" w:type="dxa"/>
            <w:vAlign w:val="bottom"/>
            <w:tcBorders>
              <w:top w:val="single" w:sz="8" w:color="003B71"/>
            </w:tcBorders>
          </w:tcPr>
          <w:p>
            <w:pPr>
              <w:jc w:val="right"/>
              <w:ind w:right="282"/>
              <w:spacing w:after="0" w:line="143" w:lineRule="exact"/>
              <w:rPr>
                <w:sz w:val="20"/>
                <w:szCs w:val="20"/>
                <w:color w:val="auto"/>
              </w:rPr>
            </w:pPr>
            <w:r>
              <w:rPr>
                <w:rFonts w:ascii="Arial" w:cs="Arial" w:eastAsia="Arial" w:hAnsi="Arial"/>
                <w:sz w:val="14"/>
                <w:szCs w:val="14"/>
                <w:b w:val="1"/>
                <w:bCs w:val="1"/>
                <w:color w:val="003B71"/>
              </w:rPr>
              <w:t>Number of Shares</w:t>
            </w:r>
          </w:p>
        </w:tc>
        <w:tc>
          <w:tcPr>
            <w:tcW w:w="2140" w:type="dxa"/>
            <w:vAlign w:val="bottom"/>
            <w:tcBorders>
              <w:top w:val="single" w:sz="8" w:color="003B71"/>
            </w:tcBorders>
          </w:tcPr>
          <w:p>
            <w:pPr>
              <w:jc w:val="right"/>
              <w:spacing w:after="0" w:line="143" w:lineRule="exact"/>
              <w:rPr>
                <w:sz w:val="20"/>
                <w:szCs w:val="20"/>
                <w:color w:val="auto"/>
              </w:rPr>
            </w:pPr>
            <w:r>
              <w:rPr>
                <w:rFonts w:ascii="Arial" w:cs="Arial" w:eastAsia="Arial" w:hAnsi="Arial"/>
                <w:sz w:val="14"/>
                <w:szCs w:val="14"/>
                <w:b w:val="1"/>
                <w:bCs w:val="1"/>
                <w:color w:val="003B71"/>
              </w:rPr>
              <w:t>Value Realized on Exercise</w:t>
            </w:r>
          </w:p>
        </w:tc>
        <w:tc>
          <w:tcPr>
            <w:tcW w:w="560" w:type="dxa"/>
            <w:vAlign w:val="bottom"/>
          </w:tcPr>
          <w:p>
            <w:pPr>
              <w:spacing w:after="0"/>
              <w:rPr>
                <w:sz w:val="12"/>
                <w:szCs w:val="12"/>
                <w:color w:val="auto"/>
              </w:rPr>
            </w:pPr>
          </w:p>
        </w:tc>
        <w:tc>
          <w:tcPr>
            <w:tcW w:w="2320" w:type="dxa"/>
            <w:vAlign w:val="bottom"/>
            <w:tcBorders>
              <w:top w:val="single" w:sz="8" w:color="003B71"/>
            </w:tcBorders>
          </w:tcPr>
          <w:p>
            <w:pPr>
              <w:jc w:val="right"/>
              <w:ind w:right="362"/>
              <w:spacing w:after="0" w:line="143" w:lineRule="exact"/>
              <w:rPr>
                <w:sz w:val="20"/>
                <w:szCs w:val="20"/>
                <w:color w:val="auto"/>
              </w:rPr>
            </w:pPr>
            <w:r>
              <w:rPr>
                <w:rFonts w:ascii="Arial" w:cs="Arial" w:eastAsia="Arial" w:hAnsi="Arial"/>
                <w:sz w:val="14"/>
                <w:szCs w:val="14"/>
                <w:b w:val="1"/>
                <w:bCs w:val="1"/>
                <w:color w:val="003B71"/>
              </w:rPr>
              <w:t>Number of Shares</w:t>
            </w:r>
          </w:p>
        </w:tc>
        <w:tc>
          <w:tcPr>
            <w:tcW w:w="2160" w:type="dxa"/>
            <w:vAlign w:val="bottom"/>
            <w:tcBorders>
              <w:top w:val="single" w:sz="8" w:color="003B71"/>
            </w:tcBorders>
          </w:tcPr>
          <w:p>
            <w:pPr>
              <w:jc w:val="right"/>
              <w:spacing w:after="0" w:line="143" w:lineRule="exact"/>
              <w:rPr>
                <w:sz w:val="20"/>
                <w:szCs w:val="20"/>
                <w:color w:val="auto"/>
              </w:rPr>
            </w:pPr>
            <w:r>
              <w:rPr>
                <w:rFonts w:ascii="Arial" w:cs="Arial" w:eastAsia="Arial" w:hAnsi="Arial"/>
                <w:sz w:val="14"/>
                <w:szCs w:val="14"/>
                <w:b w:val="1"/>
                <w:bCs w:val="1"/>
                <w:color w:val="003B71"/>
              </w:rPr>
              <w:t>Value Realized on Exercise</w:t>
            </w:r>
          </w:p>
        </w:tc>
      </w:tr>
      <w:tr>
        <w:trPr>
          <w:trHeight w:val="175"/>
        </w:trPr>
        <w:tc>
          <w:tcPr>
            <w:tcW w:w="172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NAME</w:t>
            </w:r>
          </w:p>
        </w:tc>
        <w:tc>
          <w:tcPr>
            <w:tcW w:w="2120" w:type="dxa"/>
            <w:vAlign w:val="bottom"/>
            <w:tcBorders>
              <w:bottom w:val="single" w:sz="8" w:color="003B71"/>
            </w:tcBorders>
          </w:tcPr>
          <w:p>
            <w:pPr>
              <w:jc w:val="right"/>
              <w:ind w:right="162"/>
              <w:spacing w:after="0"/>
              <w:rPr>
                <w:sz w:val="20"/>
                <w:szCs w:val="20"/>
                <w:color w:val="auto"/>
              </w:rPr>
            </w:pPr>
            <w:r>
              <w:rPr>
                <w:rFonts w:ascii="Arial" w:cs="Arial" w:eastAsia="Arial" w:hAnsi="Arial"/>
                <w:sz w:val="14"/>
                <w:szCs w:val="14"/>
                <w:b w:val="1"/>
                <w:bCs w:val="1"/>
                <w:color w:val="003B71"/>
              </w:rPr>
              <w:t>Acquired on Exercise</w:t>
            </w:r>
          </w:p>
        </w:tc>
        <w:tc>
          <w:tcPr>
            <w:tcW w:w="2140" w:type="dxa"/>
            <w:vAlign w:val="bottom"/>
            <w:tcBorders>
              <w:bottom w:val="single" w:sz="8" w:color="003B71"/>
            </w:tcBorders>
          </w:tcPr>
          <w:p>
            <w:pPr>
              <w:jc w:val="right"/>
              <w:ind w:right="801"/>
              <w:spacing w:after="0"/>
              <w:rPr>
                <w:sz w:val="20"/>
                <w:szCs w:val="20"/>
                <w:color w:val="auto"/>
              </w:rPr>
            </w:pPr>
            <w:r>
              <w:rPr>
                <w:rFonts w:ascii="Arial" w:cs="Arial" w:eastAsia="Arial" w:hAnsi="Arial"/>
                <w:sz w:val="14"/>
                <w:szCs w:val="14"/>
                <w:b w:val="1"/>
                <w:bCs w:val="1"/>
                <w:color w:val="003B71"/>
              </w:rPr>
              <w:t>($)</w:t>
            </w:r>
          </w:p>
        </w:tc>
        <w:tc>
          <w:tcPr>
            <w:tcW w:w="560" w:type="dxa"/>
            <w:vAlign w:val="bottom"/>
            <w:tcBorders>
              <w:bottom w:val="single" w:sz="8" w:color="003B71"/>
            </w:tcBorders>
          </w:tcPr>
          <w:p>
            <w:pPr>
              <w:spacing w:after="0"/>
              <w:rPr>
                <w:sz w:val="15"/>
                <w:szCs w:val="15"/>
                <w:color w:val="auto"/>
              </w:rPr>
            </w:pPr>
          </w:p>
        </w:tc>
        <w:tc>
          <w:tcPr>
            <w:tcW w:w="2320" w:type="dxa"/>
            <w:vAlign w:val="bottom"/>
            <w:tcBorders>
              <w:bottom w:val="single" w:sz="8" w:color="003B71"/>
            </w:tcBorders>
          </w:tcPr>
          <w:p>
            <w:pPr>
              <w:jc w:val="right"/>
              <w:ind w:right="162"/>
              <w:spacing w:after="0"/>
              <w:rPr>
                <w:sz w:val="20"/>
                <w:szCs w:val="20"/>
                <w:color w:val="auto"/>
              </w:rPr>
            </w:pPr>
            <w:r>
              <w:rPr>
                <w:rFonts w:ascii="Arial" w:cs="Arial" w:eastAsia="Arial" w:hAnsi="Arial"/>
                <w:sz w:val="14"/>
                <w:szCs w:val="14"/>
                <w:b w:val="1"/>
                <w:bCs w:val="1"/>
                <w:color w:val="003B71"/>
              </w:rPr>
              <w:t>Acquired on Exercise(1)</w:t>
            </w:r>
          </w:p>
        </w:tc>
        <w:tc>
          <w:tcPr>
            <w:tcW w:w="2160" w:type="dxa"/>
            <w:vAlign w:val="bottom"/>
            <w:tcBorders>
              <w:bottom w:val="single" w:sz="8" w:color="003B71"/>
            </w:tcBorders>
          </w:tcPr>
          <w:p>
            <w:pPr>
              <w:jc w:val="right"/>
              <w:ind w:right="821"/>
              <w:spacing w:after="0"/>
              <w:rPr>
                <w:sz w:val="20"/>
                <w:szCs w:val="20"/>
                <w:color w:val="auto"/>
              </w:rPr>
            </w:pPr>
            <w:r>
              <w:rPr>
                <w:rFonts w:ascii="Arial" w:cs="Arial" w:eastAsia="Arial" w:hAnsi="Arial"/>
                <w:sz w:val="14"/>
                <w:szCs w:val="14"/>
                <w:b w:val="1"/>
                <w:bCs w:val="1"/>
                <w:color w:val="003B71"/>
              </w:rPr>
              <w:t>($)</w:t>
            </w:r>
          </w:p>
        </w:tc>
      </w:tr>
      <w:tr>
        <w:trPr>
          <w:trHeight w:val="183"/>
        </w:trPr>
        <w:tc>
          <w:tcPr>
            <w:tcW w:w="172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Brian A. Jenkins</w:t>
            </w:r>
          </w:p>
        </w:tc>
        <w:tc>
          <w:tcPr>
            <w:tcW w:w="2120" w:type="dxa"/>
            <w:vAlign w:val="bottom"/>
            <w:shd w:val="clear" w:color="auto" w:fill="E5E5E5"/>
          </w:tcPr>
          <w:p>
            <w:pPr>
              <w:jc w:val="right"/>
              <w:ind w:right="162"/>
              <w:spacing w:after="0" w:line="183" w:lineRule="exact"/>
              <w:rPr>
                <w:sz w:val="20"/>
                <w:szCs w:val="20"/>
                <w:color w:val="auto"/>
              </w:rPr>
            </w:pPr>
            <w:r>
              <w:rPr>
                <w:rFonts w:ascii="Arial" w:cs="Arial" w:eastAsia="Arial" w:hAnsi="Arial"/>
                <w:sz w:val="16"/>
                <w:szCs w:val="16"/>
                <w:color w:val="auto"/>
              </w:rPr>
              <w:t>—</w:t>
            </w:r>
          </w:p>
        </w:tc>
        <w:tc>
          <w:tcPr>
            <w:tcW w:w="2700" w:type="dxa"/>
            <w:vAlign w:val="bottom"/>
            <w:gridSpan w:val="2"/>
            <w:shd w:val="clear" w:color="auto" w:fill="E5E5E5"/>
          </w:tcPr>
          <w:p>
            <w:pPr>
              <w:jc w:val="right"/>
              <w:ind w:right="600"/>
              <w:spacing w:after="0" w:line="183" w:lineRule="exact"/>
              <w:rPr>
                <w:sz w:val="20"/>
                <w:szCs w:val="20"/>
                <w:color w:val="auto"/>
              </w:rPr>
            </w:pPr>
            <w:r>
              <w:rPr>
                <w:rFonts w:ascii="Arial" w:cs="Arial" w:eastAsia="Arial" w:hAnsi="Arial"/>
                <w:sz w:val="16"/>
                <w:szCs w:val="16"/>
                <w:color w:val="auto"/>
              </w:rPr>
              <w:t>—</w:t>
            </w:r>
          </w:p>
        </w:tc>
        <w:tc>
          <w:tcPr>
            <w:tcW w:w="2320" w:type="dxa"/>
            <w:vAlign w:val="bottom"/>
            <w:shd w:val="clear" w:color="auto" w:fill="E5E5E5"/>
          </w:tcPr>
          <w:p>
            <w:pPr>
              <w:jc w:val="right"/>
              <w:ind w:right="162"/>
              <w:spacing w:after="0" w:line="183" w:lineRule="exact"/>
              <w:rPr>
                <w:sz w:val="20"/>
                <w:szCs w:val="20"/>
                <w:color w:val="auto"/>
              </w:rPr>
            </w:pPr>
            <w:r>
              <w:rPr>
                <w:rFonts w:ascii="Arial" w:cs="Arial" w:eastAsia="Arial" w:hAnsi="Arial"/>
                <w:sz w:val="16"/>
                <w:szCs w:val="16"/>
                <w:color w:val="auto"/>
              </w:rPr>
              <w:t>9,540</w:t>
            </w:r>
          </w:p>
        </w:tc>
        <w:tc>
          <w:tcPr>
            <w:tcW w:w="216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$496,175</w:t>
            </w:r>
          </w:p>
        </w:tc>
      </w:tr>
      <w:tr>
        <w:trPr>
          <w:trHeight w:val="189"/>
        </w:trPr>
        <w:tc>
          <w:tcPr>
            <w:tcW w:w="1720" w:type="dxa"/>
            <w:vAlign w:val="bottom"/>
          </w:tcPr>
          <w:p>
            <w:pPr>
              <w:ind w:left="80"/>
              <w:spacing w:after="0"/>
              <w:rPr>
                <w:sz w:val="20"/>
                <w:szCs w:val="20"/>
                <w:color w:val="auto"/>
              </w:rPr>
            </w:pPr>
            <w:r>
              <w:rPr>
                <w:rFonts w:ascii="Arial" w:cs="Arial" w:eastAsia="Arial" w:hAnsi="Arial"/>
                <w:sz w:val="16"/>
                <w:szCs w:val="16"/>
                <w:color w:val="auto"/>
              </w:rPr>
              <w:t>Scott Bowman</w:t>
            </w:r>
          </w:p>
        </w:tc>
        <w:tc>
          <w:tcPr>
            <w:tcW w:w="21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70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23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1720" w:type="dxa"/>
            <w:vAlign w:val="bottom"/>
            <w:shd w:val="clear" w:color="auto" w:fill="E5E5E5"/>
          </w:tcPr>
          <w:p>
            <w:pPr>
              <w:ind w:left="80"/>
              <w:spacing w:after="0"/>
              <w:rPr>
                <w:sz w:val="20"/>
                <w:szCs w:val="20"/>
                <w:color w:val="auto"/>
              </w:rPr>
            </w:pPr>
            <w:r>
              <w:rPr>
                <w:rFonts w:ascii="Arial" w:cs="Arial" w:eastAsia="Arial" w:hAnsi="Arial"/>
                <w:sz w:val="16"/>
                <w:szCs w:val="16"/>
                <w:color w:val="auto"/>
              </w:rPr>
              <w:t>Joe DeProspero</w:t>
            </w:r>
          </w:p>
        </w:tc>
        <w:tc>
          <w:tcPr>
            <w:tcW w:w="2120" w:type="dxa"/>
            <w:vAlign w:val="bottom"/>
            <w:shd w:val="clear" w:color="auto" w:fill="E5E5E5"/>
          </w:tcPr>
          <w:p>
            <w:pPr>
              <w:jc w:val="right"/>
              <w:ind w:right="162"/>
              <w:spacing w:after="0"/>
              <w:rPr>
                <w:sz w:val="20"/>
                <w:szCs w:val="20"/>
                <w:color w:val="auto"/>
              </w:rPr>
            </w:pPr>
            <w:r>
              <w:rPr>
                <w:rFonts w:ascii="Arial" w:cs="Arial" w:eastAsia="Arial" w:hAnsi="Arial"/>
                <w:sz w:val="16"/>
                <w:szCs w:val="16"/>
                <w:color w:val="auto"/>
              </w:rPr>
              <w:t>1,500</w:t>
            </w:r>
          </w:p>
        </w:tc>
        <w:tc>
          <w:tcPr>
            <w:tcW w:w="21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$52,659</w:t>
            </w:r>
          </w:p>
        </w:tc>
        <w:tc>
          <w:tcPr>
            <w:tcW w:w="560" w:type="dxa"/>
            <w:vAlign w:val="bottom"/>
            <w:shd w:val="clear" w:color="auto" w:fill="E5E5E5"/>
          </w:tcPr>
          <w:p>
            <w:pPr>
              <w:spacing w:after="0"/>
              <w:rPr>
                <w:sz w:val="16"/>
                <w:szCs w:val="16"/>
                <w:color w:val="auto"/>
              </w:rPr>
            </w:pPr>
          </w:p>
        </w:tc>
        <w:tc>
          <w:tcPr>
            <w:tcW w:w="2320" w:type="dxa"/>
            <w:vAlign w:val="bottom"/>
            <w:shd w:val="clear" w:color="auto" w:fill="E5E5E5"/>
          </w:tcPr>
          <w:p>
            <w:pPr>
              <w:jc w:val="right"/>
              <w:ind w:right="162"/>
              <w:spacing w:after="0"/>
              <w:rPr>
                <w:sz w:val="20"/>
                <w:szCs w:val="20"/>
                <w:color w:val="auto"/>
              </w:rPr>
            </w:pPr>
            <w:r>
              <w:rPr>
                <w:rFonts w:ascii="Arial" w:cs="Arial" w:eastAsia="Arial" w:hAnsi="Arial"/>
                <w:sz w:val="16"/>
                <w:szCs w:val="16"/>
                <w:color w:val="auto"/>
              </w:rPr>
              <w:t>791</w:t>
            </w:r>
          </w:p>
        </w:tc>
        <w:tc>
          <w:tcPr>
            <w:tcW w:w="21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$41,140</w:t>
            </w:r>
          </w:p>
        </w:tc>
      </w:tr>
      <w:tr>
        <w:trPr>
          <w:trHeight w:val="189"/>
        </w:trPr>
        <w:tc>
          <w:tcPr>
            <w:tcW w:w="1720" w:type="dxa"/>
            <w:vAlign w:val="bottom"/>
          </w:tcPr>
          <w:p>
            <w:pPr>
              <w:ind w:left="80"/>
              <w:spacing w:after="0"/>
              <w:rPr>
                <w:sz w:val="20"/>
                <w:szCs w:val="20"/>
                <w:color w:val="auto"/>
              </w:rPr>
            </w:pPr>
            <w:r>
              <w:rPr>
                <w:rFonts w:ascii="Arial" w:cs="Arial" w:eastAsia="Arial" w:hAnsi="Arial"/>
                <w:sz w:val="16"/>
                <w:szCs w:val="16"/>
                <w:color w:val="auto"/>
              </w:rPr>
              <w:t>Sean Gleason</w:t>
            </w:r>
          </w:p>
        </w:tc>
        <w:tc>
          <w:tcPr>
            <w:tcW w:w="2120" w:type="dxa"/>
            <w:vAlign w:val="bottom"/>
          </w:tcPr>
          <w:p>
            <w:pPr>
              <w:jc w:val="right"/>
              <w:ind w:right="162"/>
              <w:spacing w:after="0"/>
              <w:rPr>
                <w:sz w:val="20"/>
                <w:szCs w:val="20"/>
                <w:color w:val="auto"/>
              </w:rPr>
            </w:pPr>
            <w:r>
              <w:rPr>
                <w:rFonts w:ascii="Arial" w:cs="Arial" w:eastAsia="Arial" w:hAnsi="Arial"/>
                <w:sz w:val="16"/>
                <w:szCs w:val="16"/>
                <w:color w:val="auto"/>
              </w:rPr>
              <w:t>19,400</w:t>
            </w:r>
          </w:p>
        </w:tc>
        <w:tc>
          <w:tcPr>
            <w:tcW w:w="2140" w:type="dxa"/>
            <w:vAlign w:val="bottom"/>
          </w:tcPr>
          <w:p>
            <w:pPr>
              <w:jc w:val="right"/>
              <w:spacing w:after="0"/>
              <w:rPr>
                <w:sz w:val="20"/>
                <w:szCs w:val="20"/>
                <w:color w:val="auto"/>
              </w:rPr>
            </w:pPr>
            <w:r>
              <w:rPr>
                <w:rFonts w:ascii="Arial" w:cs="Arial" w:eastAsia="Arial" w:hAnsi="Arial"/>
                <w:sz w:val="16"/>
                <w:szCs w:val="16"/>
                <w:color w:val="auto"/>
              </w:rPr>
              <w:t>$816,491</w:t>
            </w:r>
          </w:p>
        </w:tc>
        <w:tc>
          <w:tcPr>
            <w:tcW w:w="560" w:type="dxa"/>
            <w:vAlign w:val="bottom"/>
          </w:tcPr>
          <w:p>
            <w:pPr>
              <w:spacing w:after="0"/>
              <w:rPr>
                <w:sz w:val="16"/>
                <w:szCs w:val="16"/>
                <w:color w:val="auto"/>
              </w:rPr>
            </w:pPr>
          </w:p>
        </w:tc>
        <w:tc>
          <w:tcPr>
            <w:tcW w:w="2320" w:type="dxa"/>
            <w:vAlign w:val="bottom"/>
          </w:tcPr>
          <w:p>
            <w:pPr>
              <w:jc w:val="right"/>
              <w:ind w:right="162"/>
              <w:spacing w:after="0"/>
              <w:rPr>
                <w:sz w:val="20"/>
                <w:szCs w:val="20"/>
                <w:color w:val="auto"/>
              </w:rPr>
            </w:pPr>
            <w:r>
              <w:rPr>
                <w:rFonts w:ascii="Arial" w:cs="Arial" w:eastAsia="Arial" w:hAnsi="Arial"/>
                <w:sz w:val="16"/>
                <w:szCs w:val="16"/>
                <w:color w:val="auto"/>
              </w:rPr>
              <w:t>6,067</w:t>
            </w:r>
          </w:p>
        </w:tc>
        <w:tc>
          <w:tcPr>
            <w:tcW w:w="2160" w:type="dxa"/>
            <w:vAlign w:val="bottom"/>
          </w:tcPr>
          <w:p>
            <w:pPr>
              <w:jc w:val="right"/>
              <w:spacing w:after="0"/>
              <w:rPr>
                <w:sz w:val="20"/>
                <w:szCs w:val="20"/>
                <w:color w:val="auto"/>
              </w:rPr>
            </w:pPr>
            <w:r>
              <w:rPr>
                <w:rFonts w:ascii="Arial" w:cs="Arial" w:eastAsia="Arial" w:hAnsi="Arial"/>
                <w:sz w:val="16"/>
                <w:szCs w:val="16"/>
                <w:color w:val="auto"/>
              </w:rPr>
              <w:t>$315,545</w:t>
            </w:r>
          </w:p>
        </w:tc>
      </w:tr>
      <w:tr>
        <w:trPr>
          <w:trHeight w:val="189"/>
        </w:trPr>
        <w:tc>
          <w:tcPr>
            <w:tcW w:w="1720" w:type="dxa"/>
            <w:vAlign w:val="bottom"/>
            <w:shd w:val="clear" w:color="auto" w:fill="E5E5E5"/>
          </w:tcPr>
          <w:p>
            <w:pPr>
              <w:ind w:left="80"/>
              <w:spacing w:after="0"/>
              <w:rPr>
                <w:sz w:val="20"/>
                <w:szCs w:val="20"/>
                <w:color w:val="auto"/>
              </w:rPr>
            </w:pPr>
            <w:r>
              <w:rPr>
                <w:rFonts w:ascii="Arial" w:cs="Arial" w:eastAsia="Arial" w:hAnsi="Arial"/>
                <w:sz w:val="16"/>
                <w:szCs w:val="16"/>
                <w:color w:val="auto"/>
              </w:rPr>
              <w:t>Margo L. Manning</w:t>
            </w:r>
          </w:p>
        </w:tc>
        <w:tc>
          <w:tcPr>
            <w:tcW w:w="2120" w:type="dxa"/>
            <w:vAlign w:val="bottom"/>
            <w:shd w:val="clear" w:color="auto" w:fill="E5E5E5"/>
          </w:tcPr>
          <w:p>
            <w:pPr>
              <w:jc w:val="right"/>
              <w:ind w:right="162"/>
              <w:spacing w:after="0"/>
              <w:rPr>
                <w:sz w:val="20"/>
                <w:szCs w:val="20"/>
                <w:color w:val="auto"/>
              </w:rPr>
            </w:pPr>
            <w:r>
              <w:rPr>
                <w:rFonts w:ascii="Arial" w:cs="Arial" w:eastAsia="Arial" w:hAnsi="Arial"/>
                <w:sz w:val="16"/>
                <w:szCs w:val="16"/>
                <w:color w:val="auto"/>
              </w:rPr>
              <w:t>18,000</w:t>
            </w:r>
          </w:p>
        </w:tc>
        <w:tc>
          <w:tcPr>
            <w:tcW w:w="21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$857,745</w:t>
            </w:r>
          </w:p>
        </w:tc>
        <w:tc>
          <w:tcPr>
            <w:tcW w:w="560" w:type="dxa"/>
            <w:vAlign w:val="bottom"/>
            <w:shd w:val="clear" w:color="auto" w:fill="E5E5E5"/>
          </w:tcPr>
          <w:p>
            <w:pPr>
              <w:spacing w:after="0"/>
              <w:rPr>
                <w:sz w:val="16"/>
                <w:szCs w:val="16"/>
                <w:color w:val="auto"/>
              </w:rPr>
            </w:pPr>
          </w:p>
        </w:tc>
        <w:tc>
          <w:tcPr>
            <w:tcW w:w="2320" w:type="dxa"/>
            <w:vAlign w:val="bottom"/>
            <w:shd w:val="clear" w:color="auto" w:fill="E5E5E5"/>
          </w:tcPr>
          <w:p>
            <w:pPr>
              <w:jc w:val="right"/>
              <w:ind w:right="162"/>
              <w:spacing w:after="0"/>
              <w:rPr>
                <w:sz w:val="20"/>
                <w:szCs w:val="20"/>
                <w:color w:val="auto"/>
              </w:rPr>
            </w:pPr>
            <w:r>
              <w:rPr>
                <w:rFonts w:ascii="Arial" w:cs="Arial" w:eastAsia="Arial" w:hAnsi="Arial"/>
                <w:sz w:val="16"/>
                <w:szCs w:val="16"/>
                <w:color w:val="auto"/>
              </w:rPr>
              <w:t>5,397</w:t>
            </w:r>
          </w:p>
        </w:tc>
        <w:tc>
          <w:tcPr>
            <w:tcW w:w="21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$280,698</w:t>
            </w:r>
          </w:p>
        </w:tc>
      </w:tr>
      <w:tr>
        <w:trPr>
          <w:trHeight w:val="189"/>
        </w:trPr>
        <w:tc>
          <w:tcPr>
            <w:tcW w:w="1720" w:type="dxa"/>
            <w:vAlign w:val="bottom"/>
            <w:tcBorders>
              <w:bottom w:val="single" w:sz="8" w:color="003B71"/>
            </w:tcBorders>
          </w:tcPr>
          <w:p>
            <w:pPr>
              <w:ind w:left="80"/>
              <w:spacing w:after="0"/>
              <w:rPr>
                <w:sz w:val="20"/>
                <w:szCs w:val="20"/>
                <w:color w:val="auto"/>
              </w:rPr>
            </w:pPr>
            <w:r>
              <w:rPr>
                <w:rFonts w:ascii="Arial" w:cs="Arial" w:eastAsia="Arial" w:hAnsi="Arial"/>
                <w:sz w:val="16"/>
                <w:szCs w:val="16"/>
                <w:color w:val="auto"/>
              </w:rPr>
              <w:t>John B. Mulleady</w:t>
            </w:r>
          </w:p>
        </w:tc>
        <w:tc>
          <w:tcPr>
            <w:tcW w:w="2120" w:type="dxa"/>
            <w:vAlign w:val="bottom"/>
            <w:tcBorders>
              <w:bottom w:val="single" w:sz="8" w:color="003B71"/>
            </w:tcBorders>
          </w:tcPr>
          <w:p>
            <w:pPr>
              <w:jc w:val="right"/>
              <w:ind w:right="162"/>
              <w:spacing w:after="0"/>
              <w:rPr>
                <w:sz w:val="20"/>
                <w:szCs w:val="20"/>
                <w:color w:val="auto"/>
              </w:rPr>
            </w:pPr>
            <w:r>
              <w:rPr>
                <w:rFonts w:ascii="Arial" w:cs="Arial" w:eastAsia="Arial" w:hAnsi="Arial"/>
                <w:sz w:val="16"/>
                <w:szCs w:val="16"/>
                <w:color w:val="auto"/>
              </w:rPr>
              <w:t>22,500</w:t>
            </w:r>
          </w:p>
        </w:tc>
        <w:tc>
          <w:tcPr>
            <w:tcW w:w="2140" w:type="dxa"/>
            <w:vAlign w:val="bottom"/>
            <w:tcBorders>
              <w:bottom w:val="single" w:sz="8" w:color="003B71"/>
            </w:tcBorders>
          </w:tcPr>
          <w:p>
            <w:pPr>
              <w:jc w:val="right"/>
              <w:spacing w:after="0"/>
              <w:rPr>
                <w:sz w:val="20"/>
                <w:szCs w:val="20"/>
                <w:color w:val="auto"/>
              </w:rPr>
            </w:pPr>
            <w:r>
              <w:rPr>
                <w:rFonts w:ascii="Arial" w:cs="Arial" w:eastAsia="Arial" w:hAnsi="Arial"/>
                <w:sz w:val="16"/>
                <w:szCs w:val="16"/>
                <w:color w:val="auto"/>
              </w:rPr>
              <w:t>$765,222</w:t>
            </w:r>
          </w:p>
        </w:tc>
        <w:tc>
          <w:tcPr>
            <w:tcW w:w="560" w:type="dxa"/>
            <w:vAlign w:val="bottom"/>
            <w:tcBorders>
              <w:bottom w:val="single" w:sz="8" w:color="003B71"/>
            </w:tcBorders>
          </w:tcPr>
          <w:p>
            <w:pPr>
              <w:spacing w:after="0"/>
              <w:rPr>
                <w:sz w:val="16"/>
                <w:szCs w:val="16"/>
                <w:color w:val="auto"/>
              </w:rPr>
            </w:pPr>
          </w:p>
        </w:tc>
        <w:tc>
          <w:tcPr>
            <w:tcW w:w="2320" w:type="dxa"/>
            <w:vAlign w:val="bottom"/>
            <w:tcBorders>
              <w:bottom w:val="single" w:sz="8" w:color="003B71"/>
            </w:tcBorders>
          </w:tcPr>
          <w:p>
            <w:pPr>
              <w:jc w:val="right"/>
              <w:ind w:right="162"/>
              <w:spacing w:after="0"/>
              <w:rPr>
                <w:sz w:val="20"/>
                <w:szCs w:val="20"/>
                <w:color w:val="auto"/>
              </w:rPr>
            </w:pPr>
            <w:r>
              <w:rPr>
                <w:rFonts w:ascii="Arial" w:cs="Arial" w:eastAsia="Arial" w:hAnsi="Arial"/>
                <w:sz w:val="16"/>
                <w:szCs w:val="16"/>
                <w:color w:val="auto"/>
              </w:rPr>
              <w:t>5,381</w:t>
            </w:r>
          </w:p>
        </w:tc>
        <w:tc>
          <w:tcPr>
            <w:tcW w:w="2160" w:type="dxa"/>
            <w:vAlign w:val="bottom"/>
            <w:tcBorders>
              <w:bottom w:val="single" w:sz="8" w:color="003B71"/>
            </w:tcBorders>
          </w:tcPr>
          <w:p>
            <w:pPr>
              <w:jc w:val="right"/>
              <w:spacing w:after="0"/>
              <w:rPr>
                <w:sz w:val="20"/>
                <w:szCs w:val="20"/>
                <w:color w:val="auto"/>
              </w:rPr>
            </w:pPr>
            <w:r>
              <w:rPr>
                <w:rFonts w:ascii="Arial" w:cs="Arial" w:eastAsia="Arial" w:hAnsi="Arial"/>
                <w:sz w:val="16"/>
                <w:szCs w:val="16"/>
                <w:color w:val="auto"/>
              </w:rPr>
              <w:t>$279,866</w:t>
            </w:r>
          </w:p>
        </w:tc>
      </w:tr>
    </w:tbl>
    <w:p>
      <w:pPr>
        <w:spacing w:after="0" w:line="83"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These shares do not reflect reductions for shares withheld for taxes at time of distribution.</w:t>
      </w:r>
    </w:p>
    <w:p>
      <w:pPr>
        <w:spacing w:after="0" w:line="142"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50</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2019 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SERP is a defined contribution plan designed to permit a select group of management or highly compensated employees to set aside base salary on a pre-tax basis. The SERP has a variety of investment options similar in type to our 401(k) plan. Each pay period, the Company matches 25% of the employee’s contributions, up to the first 6% of salary deferred. At the end of the year, if the Company’s EBITDA target is forecasted to be met, the Company may contribute an additional amount, equal to the employer match contributed each pay period. In 2019, the Compensation Committee determined that EBITDA was not forecasted to be met and, therefore, did not authorize the payment of the additional amount to be contributed to each eligible participant’s account. Employer contributions to a participant’s account vest in equal portions over the first five years a participant is eligible to participate in the SERP and become immediately vested upon termination of a participant’s employment on or after age 65 or by reason of the participant’s death or disability, and upon a change of control (as defined in the SERP). Pursuant to Section 409A of the Code, however, such distribution cannot be made to certain employees of a publicly traded corporation before the earlier of six months following the employee’s termination date or the death of the employee. Employer contributions are fully vested after five years of eligibility. Withdrawals from the SERP may be permitted in the event of an unforeseeable emergency.</w:t>
      </w:r>
    </w:p>
    <w:p>
      <w:pPr>
        <w:spacing w:after="0" w:line="204"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The following table shows contributions to each NEO’s deferred compensation account in fiscal 2019 and the aggregate amount of such officer’s deferred compensation as of February 2, 2020.</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20" w:type="dxa"/>
            <w:vAlign w:val="bottom"/>
          </w:tcPr>
          <w:p>
            <w:pPr>
              <w:jc w:val="center"/>
              <w:ind w:right="342"/>
              <w:spacing w:after="0"/>
              <w:rPr>
                <w:sz w:val="20"/>
                <w:szCs w:val="20"/>
                <w:color w:val="auto"/>
              </w:rPr>
            </w:pPr>
            <w:r>
              <w:rPr>
                <w:rFonts w:ascii="Arial" w:cs="Arial" w:eastAsia="Arial" w:hAnsi="Arial"/>
                <w:sz w:val="14"/>
                <w:szCs w:val="14"/>
                <w:b w:val="1"/>
                <w:bCs w:val="1"/>
                <w:color w:val="003B71"/>
              </w:rPr>
              <w:t>Executive</w:t>
            </w:r>
          </w:p>
        </w:tc>
        <w:tc>
          <w:tcPr>
            <w:tcW w:w="400" w:type="dxa"/>
            <w:vAlign w:val="bottom"/>
          </w:tcPr>
          <w:p>
            <w:pPr>
              <w:spacing w:after="0"/>
              <w:rPr>
                <w:sz w:val="14"/>
                <w:szCs w:val="14"/>
                <w:color w:val="auto"/>
              </w:rPr>
            </w:pPr>
          </w:p>
        </w:tc>
        <w:tc>
          <w:tcPr>
            <w:tcW w:w="1560" w:type="dxa"/>
            <w:vAlign w:val="bottom"/>
          </w:tcPr>
          <w:p>
            <w:pPr>
              <w:jc w:val="center"/>
              <w:ind w:right="302"/>
              <w:spacing w:after="0"/>
              <w:rPr>
                <w:sz w:val="20"/>
                <w:szCs w:val="20"/>
                <w:color w:val="auto"/>
              </w:rPr>
            </w:pPr>
            <w:r>
              <w:rPr>
                <w:rFonts w:ascii="Arial" w:cs="Arial" w:eastAsia="Arial" w:hAnsi="Arial"/>
                <w:sz w:val="14"/>
                <w:szCs w:val="14"/>
                <w:b w:val="1"/>
                <w:bCs w:val="1"/>
                <w:color w:val="003B71"/>
              </w:rPr>
              <w:t>Registrant</w:t>
            </w:r>
          </w:p>
        </w:tc>
        <w:tc>
          <w:tcPr>
            <w:tcW w:w="340" w:type="dxa"/>
            <w:vAlign w:val="bottom"/>
          </w:tcPr>
          <w:p>
            <w:pPr>
              <w:spacing w:after="0"/>
              <w:rPr>
                <w:sz w:val="14"/>
                <w:szCs w:val="14"/>
                <w:color w:val="auto"/>
              </w:rPr>
            </w:pPr>
          </w:p>
        </w:tc>
        <w:tc>
          <w:tcPr>
            <w:tcW w:w="1340" w:type="dxa"/>
            <w:vAlign w:val="bottom"/>
          </w:tcPr>
          <w:p>
            <w:pPr>
              <w:jc w:val="center"/>
              <w:ind w:right="302"/>
              <w:spacing w:after="0"/>
              <w:rPr>
                <w:sz w:val="20"/>
                <w:szCs w:val="20"/>
                <w:color w:val="auto"/>
              </w:rPr>
            </w:pPr>
            <w:r>
              <w:rPr>
                <w:rFonts w:ascii="Arial" w:cs="Arial" w:eastAsia="Arial" w:hAnsi="Arial"/>
                <w:sz w:val="14"/>
                <w:szCs w:val="14"/>
                <w:b w:val="1"/>
                <w:bCs w:val="1"/>
                <w:color w:val="003B71"/>
              </w:rPr>
              <w:t>Aggregate</w:t>
            </w:r>
          </w:p>
        </w:tc>
        <w:tc>
          <w:tcPr>
            <w:tcW w:w="340" w:type="dxa"/>
            <w:vAlign w:val="bottom"/>
          </w:tcPr>
          <w:p>
            <w:pPr>
              <w:spacing w:after="0"/>
              <w:rPr>
                <w:sz w:val="14"/>
                <w:szCs w:val="14"/>
                <w:color w:val="auto"/>
              </w:rPr>
            </w:pPr>
          </w:p>
        </w:tc>
        <w:tc>
          <w:tcPr>
            <w:tcW w:w="100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003B71"/>
              </w:rPr>
              <w:t>Fees and</w:t>
            </w:r>
          </w:p>
        </w:tc>
        <w:tc>
          <w:tcPr>
            <w:tcW w:w="1820" w:type="dxa"/>
            <w:vAlign w:val="bottom"/>
            <w:gridSpan w:val="2"/>
          </w:tcPr>
          <w:p>
            <w:pPr>
              <w:ind w:left="160"/>
              <w:spacing w:after="0"/>
              <w:rPr>
                <w:sz w:val="20"/>
                <w:szCs w:val="20"/>
                <w:color w:val="auto"/>
              </w:rPr>
            </w:pPr>
            <w:r>
              <w:rPr>
                <w:rFonts w:ascii="Arial" w:cs="Arial" w:eastAsia="Arial" w:hAnsi="Arial"/>
                <w:sz w:val="14"/>
                <w:szCs w:val="14"/>
                <w:b w:val="1"/>
                <w:bCs w:val="1"/>
                <w:color w:val="003B71"/>
              </w:rPr>
              <w:t>Aggregate Balance at</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2260" w:type="dxa"/>
            <w:vAlign w:val="bottom"/>
            <w:gridSpan w:val="2"/>
          </w:tcPr>
          <w:p>
            <w:pPr>
              <w:ind w:left="560"/>
              <w:spacing w:after="0" w:line="149" w:lineRule="exact"/>
              <w:rPr>
                <w:sz w:val="20"/>
                <w:szCs w:val="20"/>
                <w:color w:val="auto"/>
              </w:rPr>
            </w:pPr>
            <w:r>
              <w:rPr>
                <w:rFonts w:ascii="Arial" w:cs="Arial" w:eastAsia="Arial" w:hAnsi="Arial"/>
                <w:sz w:val="14"/>
                <w:szCs w:val="14"/>
                <w:b w:val="1"/>
                <w:bCs w:val="1"/>
                <w:color w:val="003B71"/>
              </w:rPr>
              <w:t>Contributions in Last</w:t>
            </w:r>
          </w:p>
        </w:tc>
        <w:tc>
          <w:tcPr>
            <w:tcW w:w="19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003B71"/>
              </w:rPr>
              <w:t>Contributions in Last</w:t>
            </w:r>
          </w:p>
        </w:tc>
        <w:tc>
          <w:tcPr>
            <w:tcW w:w="168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003B71"/>
              </w:rPr>
              <w:t>Earnings in Last</w:t>
            </w:r>
          </w:p>
        </w:tc>
        <w:tc>
          <w:tcPr>
            <w:tcW w:w="3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right"/>
              <w:ind w:right="282"/>
              <w:spacing w:after="0" w:line="149" w:lineRule="exact"/>
              <w:rPr>
                <w:sz w:val="20"/>
                <w:szCs w:val="20"/>
                <w:color w:val="auto"/>
              </w:rPr>
            </w:pPr>
            <w:r>
              <w:rPr>
                <w:rFonts w:ascii="Arial" w:cs="Arial" w:eastAsia="Arial" w:hAnsi="Arial"/>
                <w:sz w:val="14"/>
                <w:szCs w:val="14"/>
                <w:b w:val="1"/>
                <w:bCs w:val="1"/>
                <w:color w:val="003B71"/>
              </w:rPr>
              <w:t>Last Fiscal Year-</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20" w:type="dxa"/>
            <w:vAlign w:val="bottom"/>
          </w:tcPr>
          <w:p>
            <w:pPr>
              <w:jc w:val="center"/>
              <w:ind w:right="342"/>
              <w:spacing w:after="0"/>
              <w:rPr>
                <w:sz w:val="20"/>
                <w:szCs w:val="20"/>
                <w:color w:val="auto"/>
              </w:rPr>
            </w:pPr>
            <w:r>
              <w:rPr>
                <w:rFonts w:ascii="Arial" w:cs="Arial" w:eastAsia="Arial" w:hAnsi="Arial"/>
                <w:sz w:val="14"/>
                <w:szCs w:val="14"/>
                <w:b w:val="1"/>
                <w:bCs w:val="1"/>
                <w:color w:val="003B71"/>
              </w:rPr>
              <w:t>Fiscal Year(1)</w:t>
            </w:r>
          </w:p>
        </w:tc>
        <w:tc>
          <w:tcPr>
            <w:tcW w:w="400" w:type="dxa"/>
            <w:vAlign w:val="bottom"/>
          </w:tcPr>
          <w:p>
            <w:pPr>
              <w:spacing w:after="0"/>
              <w:rPr>
                <w:sz w:val="14"/>
                <w:szCs w:val="14"/>
                <w:color w:val="auto"/>
              </w:rPr>
            </w:pPr>
          </w:p>
        </w:tc>
        <w:tc>
          <w:tcPr>
            <w:tcW w:w="1560" w:type="dxa"/>
            <w:vAlign w:val="bottom"/>
          </w:tcPr>
          <w:p>
            <w:pPr>
              <w:jc w:val="center"/>
              <w:ind w:right="302"/>
              <w:spacing w:after="0"/>
              <w:rPr>
                <w:sz w:val="20"/>
                <w:szCs w:val="20"/>
                <w:color w:val="auto"/>
              </w:rPr>
            </w:pPr>
            <w:r>
              <w:rPr>
                <w:rFonts w:ascii="Arial" w:cs="Arial" w:eastAsia="Arial" w:hAnsi="Arial"/>
                <w:sz w:val="14"/>
                <w:szCs w:val="14"/>
                <w:b w:val="1"/>
                <w:bCs w:val="1"/>
                <w:color w:val="003B71"/>
              </w:rPr>
              <w:t>Fiscal Year(2)(3)</w:t>
            </w:r>
          </w:p>
        </w:tc>
        <w:tc>
          <w:tcPr>
            <w:tcW w:w="340" w:type="dxa"/>
            <w:vAlign w:val="bottom"/>
          </w:tcPr>
          <w:p>
            <w:pPr>
              <w:spacing w:after="0"/>
              <w:rPr>
                <w:sz w:val="14"/>
                <w:szCs w:val="14"/>
                <w:color w:val="auto"/>
              </w:rPr>
            </w:pPr>
          </w:p>
        </w:tc>
        <w:tc>
          <w:tcPr>
            <w:tcW w:w="1340" w:type="dxa"/>
            <w:vAlign w:val="bottom"/>
          </w:tcPr>
          <w:p>
            <w:pPr>
              <w:jc w:val="center"/>
              <w:ind w:right="302"/>
              <w:spacing w:after="0"/>
              <w:rPr>
                <w:sz w:val="20"/>
                <w:szCs w:val="20"/>
                <w:color w:val="auto"/>
              </w:rPr>
            </w:pPr>
            <w:r>
              <w:rPr>
                <w:rFonts w:ascii="Arial" w:cs="Arial" w:eastAsia="Arial" w:hAnsi="Arial"/>
                <w:sz w:val="14"/>
                <w:szCs w:val="14"/>
                <w:b w:val="1"/>
                <w:bCs w:val="1"/>
                <w:color w:val="003B71"/>
              </w:rPr>
              <w:t>Fiscal Year(3)</w:t>
            </w: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003B71"/>
              </w:rPr>
              <w:t>Adjustments</w:t>
            </w:r>
          </w:p>
        </w:tc>
        <w:tc>
          <w:tcPr>
            <w:tcW w:w="300" w:type="dxa"/>
            <w:vAlign w:val="bottom"/>
          </w:tcPr>
          <w:p>
            <w:pPr>
              <w:spacing w:after="0"/>
              <w:rPr>
                <w:sz w:val="14"/>
                <w:szCs w:val="14"/>
                <w:color w:val="auto"/>
              </w:rPr>
            </w:pPr>
          </w:p>
        </w:tc>
        <w:tc>
          <w:tcPr>
            <w:tcW w:w="1520" w:type="dxa"/>
            <w:vAlign w:val="bottom"/>
          </w:tcPr>
          <w:p>
            <w:pPr>
              <w:jc w:val="center"/>
              <w:ind w:right="242"/>
              <w:spacing w:after="0"/>
              <w:rPr>
                <w:sz w:val="20"/>
                <w:szCs w:val="20"/>
                <w:color w:val="auto"/>
              </w:rPr>
            </w:pPr>
            <w:r>
              <w:rPr>
                <w:rFonts w:ascii="Arial" w:cs="Arial" w:eastAsia="Arial" w:hAnsi="Arial"/>
                <w:sz w:val="14"/>
                <w:szCs w:val="14"/>
                <w:b w:val="1"/>
                <w:bCs w:val="1"/>
                <w:color w:val="003B71"/>
              </w:rPr>
              <w:t>End(4)</w:t>
            </w:r>
          </w:p>
        </w:tc>
        <w:tc>
          <w:tcPr>
            <w:tcW w:w="0" w:type="dxa"/>
            <w:vAlign w:val="bottom"/>
          </w:tcPr>
          <w:p>
            <w:pPr>
              <w:spacing w:after="0"/>
              <w:rPr>
                <w:sz w:val="1"/>
                <w:szCs w:val="1"/>
                <w:color w:val="auto"/>
              </w:rPr>
            </w:pPr>
          </w:p>
        </w:tc>
      </w:tr>
      <w:tr>
        <w:trPr>
          <w:trHeight w:val="189"/>
        </w:trPr>
        <w:tc>
          <w:tcPr>
            <w:tcW w:w="196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Name</w:t>
            </w:r>
          </w:p>
        </w:tc>
        <w:tc>
          <w:tcPr>
            <w:tcW w:w="740" w:type="dxa"/>
            <w:vAlign w:val="bottom"/>
            <w:tcBorders>
              <w:bottom w:val="single" w:sz="8" w:color="003B71"/>
            </w:tcBorders>
          </w:tcPr>
          <w:p>
            <w:pPr>
              <w:spacing w:after="0"/>
              <w:rPr>
                <w:sz w:val="16"/>
                <w:szCs w:val="16"/>
                <w:color w:val="auto"/>
              </w:rPr>
            </w:pPr>
          </w:p>
        </w:tc>
        <w:tc>
          <w:tcPr>
            <w:tcW w:w="1520" w:type="dxa"/>
            <w:vAlign w:val="bottom"/>
            <w:tcBorders>
              <w:bottom w:val="single" w:sz="8" w:color="003B71"/>
            </w:tcBorders>
          </w:tcPr>
          <w:p>
            <w:pPr>
              <w:jc w:val="center"/>
              <w:ind w:right="342"/>
              <w:spacing w:after="0"/>
              <w:rPr>
                <w:sz w:val="20"/>
                <w:szCs w:val="20"/>
                <w:color w:val="auto"/>
              </w:rPr>
            </w:pPr>
            <w:r>
              <w:rPr>
                <w:rFonts w:ascii="Arial" w:cs="Arial" w:eastAsia="Arial" w:hAnsi="Arial"/>
                <w:sz w:val="14"/>
                <w:szCs w:val="14"/>
                <w:b w:val="1"/>
                <w:bCs w:val="1"/>
                <w:color w:val="003B71"/>
              </w:rPr>
              <w:t>($)</w:t>
            </w:r>
          </w:p>
        </w:tc>
        <w:tc>
          <w:tcPr>
            <w:tcW w:w="400" w:type="dxa"/>
            <w:vAlign w:val="bottom"/>
            <w:tcBorders>
              <w:bottom w:val="single" w:sz="8" w:color="003B71"/>
            </w:tcBorders>
          </w:tcPr>
          <w:p>
            <w:pPr>
              <w:spacing w:after="0"/>
              <w:rPr>
                <w:sz w:val="16"/>
                <w:szCs w:val="16"/>
                <w:color w:val="auto"/>
              </w:rPr>
            </w:pPr>
          </w:p>
        </w:tc>
        <w:tc>
          <w:tcPr>
            <w:tcW w:w="1560" w:type="dxa"/>
            <w:vAlign w:val="bottom"/>
            <w:tcBorders>
              <w:bottom w:val="single" w:sz="8" w:color="003B71"/>
            </w:tcBorders>
          </w:tcPr>
          <w:p>
            <w:pPr>
              <w:jc w:val="center"/>
              <w:ind w:right="302"/>
              <w:spacing w:after="0"/>
              <w:rPr>
                <w:sz w:val="20"/>
                <w:szCs w:val="20"/>
                <w:color w:val="auto"/>
              </w:rPr>
            </w:pPr>
            <w:r>
              <w:rPr>
                <w:rFonts w:ascii="Arial" w:cs="Arial" w:eastAsia="Arial" w:hAnsi="Arial"/>
                <w:sz w:val="14"/>
                <w:szCs w:val="14"/>
                <w:b w:val="1"/>
                <w:bCs w:val="1"/>
                <w:color w:val="003B71"/>
              </w:rPr>
              <w:t>($)</w:t>
            </w:r>
          </w:p>
        </w:tc>
        <w:tc>
          <w:tcPr>
            <w:tcW w:w="340" w:type="dxa"/>
            <w:vAlign w:val="bottom"/>
            <w:tcBorders>
              <w:bottom w:val="single" w:sz="8" w:color="003B71"/>
            </w:tcBorders>
          </w:tcPr>
          <w:p>
            <w:pPr>
              <w:spacing w:after="0"/>
              <w:rPr>
                <w:sz w:val="16"/>
                <w:szCs w:val="16"/>
                <w:color w:val="auto"/>
              </w:rPr>
            </w:pPr>
          </w:p>
        </w:tc>
        <w:tc>
          <w:tcPr>
            <w:tcW w:w="1340" w:type="dxa"/>
            <w:vAlign w:val="bottom"/>
            <w:tcBorders>
              <w:bottom w:val="single" w:sz="8" w:color="003B71"/>
            </w:tcBorders>
          </w:tcPr>
          <w:p>
            <w:pPr>
              <w:jc w:val="center"/>
              <w:ind w:right="322"/>
              <w:spacing w:after="0"/>
              <w:rPr>
                <w:sz w:val="20"/>
                <w:szCs w:val="20"/>
                <w:color w:val="auto"/>
              </w:rPr>
            </w:pPr>
            <w:r>
              <w:rPr>
                <w:rFonts w:ascii="Arial" w:cs="Arial" w:eastAsia="Arial" w:hAnsi="Arial"/>
                <w:sz w:val="14"/>
                <w:szCs w:val="14"/>
                <w:b w:val="1"/>
                <w:bCs w:val="1"/>
                <w:color w:val="003B71"/>
              </w:rPr>
              <w:t>($)</w:t>
            </w:r>
          </w:p>
        </w:tc>
        <w:tc>
          <w:tcPr>
            <w:tcW w:w="340" w:type="dxa"/>
            <w:vAlign w:val="bottom"/>
            <w:tcBorders>
              <w:bottom w:val="single" w:sz="8" w:color="003B71"/>
            </w:tcBorders>
          </w:tcPr>
          <w:p>
            <w:pPr>
              <w:spacing w:after="0"/>
              <w:rPr>
                <w:sz w:val="16"/>
                <w:szCs w:val="16"/>
                <w:color w:val="auto"/>
              </w:rPr>
            </w:pPr>
          </w:p>
        </w:tc>
        <w:tc>
          <w:tcPr>
            <w:tcW w:w="1000" w:type="dxa"/>
            <w:vAlign w:val="bottom"/>
            <w:tcBorders>
              <w:bottom w:val="single" w:sz="8" w:color="003B71"/>
            </w:tcBorders>
          </w:tcPr>
          <w:p>
            <w:pPr>
              <w:jc w:val="right"/>
              <w:ind w:right="501"/>
              <w:spacing w:after="0"/>
              <w:rPr>
                <w:sz w:val="20"/>
                <w:szCs w:val="20"/>
                <w:color w:val="auto"/>
              </w:rPr>
            </w:pPr>
            <w:r>
              <w:rPr>
                <w:rFonts w:ascii="Arial" w:cs="Arial" w:eastAsia="Arial" w:hAnsi="Arial"/>
                <w:sz w:val="14"/>
                <w:szCs w:val="14"/>
                <w:b w:val="1"/>
                <w:bCs w:val="1"/>
                <w:color w:val="003B71"/>
              </w:rPr>
              <w:t>($)</w:t>
            </w:r>
          </w:p>
        </w:tc>
        <w:tc>
          <w:tcPr>
            <w:tcW w:w="300" w:type="dxa"/>
            <w:vAlign w:val="bottom"/>
            <w:tcBorders>
              <w:bottom w:val="single" w:sz="8" w:color="003B71"/>
            </w:tcBorders>
          </w:tcPr>
          <w:p>
            <w:pPr>
              <w:spacing w:after="0"/>
              <w:rPr>
                <w:sz w:val="16"/>
                <w:szCs w:val="16"/>
                <w:color w:val="auto"/>
              </w:rPr>
            </w:pPr>
          </w:p>
        </w:tc>
        <w:tc>
          <w:tcPr>
            <w:tcW w:w="1520" w:type="dxa"/>
            <w:vAlign w:val="bottom"/>
            <w:tcBorders>
              <w:bottom w:val="single" w:sz="8" w:color="003B71"/>
            </w:tcBorders>
          </w:tcPr>
          <w:p>
            <w:pPr>
              <w:jc w:val="right"/>
              <w:ind w:right="762"/>
              <w:spacing w:after="0"/>
              <w:rPr>
                <w:sz w:val="20"/>
                <w:szCs w:val="20"/>
                <w:color w:val="auto"/>
              </w:rPr>
            </w:pPr>
            <w:r>
              <w:rPr>
                <w:rFonts w:ascii="Arial" w:cs="Arial" w:eastAsia="Arial" w:hAnsi="Arial"/>
                <w:sz w:val="14"/>
                <w:szCs w:val="14"/>
                <w:b w:val="1"/>
                <w:bCs w:val="1"/>
                <w:color w:val="003B71"/>
              </w:rPr>
              <w:t>($)</w:t>
            </w:r>
          </w:p>
        </w:tc>
        <w:tc>
          <w:tcPr>
            <w:tcW w:w="0" w:type="dxa"/>
            <w:vAlign w:val="bottom"/>
          </w:tcPr>
          <w:p>
            <w:pPr>
              <w:spacing w:after="0"/>
              <w:rPr>
                <w:sz w:val="1"/>
                <w:szCs w:val="1"/>
                <w:color w:val="auto"/>
              </w:rPr>
            </w:pPr>
          </w:p>
        </w:tc>
      </w:tr>
      <w:tr>
        <w:trPr>
          <w:trHeight w:val="183"/>
        </w:trPr>
        <w:tc>
          <w:tcPr>
            <w:tcW w:w="196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Brian A. Jenkins</w:t>
            </w:r>
          </w:p>
        </w:tc>
        <w:tc>
          <w:tcPr>
            <w:tcW w:w="740" w:type="dxa"/>
            <w:vAlign w:val="bottom"/>
            <w:shd w:val="clear" w:color="auto" w:fill="E5E5E5"/>
          </w:tcPr>
          <w:p>
            <w:pPr>
              <w:ind w:left="560"/>
              <w:spacing w:after="0" w:line="183" w:lineRule="exact"/>
              <w:rPr>
                <w:sz w:val="20"/>
                <w:szCs w:val="20"/>
                <w:color w:val="auto"/>
              </w:rPr>
            </w:pPr>
            <w:r>
              <w:rPr>
                <w:rFonts w:ascii="Arial" w:cs="Arial" w:eastAsia="Arial" w:hAnsi="Arial"/>
                <w:sz w:val="16"/>
                <w:szCs w:val="16"/>
                <w:color w:val="auto"/>
              </w:rPr>
              <w:t>$</w:t>
            </w:r>
          </w:p>
        </w:tc>
        <w:tc>
          <w:tcPr>
            <w:tcW w:w="1520" w:type="dxa"/>
            <w:vAlign w:val="bottom"/>
            <w:shd w:val="clear" w:color="auto" w:fill="E5E5E5"/>
          </w:tcPr>
          <w:p>
            <w:pPr>
              <w:jc w:val="right"/>
              <w:ind w:right="162"/>
              <w:spacing w:after="0" w:line="183" w:lineRule="exact"/>
              <w:rPr>
                <w:sz w:val="20"/>
                <w:szCs w:val="20"/>
                <w:color w:val="auto"/>
              </w:rPr>
            </w:pPr>
            <w:r>
              <w:rPr>
                <w:rFonts w:ascii="Arial" w:cs="Arial" w:eastAsia="Arial" w:hAnsi="Arial"/>
                <w:sz w:val="16"/>
                <w:szCs w:val="16"/>
                <w:color w:val="auto"/>
              </w:rPr>
              <w:t>77,135</w:t>
            </w:r>
          </w:p>
        </w:tc>
        <w:tc>
          <w:tcPr>
            <w:tcW w:w="400" w:type="dxa"/>
            <w:vAlign w:val="bottom"/>
            <w:shd w:val="clear" w:color="auto" w:fill="E5E5E5"/>
          </w:tcPr>
          <w:p>
            <w:pPr>
              <w:ind w:left="260"/>
              <w:spacing w:after="0" w:line="183" w:lineRule="exact"/>
              <w:rPr>
                <w:sz w:val="20"/>
                <w:szCs w:val="20"/>
                <w:color w:val="auto"/>
              </w:rPr>
            </w:pPr>
            <w:r>
              <w:rPr>
                <w:rFonts w:ascii="Arial" w:cs="Arial" w:eastAsia="Arial" w:hAnsi="Arial"/>
                <w:sz w:val="16"/>
                <w:szCs w:val="16"/>
                <w:color w:val="auto"/>
              </w:rPr>
              <w:t>$</w:t>
            </w:r>
          </w:p>
        </w:tc>
        <w:tc>
          <w:tcPr>
            <w:tcW w:w="1560" w:type="dxa"/>
            <w:vAlign w:val="bottom"/>
            <w:shd w:val="clear" w:color="auto" w:fill="E5E5E5"/>
          </w:tcPr>
          <w:p>
            <w:pPr>
              <w:jc w:val="right"/>
              <w:ind w:right="162"/>
              <w:spacing w:after="0" w:line="183" w:lineRule="exact"/>
              <w:rPr>
                <w:sz w:val="20"/>
                <w:szCs w:val="20"/>
                <w:color w:val="auto"/>
              </w:rPr>
            </w:pPr>
            <w:r>
              <w:rPr>
                <w:rFonts w:ascii="Arial" w:cs="Arial" w:eastAsia="Arial" w:hAnsi="Arial"/>
                <w:sz w:val="16"/>
                <w:szCs w:val="16"/>
                <w:color w:val="auto"/>
              </w:rPr>
              <w:t>11,570</w:t>
            </w:r>
          </w:p>
        </w:tc>
        <w:tc>
          <w:tcPr>
            <w:tcW w:w="340" w:type="dxa"/>
            <w:vAlign w:val="bottom"/>
            <w:shd w:val="clear" w:color="auto" w:fill="E5E5E5"/>
          </w:tcPr>
          <w:p>
            <w:pPr>
              <w:ind w:left="260"/>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5E5E5"/>
          </w:tcPr>
          <w:p>
            <w:pPr>
              <w:jc w:val="right"/>
              <w:ind w:right="222"/>
              <w:spacing w:after="0" w:line="183" w:lineRule="exact"/>
              <w:rPr>
                <w:sz w:val="20"/>
                <w:szCs w:val="20"/>
                <w:color w:val="auto"/>
              </w:rPr>
            </w:pPr>
            <w:r>
              <w:rPr>
                <w:rFonts w:ascii="Arial" w:cs="Arial" w:eastAsia="Arial" w:hAnsi="Arial"/>
                <w:sz w:val="16"/>
                <w:szCs w:val="16"/>
                <w:color w:val="auto"/>
              </w:rPr>
              <w:t>60,417</w:t>
            </w:r>
          </w:p>
        </w:tc>
        <w:tc>
          <w:tcPr>
            <w:tcW w:w="340" w:type="dxa"/>
            <w:vAlign w:val="bottom"/>
            <w:shd w:val="clear" w:color="auto" w:fill="E5E5E5"/>
          </w:tcPr>
          <w:p>
            <w:pPr>
              <w:ind w:left="240"/>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shd w:val="clear" w:color="auto" w:fill="E5E5E5"/>
          </w:tcPr>
          <w:p>
            <w:pPr>
              <w:jc w:val="right"/>
              <w:ind w:right="141"/>
              <w:spacing w:after="0" w:line="183" w:lineRule="exact"/>
              <w:rPr>
                <w:sz w:val="20"/>
                <w:szCs w:val="20"/>
                <w:color w:val="auto"/>
              </w:rPr>
            </w:pPr>
            <w:r>
              <w:rPr>
                <w:rFonts w:ascii="Arial" w:cs="Arial" w:eastAsia="Arial" w:hAnsi="Arial"/>
                <w:sz w:val="16"/>
                <w:szCs w:val="16"/>
                <w:color w:val="auto"/>
              </w:rPr>
              <w:t>738</w:t>
            </w:r>
          </w:p>
        </w:tc>
        <w:tc>
          <w:tcPr>
            <w:tcW w:w="300" w:type="dxa"/>
            <w:vAlign w:val="bottom"/>
            <w:shd w:val="clear" w:color="auto" w:fill="E5E5E5"/>
          </w:tcPr>
          <w:p>
            <w:pPr>
              <w:ind w:left="160"/>
              <w:spacing w:after="0" w:line="183" w:lineRule="exact"/>
              <w:rPr>
                <w:sz w:val="20"/>
                <w:szCs w:val="20"/>
                <w:color w:val="auto"/>
              </w:rPr>
            </w:pPr>
            <w:r>
              <w:rPr>
                <w:rFonts w:ascii="Arial" w:cs="Arial" w:eastAsia="Arial" w:hAnsi="Arial"/>
                <w:sz w:val="16"/>
                <w:szCs w:val="16"/>
                <w:color w:val="auto"/>
              </w:rPr>
              <w:t>$</w:t>
            </w:r>
          </w:p>
        </w:tc>
        <w:tc>
          <w:tcPr>
            <w:tcW w:w="1520" w:type="dxa"/>
            <w:vAlign w:val="bottom"/>
            <w:shd w:val="clear" w:color="auto" w:fill="E5E5E5"/>
          </w:tcPr>
          <w:p>
            <w:pPr>
              <w:jc w:val="right"/>
              <w:ind w:right="102"/>
              <w:spacing w:after="0" w:line="183" w:lineRule="exact"/>
              <w:rPr>
                <w:sz w:val="20"/>
                <w:szCs w:val="20"/>
                <w:color w:val="auto"/>
              </w:rPr>
            </w:pPr>
            <w:r>
              <w:rPr>
                <w:rFonts w:ascii="Arial" w:cs="Arial" w:eastAsia="Arial" w:hAnsi="Arial"/>
                <w:sz w:val="16"/>
                <w:szCs w:val="16"/>
                <w:color w:val="auto"/>
              </w:rPr>
              <w:t>596,062</w:t>
            </w:r>
          </w:p>
        </w:tc>
        <w:tc>
          <w:tcPr>
            <w:tcW w:w="0" w:type="dxa"/>
            <w:vAlign w:val="bottom"/>
          </w:tcPr>
          <w:p>
            <w:pPr>
              <w:spacing w:after="0"/>
              <w:rPr>
                <w:sz w:val="1"/>
                <w:szCs w:val="1"/>
                <w:color w:val="auto"/>
              </w:rPr>
            </w:pPr>
          </w:p>
        </w:tc>
      </w:tr>
      <w:tr>
        <w:trPr>
          <w:trHeight w:val="189"/>
        </w:trPr>
        <w:tc>
          <w:tcPr>
            <w:tcW w:w="1960" w:type="dxa"/>
            <w:vAlign w:val="bottom"/>
          </w:tcPr>
          <w:p>
            <w:pPr>
              <w:ind w:left="80"/>
              <w:spacing w:after="0"/>
              <w:rPr>
                <w:sz w:val="20"/>
                <w:szCs w:val="20"/>
                <w:color w:val="auto"/>
              </w:rPr>
            </w:pPr>
            <w:r>
              <w:rPr>
                <w:rFonts w:ascii="Arial" w:cs="Arial" w:eastAsia="Arial" w:hAnsi="Arial"/>
                <w:sz w:val="16"/>
                <w:szCs w:val="16"/>
                <w:color w:val="auto"/>
              </w:rPr>
              <w:t>Scott Bowman</w:t>
            </w:r>
          </w:p>
        </w:tc>
        <w:tc>
          <w:tcPr>
            <w:tcW w:w="740" w:type="dxa"/>
            <w:vAlign w:val="bottom"/>
          </w:tcPr>
          <w:p>
            <w:pPr>
              <w:ind w:left="5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62"/>
              <w:spacing w:after="0"/>
              <w:rPr>
                <w:sz w:val="20"/>
                <w:szCs w:val="20"/>
                <w:color w:val="auto"/>
              </w:rPr>
            </w:pPr>
            <w:r>
              <w:rPr>
                <w:rFonts w:ascii="Arial" w:cs="Arial" w:eastAsia="Arial" w:hAnsi="Arial"/>
                <w:sz w:val="16"/>
                <w:szCs w:val="16"/>
                <w:color w:val="auto"/>
              </w:rPr>
              <w:t>2,100</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62"/>
              <w:spacing w:after="0"/>
              <w:rPr>
                <w:sz w:val="20"/>
                <w:szCs w:val="20"/>
                <w:color w:val="auto"/>
              </w:rPr>
            </w:pPr>
            <w:r>
              <w:rPr>
                <w:rFonts w:ascii="Arial" w:cs="Arial" w:eastAsia="Arial" w:hAnsi="Arial"/>
                <w:sz w:val="16"/>
                <w:szCs w:val="16"/>
                <w:color w:val="auto"/>
              </w:rPr>
              <w:t>525</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62"/>
              <w:spacing w:after="0"/>
              <w:rPr>
                <w:sz w:val="20"/>
                <w:szCs w:val="20"/>
                <w:color w:val="auto"/>
              </w:rPr>
            </w:pPr>
            <w:r>
              <w:rPr>
                <w:rFonts w:ascii="Arial" w:cs="Arial" w:eastAsia="Arial" w:hAnsi="Arial"/>
                <w:sz w:val="16"/>
                <w:szCs w:val="16"/>
                <w:color w:val="auto"/>
              </w:rPr>
              <w:t>(63)</w:t>
            </w:r>
          </w:p>
        </w:tc>
        <w:tc>
          <w:tcPr>
            <w:tcW w:w="340" w:type="dxa"/>
            <w:vAlign w:val="bottom"/>
          </w:tcPr>
          <w:p>
            <w:pPr>
              <w:ind w:left="2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0</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02"/>
              <w:spacing w:after="0"/>
              <w:rPr>
                <w:sz w:val="20"/>
                <w:szCs w:val="20"/>
                <w:color w:val="auto"/>
              </w:rPr>
            </w:pPr>
            <w:r>
              <w:rPr>
                <w:rFonts w:ascii="Arial" w:cs="Arial" w:eastAsia="Arial" w:hAnsi="Arial"/>
                <w:sz w:val="16"/>
                <w:szCs w:val="16"/>
                <w:color w:val="auto"/>
              </w:rPr>
              <w:t>2,562</w:t>
            </w:r>
          </w:p>
        </w:tc>
        <w:tc>
          <w:tcPr>
            <w:tcW w:w="0" w:type="dxa"/>
            <w:vAlign w:val="bottom"/>
          </w:tcPr>
          <w:p>
            <w:pPr>
              <w:spacing w:after="0"/>
              <w:rPr>
                <w:sz w:val="1"/>
                <w:szCs w:val="1"/>
                <w:color w:val="auto"/>
              </w:rPr>
            </w:pPr>
          </w:p>
        </w:tc>
      </w:tr>
      <w:tr>
        <w:trPr>
          <w:trHeight w:val="189"/>
        </w:trPr>
        <w:tc>
          <w:tcPr>
            <w:tcW w:w="1960" w:type="dxa"/>
            <w:vAlign w:val="bottom"/>
            <w:shd w:val="clear" w:color="auto" w:fill="E5E5E5"/>
          </w:tcPr>
          <w:p>
            <w:pPr>
              <w:ind w:left="80"/>
              <w:spacing w:after="0"/>
              <w:rPr>
                <w:sz w:val="20"/>
                <w:szCs w:val="20"/>
                <w:color w:val="auto"/>
              </w:rPr>
            </w:pPr>
            <w:r>
              <w:rPr>
                <w:rFonts w:ascii="Arial" w:cs="Arial" w:eastAsia="Arial" w:hAnsi="Arial"/>
                <w:sz w:val="16"/>
                <w:szCs w:val="16"/>
                <w:color w:val="auto"/>
              </w:rPr>
              <w:t>Joe DeProspero</w:t>
            </w:r>
          </w:p>
        </w:tc>
        <w:tc>
          <w:tcPr>
            <w:tcW w:w="740" w:type="dxa"/>
            <w:vAlign w:val="bottom"/>
            <w:shd w:val="clear" w:color="auto" w:fill="E5E5E5"/>
          </w:tcPr>
          <w:p>
            <w:pPr>
              <w:ind w:left="5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E5E5E5"/>
          </w:tcPr>
          <w:p>
            <w:pPr>
              <w:jc w:val="right"/>
              <w:ind w:right="162"/>
              <w:spacing w:after="0"/>
              <w:rPr>
                <w:sz w:val="20"/>
                <w:szCs w:val="20"/>
                <w:color w:val="auto"/>
              </w:rPr>
            </w:pPr>
            <w:r>
              <w:rPr>
                <w:rFonts w:ascii="Arial" w:cs="Arial" w:eastAsia="Arial" w:hAnsi="Arial"/>
                <w:sz w:val="16"/>
                <w:szCs w:val="16"/>
                <w:color w:val="auto"/>
              </w:rPr>
              <w:t>14,360</w:t>
            </w:r>
          </w:p>
        </w:tc>
        <w:tc>
          <w:tcPr>
            <w:tcW w:w="400" w:type="dxa"/>
            <w:vAlign w:val="bottom"/>
            <w:shd w:val="clear" w:color="auto" w:fill="E5E5E5"/>
          </w:tcPr>
          <w:p>
            <w:pPr>
              <w:ind w:left="2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E5E5E5"/>
          </w:tcPr>
          <w:p>
            <w:pPr>
              <w:jc w:val="right"/>
              <w:ind w:right="162"/>
              <w:spacing w:after="0"/>
              <w:rPr>
                <w:sz w:val="20"/>
                <w:szCs w:val="20"/>
                <w:color w:val="auto"/>
              </w:rPr>
            </w:pPr>
            <w:r>
              <w:rPr>
                <w:rFonts w:ascii="Arial" w:cs="Arial" w:eastAsia="Arial" w:hAnsi="Arial"/>
                <w:sz w:val="16"/>
                <w:szCs w:val="16"/>
                <w:color w:val="auto"/>
              </w:rPr>
              <w:t>3,590</w:t>
            </w:r>
          </w:p>
        </w:tc>
        <w:tc>
          <w:tcPr>
            <w:tcW w:w="340" w:type="dxa"/>
            <w:vAlign w:val="bottom"/>
            <w:shd w:val="clear" w:color="auto" w:fill="E5E5E5"/>
          </w:tcPr>
          <w:p>
            <w:pPr>
              <w:ind w:left="260"/>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5E5E5"/>
          </w:tcPr>
          <w:p>
            <w:pPr>
              <w:jc w:val="right"/>
              <w:ind w:right="222"/>
              <w:spacing w:after="0"/>
              <w:rPr>
                <w:sz w:val="20"/>
                <w:szCs w:val="20"/>
                <w:color w:val="auto"/>
              </w:rPr>
            </w:pPr>
            <w:r>
              <w:rPr>
                <w:rFonts w:ascii="Arial" w:cs="Arial" w:eastAsia="Arial" w:hAnsi="Arial"/>
                <w:sz w:val="16"/>
                <w:szCs w:val="16"/>
                <w:color w:val="auto"/>
              </w:rPr>
              <w:t>52,954</w:t>
            </w:r>
          </w:p>
        </w:tc>
        <w:tc>
          <w:tcPr>
            <w:tcW w:w="340" w:type="dxa"/>
            <w:vAlign w:val="bottom"/>
            <w:shd w:val="clear" w:color="auto" w:fill="E5E5E5"/>
          </w:tcPr>
          <w:p>
            <w:pPr>
              <w:ind w:left="24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(277)</w:t>
            </w:r>
          </w:p>
        </w:tc>
        <w:tc>
          <w:tcPr>
            <w:tcW w:w="300" w:type="dxa"/>
            <w:vAlign w:val="bottom"/>
            <w:shd w:val="clear" w:color="auto" w:fill="E5E5E5"/>
          </w:tcPr>
          <w:p>
            <w:pPr>
              <w:ind w:left="1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308,614</w:t>
            </w:r>
          </w:p>
        </w:tc>
        <w:tc>
          <w:tcPr>
            <w:tcW w:w="0" w:type="dxa"/>
            <w:vAlign w:val="bottom"/>
          </w:tcPr>
          <w:p>
            <w:pPr>
              <w:spacing w:after="0"/>
              <w:rPr>
                <w:sz w:val="1"/>
                <w:szCs w:val="1"/>
                <w:color w:val="auto"/>
              </w:rPr>
            </w:pPr>
          </w:p>
        </w:tc>
      </w:tr>
      <w:tr>
        <w:trPr>
          <w:trHeight w:val="189"/>
        </w:trPr>
        <w:tc>
          <w:tcPr>
            <w:tcW w:w="1960" w:type="dxa"/>
            <w:vAlign w:val="bottom"/>
          </w:tcPr>
          <w:p>
            <w:pPr>
              <w:ind w:left="80"/>
              <w:spacing w:after="0"/>
              <w:rPr>
                <w:sz w:val="20"/>
                <w:szCs w:val="20"/>
                <w:color w:val="auto"/>
              </w:rPr>
            </w:pPr>
            <w:r>
              <w:rPr>
                <w:rFonts w:ascii="Arial" w:cs="Arial" w:eastAsia="Arial" w:hAnsi="Arial"/>
                <w:sz w:val="16"/>
                <w:szCs w:val="16"/>
                <w:color w:val="auto"/>
              </w:rPr>
              <w:t>Sean Gleason</w:t>
            </w:r>
          </w:p>
        </w:tc>
        <w:tc>
          <w:tcPr>
            <w:tcW w:w="740" w:type="dxa"/>
            <w:vAlign w:val="bottom"/>
          </w:tcPr>
          <w:p>
            <w:pPr>
              <w:ind w:left="5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62"/>
              <w:spacing w:after="0"/>
              <w:rPr>
                <w:sz w:val="20"/>
                <w:szCs w:val="20"/>
                <w:color w:val="auto"/>
              </w:rPr>
            </w:pPr>
            <w:r>
              <w:rPr>
                <w:rFonts w:ascii="Arial" w:cs="Arial" w:eastAsia="Arial" w:hAnsi="Arial"/>
                <w:sz w:val="16"/>
                <w:szCs w:val="16"/>
                <w:color w:val="auto"/>
              </w:rPr>
              <w:t>44,942</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62"/>
              <w:spacing w:after="0"/>
              <w:rPr>
                <w:sz w:val="20"/>
                <w:szCs w:val="20"/>
                <w:color w:val="auto"/>
              </w:rPr>
            </w:pPr>
            <w:r>
              <w:rPr>
                <w:rFonts w:ascii="Arial" w:cs="Arial" w:eastAsia="Arial" w:hAnsi="Arial"/>
                <w:sz w:val="16"/>
                <w:szCs w:val="16"/>
                <w:color w:val="auto"/>
              </w:rPr>
              <w:t>6,268</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222"/>
              <w:spacing w:after="0"/>
              <w:rPr>
                <w:sz w:val="20"/>
                <w:szCs w:val="20"/>
                <w:color w:val="auto"/>
              </w:rPr>
            </w:pPr>
            <w:r>
              <w:rPr>
                <w:rFonts w:ascii="Arial" w:cs="Arial" w:eastAsia="Arial" w:hAnsi="Arial"/>
                <w:sz w:val="16"/>
                <w:szCs w:val="16"/>
                <w:color w:val="auto"/>
              </w:rPr>
              <w:t>50,148</w:t>
            </w:r>
          </w:p>
        </w:tc>
        <w:tc>
          <w:tcPr>
            <w:tcW w:w="340" w:type="dxa"/>
            <w:vAlign w:val="bottom"/>
          </w:tcPr>
          <w:p>
            <w:pPr>
              <w:ind w:left="2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505</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02"/>
              <w:spacing w:after="0"/>
              <w:rPr>
                <w:sz w:val="20"/>
                <w:szCs w:val="20"/>
                <w:color w:val="auto"/>
              </w:rPr>
            </w:pPr>
            <w:r>
              <w:rPr>
                <w:rFonts w:ascii="Arial" w:cs="Arial" w:eastAsia="Arial" w:hAnsi="Arial"/>
                <w:sz w:val="16"/>
                <w:szCs w:val="16"/>
                <w:color w:val="auto"/>
              </w:rPr>
              <w:t>393,512</w:t>
            </w:r>
          </w:p>
        </w:tc>
        <w:tc>
          <w:tcPr>
            <w:tcW w:w="0" w:type="dxa"/>
            <w:vAlign w:val="bottom"/>
          </w:tcPr>
          <w:p>
            <w:pPr>
              <w:spacing w:after="0"/>
              <w:rPr>
                <w:sz w:val="1"/>
                <w:szCs w:val="1"/>
                <w:color w:val="auto"/>
              </w:rPr>
            </w:pPr>
          </w:p>
        </w:tc>
      </w:tr>
      <w:tr>
        <w:trPr>
          <w:trHeight w:val="189"/>
        </w:trPr>
        <w:tc>
          <w:tcPr>
            <w:tcW w:w="1960" w:type="dxa"/>
            <w:vAlign w:val="bottom"/>
            <w:shd w:val="clear" w:color="auto" w:fill="E5E5E5"/>
          </w:tcPr>
          <w:p>
            <w:pPr>
              <w:ind w:left="80"/>
              <w:spacing w:after="0"/>
              <w:rPr>
                <w:sz w:val="20"/>
                <w:szCs w:val="20"/>
                <w:color w:val="auto"/>
              </w:rPr>
            </w:pPr>
            <w:r>
              <w:rPr>
                <w:rFonts w:ascii="Arial" w:cs="Arial" w:eastAsia="Arial" w:hAnsi="Arial"/>
                <w:sz w:val="16"/>
                <w:szCs w:val="16"/>
                <w:color w:val="auto"/>
              </w:rPr>
              <w:t>Margo L. Manning</w:t>
            </w:r>
          </w:p>
        </w:tc>
        <w:tc>
          <w:tcPr>
            <w:tcW w:w="740" w:type="dxa"/>
            <w:vAlign w:val="bottom"/>
            <w:shd w:val="clear" w:color="auto" w:fill="E5E5E5"/>
          </w:tcPr>
          <w:p>
            <w:pPr>
              <w:ind w:left="5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E5E5E5"/>
          </w:tcPr>
          <w:p>
            <w:pPr>
              <w:jc w:val="right"/>
              <w:ind w:right="162"/>
              <w:spacing w:after="0"/>
              <w:rPr>
                <w:sz w:val="20"/>
                <w:szCs w:val="20"/>
                <w:color w:val="auto"/>
              </w:rPr>
            </w:pPr>
            <w:r>
              <w:rPr>
                <w:rFonts w:ascii="Arial" w:cs="Arial" w:eastAsia="Arial" w:hAnsi="Arial"/>
                <w:sz w:val="16"/>
                <w:szCs w:val="16"/>
                <w:color w:val="auto"/>
              </w:rPr>
              <w:t>93,346</w:t>
            </w:r>
          </w:p>
        </w:tc>
        <w:tc>
          <w:tcPr>
            <w:tcW w:w="400" w:type="dxa"/>
            <w:vAlign w:val="bottom"/>
            <w:shd w:val="clear" w:color="auto" w:fill="E5E5E5"/>
          </w:tcPr>
          <w:p>
            <w:pPr>
              <w:ind w:left="2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E5E5E5"/>
          </w:tcPr>
          <w:p>
            <w:pPr>
              <w:jc w:val="right"/>
              <w:ind w:right="162"/>
              <w:spacing w:after="0"/>
              <w:rPr>
                <w:sz w:val="20"/>
                <w:szCs w:val="20"/>
                <w:color w:val="auto"/>
              </w:rPr>
            </w:pPr>
            <w:r>
              <w:rPr>
                <w:rFonts w:ascii="Arial" w:cs="Arial" w:eastAsia="Arial" w:hAnsi="Arial"/>
                <w:sz w:val="16"/>
                <w:szCs w:val="16"/>
                <w:color w:val="auto"/>
              </w:rPr>
              <w:t>6,867</w:t>
            </w:r>
          </w:p>
        </w:tc>
        <w:tc>
          <w:tcPr>
            <w:tcW w:w="340" w:type="dxa"/>
            <w:vAlign w:val="bottom"/>
            <w:shd w:val="clear" w:color="auto" w:fill="E5E5E5"/>
          </w:tcPr>
          <w:p>
            <w:pPr>
              <w:ind w:left="260"/>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5E5E5"/>
          </w:tcPr>
          <w:p>
            <w:pPr>
              <w:jc w:val="right"/>
              <w:ind w:right="222"/>
              <w:spacing w:after="0"/>
              <w:rPr>
                <w:sz w:val="20"/>
                <w:szCs w:val="20"/>
                <w:color w:val="auto"/>
              </w:rPr>
            </w:pPr>
            <w:r>
              <w:rPr>
                <w:rFonts w:ascii="Arial" w:cs="Arial" w:eastAsia="Arial" w:hAnsi="Arial"/>
                <w:sz w:val="16"/>
                <w:szCs w:val="16"/>
                <w:color w:val="auto"/>
              </w:rPr>
              <w:t>137,261</w:t>
            </w:r>
          </w:p>
        </w:tc>
        <w:tc>
          <w:tcPr>
            <w:tcW w:w="340" w:type="dxa"/>
            <w:vAlign w:val="bottom"/>
            <w:shd w:val="clear" w:color="auto" w:fill="E5E5E5"/>
          </w:tcPr>
          <w:p>
            <w:pPr>
              <w:ind w:left="24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2,068</w:t>
            </w:r>
          </w:p>
        </w:tc>
        <w:tc>
          <w:tcPr>
            <w:tcW w:w="300" w:type="dxa"/>
            <w:vAlign w:val="bottom"/>
            <w:shd w:val="clear" w:color="auto" w:fill="E5E5E5"/>
          </w:tcPr>
          <w:p>
            <w:pPr>
              <w:ind w:left="1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1,064,647</w:t>
            </w:r>
          </w:p>
        </w:tc>
        <w:tc>
          <w:tcPr>
            <w:tcW w:w="0" w:type="dxa"/>
            <w:vAlign w:val="bottom"/>
          </w:tcPr>
          <w:p>
            <w:pPr>
              <w:spacing w:after="0"/>
              <w:rPr>
                <w:sz w:val="1"/>
                <w:szCs w:val="1"/>
                <w:color w:val="auto"/>
              </w:rPr>
            </w:pPr>
          </w:p>
        </w:tc>
      </w:tr>
      <w:tr>
        <w:trPr>
          <w:trHeight w:val="189"/>
        </w:trPr>
        <w:tc>
          <w:tcPr>
            <w:tcW w:w="1960" w:type="dxa"/>
            <w:vAlign w:val="bottom"/>
            <w:tcBorders>
              <w:bottom w:val="single" w:sz="8" w:color="003B71"/>
            </w:tcBorders>
          </w:tcPr>
          <w:p>
            <w:pPr>
              <w:ind w:left="80"/>
              <w:spacing w:after="0"/>
              <w:rPr>
                <w:sz w:val="20"/>
                <w:szCs w:val="20"/>
                <w:color w:val="auto"/>
              </w:rPr>
            </w:pPr>
            <w:r>
              <w:rPr>
                <w:rFonts w:ascii="Arial" w:cs="Arial" w:eastAsia="Arial" w:hAnsi="Arial"/>
                <w:sz w:val="16"/>
                <w:szCs w:val="16"/>
                <w:color w:val="auto"/>
              </w:rPr>
              <w:t>John B. Mulleady</w:t>
            </w:r>
          </w:p>
        </w:tc>
        <w:tc>
          <w:tcPr>
            <w:tcW w:w="740" w:type="dxa"/>
            <w:vAlign w:val="bottom"/>
            <w:tcBorders>
              <w:bottom w:val="single" w:sz="8" w:color="003B71"/>
            </w:tcBorders>
          </w:tcPr>
          <w:p>
            <w:pPr>
              <w:ind w:left="56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003B71"/>
            </w:tcBorders>
          </w:tcPr>
          <w:p>
            <w:pPr>
              <w:jc w:val="right"/>
              <w:ind w:right="162"/>
              <w:spacing w:after="0"/>
              <w:rPr>
                <w:sz w:val="20"/>
                <w:szCs w:val="20"/>
                <w:color w:val="auto"/>
              </w:rPr>
            </w:pPr>
            <w:r>
              <w:rPr>
                <w:rFonts w:ascii="Arial" w:cs="Arial" w:eastAsia="Arial" w:hAnsi="Arial"/>
                <w:sz w:val="16"/>
                <w:szCs w:val="16"/>
                <w:color w:val="auto"/>
              </w:rPr>
              <w:t>0</w:t>
            </w:r>
          </w:p>
        </w:tc>
        <w:tc>
          <w:tcPr>
            <w:tcW w:w="400" w:type="dxa"/>
            <w:vAlign w:val="bottom"/>
            <w:tcBorders>
              <w:bottom w:val="single" w:sz="8" w:color="003B71"/>
            </w:tcBorders>
          </w:tcPr>
          <w:p>
            <w:pPr>
              <w:ind w:left="26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003B71"/>
            </w:tcBorders>
          </w:tcPr>
          <w:p>
            <w:pPr>
              <w:jc w:val="right"/>
              <w:ind w:right="162"/>
              <w:spacing w:after="0"/>
              <w:rPr>
                <w:sz w:val="20"/>
                <w:szCs w:val="20"/>
                <w:color w:val="auto"/>
              </w:rPr>
            </w:pPr>
            <w:r>
              <w:rPr>
                <w:rFonts w:ascii="Arial" w:cs="Arial" w:eastAsia="Arial" w:hAnsi="Arial"/>
                <w:sz w:val="16"/>
                <w:szCs w:val="16"/>
                <w:color w:val="auto"/>
              </w:rPr>
              <w:t>0</w:t>
            </w:r>
          </w:p>
        </w:tc>
        <w:tc>
          <w:tcPr>
            <w:tcW w:w="340" w:type="dxa"/>
            <w:vAlign w:val="bottom"/>
            <w:tcBorders>
              <w:bottom w:val="single" w:sz="8" w:color="003B71"/>
            </w:tcBorders>
          </w:tcPr>
          <w:p>
            <w:pPr>
              <w:ind w:left="260"/>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003B71"/>
            </w:tcBorders>
          </w:tcPr>
          <w:p>
            <w:pPr>
              <w:jc w:val="right"/>
              <w:ind w:right="222"/>
              <w:spacing w:after="0"/>
              <w:rPr>
                <w:sz w:val="20"/>
                <w:szCs w:val="20"/>
                <w:color w:val="auto"/>
              </w:rPr>
            </w:pPr>
            <w:r>
              <w:rPr>
                <w:rFonts w:ascii="Arial" w:cs="Arial" w:eastAsia="Arial" w:hAnsi="Arial"/>
                <w:sz w:val="16"/>
                <w:szCs w:val="16"/>
                <w:color w:val="auto"/>
              </w:rPr>
              <w:t>0</w:t>
            </w:r>
          </w:p>
        </w:tc>
        <w:tc>
          <w:tcPr>
            <w:tcW w:w="340" w:type="dxa"/>
            <w:vAlign w:val="bottom"/>
            <w:tcBorders>
              <w:bottom w:val="single" w:sz="8" w:color="003B71"/>
            </w:tcBorders>
          </w:tcPr>
          <w:p>
            <w:pPr>
              <w:ind w:left="24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003B71"/>
            </w:tcBorders>
          </w:tcPr>
          <w:p>
            <w:pPr>
              <w:jc w:val="right"/>
              <w:ind w:right="141"/>
              <w:spacing w:after="0"/>
              <w:rPr>
                <w:sz w:val="20"/>
                <w:szCs w:val="20"/>
                <w:color w:val="auto"/>
              </w:rPr>
            </w:pPr>
            <w:r>
              <w:rPr>
                <w:rFonts w:ascii="Arial" w:cs="Arial" w:eastAsia="Arial" w:hAnsi="Arial"/>
                <w:sz w:val="16"/>
                <w:szCs w:val="16"/>
                <w:color w:val="auto"/>
              </w:rPr>
              <w:t>0</w:t>
            </w:r>
          </w:p>
        </w:tc>
        <w:tc>
          <w:tcPr>
            <w:tcW w:w="300" w:type="dxa"/>
            <w:vAlign w:val="bottom"/>
            <w:tcBorders>
              <w:bottom w:val="single" w:sz="8" w:color="003B71"/>
            </w:tcBorders>
          </w:tcPr>
          <w:p>
            <w:pPr>
              <w:ind w:left="16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003B71"/>
            </w:tcBorders>
          </w:tcPr>
          <w:p>
            <w:pPr>
              <w:jc w:val="right"/>
              <w:ind w:right="102"/>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Amounts are included in the “Salary” column of the “2019 Summary Compensation Table.”</w:t>
      </w:r>
    </w:p>
    <w:p>
      <w:pPr>
        <w:spacing w:after="0" w:line="8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Amounts shown are matching contributions pursuant to the deferred compensation plan. These amounts are included in the “All Other Compensation” column of the “2019 Summary Compensation Table.”</w:t>
      </w:r>
    </w:p>
    <w:p>
      <w:pPr>
        <w:spacing w:after="0" w:line="60" w:lineRule="exact"/>
        <w:rPr>
          <w:rFonts w:ascii="Arial" w:cs="Arial" w:eastAsia="Arial" w:hAnsi="Arial"/>
          <w:sz w:val="16"/>
          <w:szCs w:val="16"/>
          <w:color w:val="auto"/>
        </w:rPr>
      </w:pPr>
    </w:p>
    <w:p>
      <w:pPr>
        <w:ind w:left="540" w:hanging="424"/>
        <w:spacing w:after="0"/>
        <w:tabs>
          <w:tab w:leader="none" w:pos="5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 amount reported in this column was reported as compensation to the officer in the “2019 Summary Compensation Table” in previous years.</w:t>
      </w:r>
    </w:p>
    <w:p>
      <w:pPr>
        <w:spacing w:after="0" w:line="86" w:lineRule="exact"/>
        <w:rPr>
          <w:rFonts w:ascii="Arial" w:cs="Arial" w:eastAsia="Arial" w:hAnsi="Arial"/>
          <w:sz w:val="16"/>
          <w:szCs w:val="16"/>
          <w:color w:val="auto"/>
        </w:rPr>
      </w:pPr>
    </w:p>
    <w:p>
      <w:pPr>
        <w:jc w:val="both"/>
        <w:ind w:left="540" w:right="20" w:hanging="424"/>
        <w:spacing w:after="0" w:line="251" w:lineRule="auto"/>
        <w:tabs>
          <w:tab w:leader="none" w:pos="5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portion of these amounts derived from executive contributions made in previous years was included in the “Salary” column of the “Summary Compensation Table” in the years when the contributions were made. The portions of these amounts derived from matching contributions made in previous years were included in the “All Other Compensation” column of the “Summary Compensation Table” in the years when the executive contributions were made.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We have entered into employment agreements with our NEOs to reflect the then current compensation arrangements of each of the NEOs and to include additional restrictive covenants, including a one-year non-competition provision and a two-year non-solicitation and non-hire provision. The employment agreement for each NEO provides for an initial term of one year, subject to automatic one -year renewals unless terminated earlier by the NEO or us. Under the terms of the employment agreements, each NEO is entitled to a minimum base salary and may receive an annual salary increase commensurate with such officer’s performance during the year, as determined by our Board of Directors. Our NEOs are also entitled to participate in the Executive Incentive Plan, the 2014 Stock Incentive Plan and in any profit sharing, qualified and nonqualified retirement plans and any health, life, accident, disability insurance, sick leave, supplemental medical reimbursement insurance, or benefit plans or programs as we may choose to make available now or in the future. NEOs also receive an annual perquisite allowance. In addition, the employment agreements contain provisions providing for severance payments and continuation of benefits under certain circumstances including termination by us without Cause (as defined in the employment agreement), upon execution of a general release of claims in favor of us.</w:t>
      </w:r>
    </w:p>
    <w:p>
      <w:pPr>
        <w:spacing w:after="0" w:line="129"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51</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Potential Payments Upon Termination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following is a discussion of the rights of the NEOs under the 2010 Stock Incentive Plan, the 2014 Stock Incentive Plan and the employment agreements with the NEOs following a termination of employment or change of control.</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Payments pursuant to 2010 Stock Incentive Plan</w:t>
      </w:r>
    </w:p>
    <w:p>
      <w:pPr>
        <w:spacing w:after="0" w:line="126" w:lineRule="exact"/>
        <w:rPr>
          <w:sz w:val="20"/>
          <w:szCs w:val="20"/>
          <w:color w:val="auto"/>
        </w:rPr>
      </w:pPr>
    </w:p>
    <w:p>
      <w:pPr>
        <w:jc w:val="both"/>
        <w:ind w:left="120" w:right="20"/>
        <w:spacing w:after="0" w:line="234" w:lineRule="auto"/>
        <w:rPr>
          <w:sz w:val="20"/>
          <w:szCs w:val="20"/>
          <w:color w:val="auto"/>
        </w:rPr>
      </w:pPr>
      <w:r>
        <w:rPr>
          <w:rFonts w:ascii="Arial" w:cs="Arial" w:eastAsia="Arial" w:hAnsi="Arial"/>
          <w:sz w:val="18"/>
          <w:szCs w:val="18"/>
          <w:color w:val="auto"/>
        </w:rPr>
        <w:t>Pursuant to the 2010 Stock Incentive Plan, certain vested stock options shall terminate on the earliest of (a) the day on which the executive officer is no longer employed by us due to the termination of such employment for cause, (b) the thirty-first day following the date the executive officer is no longer employed by us due to the termination of such employment upon notice to us by the executive officer without good reason having been shown, (c) the 366th day following the date the executive officer is no longer employed by us by reason of death, disability, or due to the termination of such employment (i) by the executive officer for good reason having been shown or</w:t>
      </w:r>
    </w:p>
    <w:p>
      <w:pPr>
        <w:spacing w:after="0" w:line="3" w:lineRule="exact"/>
        <w:rPr>
          <w:sz w:val="20"/>
          <w:szCs w:val="20"/>
          <w:color w:val="auto"/>
        </w:rPr>
      </w:pPr>
    </w:p>
    <w:p>
      <w:pPr>
        <w:jc w:val="both"/>
        <w:ind w:left="120" w:hanging="4"/>
        <w:spacing w:after="0" w:line="238" w:lineRule="auto"/>
        <w:tabs>
          <w:tab w:leader="none" w:pos="37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us for reason other than for cause, or (d) the tenth anniversary of the date of grant. All options that are not vested and exercisable on the date of termination of employment shall immediately terminate and expire on such termination date. Following the adoption of the 2014 Stock Incentive Plan, no further grants of stock options, stock appreciation rights, restricted stock, other stock-based awards, or cash-based awards will be made pursuant to the 2010 Stock Incentive Plan.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Payments pursuant to 2014 Stock Incentive Plan</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address grants under the 2014 Stock Incentive Plan.</w:t>
      </w:r>
    </w:p>
    <w:p>
      <w:pPr>
        <w:spacing w:after="0" w:line="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3B71"/>
        </w:rPr>
        <w:t>Stock Options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88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Reason for Termination</w:t>
            </w:r>
          </w:p>
        </w:tc>
        <w:tc>
          <w:tcPr>
            <w:tcW w:w="4280" w:type="dxa"/>
            <w:vAlign w:val="bottom"/>
            <w:tcBorders>
              <w:bottom w:val="single" w:sz="8" w:color="003B71"/>
            </w:tcBorders>
          </w:tcPr>
          <w:p>
            <w:pPr>
              <w:ind w:left="2680"/>
              <w:spacing w:after="0"/>
              <w:rPr>
                <w:sz w:val="20"/>
                <w:szCs w:val="20"/>
                <w:color w:val="auto"/>
              </w:rPr>
            </w:pPr>
            <w:r>
              <w:rPr>
                <w:rFonts w:ascii="Arial" w:cs="Arial" w:eastAsia="Arial" w:hAnsi="Arial"/>
                <w:sz w:val="14"/>
                <w:szCs w:val="14"/>
                <w:b w:val="1"/>
                <w:bCs w:val="1"/>
                <w:color w:val="003B71"/>
              </w:rPr>
              <w:t>Unvested</w:t>
            </w:r>
          </w:p>
        </w:tc>
        <w:tc>
          <w:tcPr>
            <w:tcW w:w="3860" w:type="dxa"/>
            <w:vAlign w:val="bottom"/>
            <w:tcBorders>
              <w:bottom w:val="single" w:sz="8" w:color="003B71"/>
            </w:tcBorders>
          </w:tcPr>
          <w:p>
            <w:pPr>
              <w:ind w:left="2000"/>
              <w:spacing w:after="0"/>
              <w:rPr>
                <w:sz w:val="20"/>
                <w:szCs w:val="20"/>
                <w:color w:val="auto"/>
              </w:rPr>
            </w:pPr>
            <w:r>
              <w:rPr>
                <w:rFonts w:ascii="Arial" w:cs="Arial" w:eastAsia="Arial" w:hAnsi="Arial"/>
                <w:sz w:val="14"/>
                <w:szCs w:val="14"/>
                <w:b w:val="1"/>
                <w:bCs w:val="1"/>
                <w:color w:val="003B71"/>
              </w:rPr>
              <w:t>Vested</w:t>
            </w:r>
          </w:p>
        </w:tc>
      </w:tr>
      <w:tr>
        <w:trPr>
          <w:trHeight w:val="183"/>
        </w:trPr>
        <w:tc>
          <w:tcPr>
            <w:tcW w:w="288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For cause</w:t>
            </w:r>
          </w:p>
        </w:tc>
        <w:tc>
          <w:tcPr>
            <w:tcW w:w="4280" w:type="dxa"/>
            <w:vAlign w:val="bottom"/>
            <w:shd w:val="clear" w:color="auto" w:fill="E5E5E5"/>
          </w:tcPr>
          <w:p>
            <w:pPr>
              <w:ind w:left="1220"/>
              <w:spacing w:after="0" w:line="183" w:lineRule="exact"/>
              <w:rPr>
                <w:sz w:val="20"/>
                <w:szCs w:val="20"/>
                <w:color w:val="auto"/>
              </w:rPr>
            </w:pPr>
            <w:r>
              <w:rPr>
                <w:rFonts w:ascii="Arial" w:cs="Arial" w:eastAsia="Arial" w:hAnsi="Arial"/>
                <w:sz w:val="16"/>
                <w:szCs w:val="16"/>
                <w:color w:val="auto"/>
              </w:rPr>
              <w:t>Immediate forfeiture</w:t>
            </w:r>
          </w:p>
        </w:tc>
        <w:tc>
          <w:tcPr>
            <w:tcW w:w="3860" w:type="dxa"/>
            <w:vAlign w:val="bottom"/>
            <w:shd w:val="clear" w:color="auto" w:fill="E5E5E5"/>
          </w:tcPr>
          <w:p>
            <w:pPr>
              <w:ind w:left="620"/>
              <w:spacing w:after="0" w:line="183" w:lineRule="exact"/>
              <w:rPr>
                <w:sz w:val="20"/>
                <w:szCs w:val="20"/>
                <w:color w:val="auto"/>
              </w:rPr>
            </w:pPr>
            <w:r>
              <w:rPr>
                <w:rFonts w:ascii="Arial" w:cs="Arial" w:eastAsia="Arial" w:hAnsi="Arial"/>
                <w:sz w:val="16"/>
                <w:szCs w:val="16"/>
                <w:color w:val="auto"/>
              </w:rPr>
              <w:t>Immediate forfeiture</w:t>
            </w:r>
          </w:p>
        </w:tc>
      </w:tr>
      <w:tr>
        <w:trPr>
          <w:trHeight w:val="191"/>
        </w:trPr>
        <w:tc>
          <w:tcPr>
            <w:tcW w:w="2880" w:type="dxa"/>
            <w:vAlign w:val="bottom"/>
          </w:tcPr>
          <w:p>
            <w:pPr>
              <w:ind w:left="80"/>
              <w:spacing w:after="0"/>
              <w:rPr>
                <w:sz w:val="20"/>
                <w:szCs w:val="20"/>
                <w:color w:val="auto"/>
              </w:rPr>
            </w:pPr>
            <w:r>
              <w:rPr>
                <w:rFonts w:ascii="Arial" w:cs="Arial" w:eastAsia="Arial" w:hAnsi="Arial"/>
                <w:sz w:val="16"/>
                <w:szCs w:val="16"/>
                <w:color w:val="auto"/>
              </w:rPr>
              <w:t>Death or disability</w:t>
            </w:r>
          </w:p>
        </w:tc>
        <w:tc>
          <w:tcPr>
            <w:tcW w:w="4280" w:type="dxa"/>
            <w:vAlign w:val="bottom"/>
          </w:tcPr>
          <w:p>
            <w:pPr>
              <w:ind w:left="1220"/>
              <w:spacing w:after="0"/>
              <w:rPr>
                <w:sz w:val="20"/>
                <w:szCs w:val="20"/>
                <w:color w:val="auto"/>
              </w:rPr>
            </w:pPr>
            <w:r>
              <w:rPr>
                <w:rFonts w:ascii="Arial" w:cs="Arial" w:eastAsia="Arial" w:hAnsi="Arial"/>
                <w:sz w:val="16"/>
                <w:szCs w:val="16"/>
                <w:color w:val="auto"/>
              </w:rPr>
              <w:t>Immediate vesting</w:t>
            </w:r>
          </w:p>
        </w:tc>
        <w:tc>
          <w:tcPr>
            <w:tcW w:w="3860" w:type="dxa"/>
            <w:vAlign w:val="bottom"/>
          </w:tcPr>
          <w:p>
            <w:pPr>
              <w:ind w:left="620"/>
              <w:spacing w:after="0"/>
              <w:rPr>
                <w:sz w:val="20"/>
                <w:szCs w:val="20"/>
                <w:color w:val="auto"/>
              </w:rPr>
            </w:pPr>
            <w:r>
              <w:rPr>
                <w:rFonts w:ascii="Arial" w:cs="Arial" w:eastAsia="Arial" w:hAnsi="Arial"/>
                <w:sz w:val="16"/>
                <w:szCs w:val="16"/>
                <w:color w:val="auto"/>
              </w:rPr>
              <w:t>Exercisable for earlier of (i) 1 year after</w:t>
            </w:r>
          </w:p>
        </w:tc>
      </w:tr>
      <w:tr>
        <w:trPr>
          <w:trHeight w:val="189"/>
        </w:trPr>
        <w:tc>
          <w:tcPr>
            <w:tcW w:w="28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860" w:type="dxa"/>
            <w:vAlign w:val="bottom"/>
          </w:tcPr>
          <w:p>
            <w:pPr>
              <w:ind w:left="620"/>
              <w:spacing w:after="0"/>
              <w:rPr>
                <w:sz w:val="20"/>
                <w:szCs w:val="20"/>
                <w:color w:val="auto"/>
              </w:rPr>
            </w:pPr>
            <w:r>
              <w:rPr>
                <w:rFonts w:ascii="Arial" w:cs="Arial" w:eastAsia="Arial" w:hAnsi="Arial"/>
                <w:sz w:val="16"/>
                <w:szCs w:val="16"/>
                <w:color w:val="auto"/>
              </w:rPr>
              <w:t>death or disability or (ii) the remainder of</w:t>
            </w:r>
          </w:p>
        </w:tc>
      </w:tr>
      <w:tr>
        <w:trPr>
          <w:trHeight w:val="187"/>
        </w:trPr>
        <w:tc>
          <w:tcPr>
            <w:tcW w:w="28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860" w:type="dxa"/>
            <w:vAlign w:val="bottom"/>
          </w:tcPr>
          <w:p>
            <w:pPr>
              <w:ind w:left="620"/>
              <w:spacing w:after="0"/>
              <w:rPr>
                <w:sz w:val="20"/>
                <w:szCs w:val="20"/>
                <w:color w:val="auto"/>
              </w:rPr>
            </w:pPr>
            <w:r>
              <w:rPr>
                <w:rFonts w:ascii="Arial" w:cs="Arial" w:eastAsia="Arial" w:hAnsi="Arial"/>
                <w:sz w:val="16"/>
                <w:szCs w:val="16"/>
                <w:color w:val="auto"/>
              </w:rPr>
              <w:t>option term</w:t>
            </w:r>
          </w:p>
        </w:tc>
      </w:tr>
      <w:tr>
        <w:trPr>
          <w:trHeight w:val="189"/>
        </w:trPr>
        <w:tc>
          <w:tcPr>
            <w:tcW w:w="2880" w:type="dxa"/>
            <w:vAlign w:val="bottom"/>
            <w:shd w:val="clear" w:color="auto" w:fill="E5E5E5"/>
          </w:tcPr>
          <w:p>
            <w:pPr>
              <w:ind w:left="80"/>
              <w:spacing w:after="0"/>
              <w:rPr>
                <w:sz w:val="20"/>
                <w:szCs w:val="20"/>
                <w:color w:val="auto"/>
              </w:rPr>
            </w:pPr>
            <w:r>
              <w:rPr>
                <w:rFonts w:ascii="Arial" w:cs="Arial" w:eastAsia="Arial" w:hAnsi="Arial"/>
                <w:sz w:val="16"/>
                <w:szCs w:val="16"/>
                <w:color w:val="auto"/>
              </w:rPr>
              <w:t>Retirement(1)</w:t>
            </w:r>
          </w:p>
        </w:tc>
        <w:tc>
          <w:tcPr>
            <w:tcW w:w="4280" w:type="dxa"/>
            <w:vAlign w:val="bottom"/>
            <w:shd w:val="clear" w:color="auto" w:fill="E5E5E5"/>
          </w:tcPr>
          <w:p>
            <w:pPr>
              <w:ind w:left="1220"/>
              <w:spacing w:after="0"/>
              <w:rPr>
                <w:sz w:val="20"/>
                <w:szCs w:val="20"/>
                <w:color w:val="auto"/>
              </w:rPr>
            </w:pPr>
            <w:r>
              <w:rPr>
                <w:rFonts w:ascii="Arial" w:cs="Arial" w:eastAsia="Arial" w:hAnsi="Arial"/>
                <w:sz w:val="16"/>
                <w:szCs w:val="16"/>
                <w:color w:val="auto"/>
              </w:rPr>
              <w:t>Continued vesting per grant terms</w:t>
            </w:r>
          </w:p>
        </w:tc>
        <w:tc>
          <w:tcPr>
            <w:tcW w:w="3860" w:type="dxa"/>
            <w:vAlign w:val="bottom"/>
            <w:shd w:val="clear" w:color="auto" w:fill="E5E5E5"/>
          </w:tcPr>
          <w:p>
            <w:pPr>
              <w:ind w:left="620"/>
              <w:spacing w:after="0"/>
              <w:rPr>
                <w:sz w:val="20"/>
                <w:szCs w:val="20"/>
                <w:color w:val="auto"/>
              </w:rPr>
            </w:pPr>
            <w:r>
              <w:rPr>
                <w:rFonts w:ascii="Arial" w:cs="Arial" w:eastAsia="Arial" w:hAnsi="Arial"/>
                <w:sz w:val="16"/>
                <w:szCs w:val="16"/>
                <w:color w:val="auto"/>
              </w:rPr>
              <w:t>Exercisable for remainder of option term</w:t>
            </w:r>
          </w:p>
        </w:tc>
      </w:tr>
      <w:tr>
        <w:trPr>
          <w:trHeight w:val="189"/>
        </w:trPr>
        <w:tc>
          <w:tcPr>
            <w:tcW w:w="2880" w:type="dxa"/>
            <w:vAlign w:val="bottom"/>
          </w:tcPr>
          <w:p>
            <w:pPr>
              <w:ind w:left="80"/>
              <w:spacing w:after="0"/>
              <w:rPr>
                <w:sz w:val="20"/>
                <w:szCs w:val="20"/>
                <w:color w:val="auto"/>
              </w:rPr>
            </w:pPr>
            <w:r>
              <w:rPr>
                <w:rFonts w:ascii="Arial" w:cs="Arial" w:eastAsia="Arial" w:hAnsi="Arial"/>
                <w:sz w:val="16"/>
                <w:szCs w:val="16"/>
                <w:color w:val="auto"/>
              </w:rPr>
              <w:t>Change in control(2)</w:t>
            </w:r>
          </w:p>
        </w:tc>
        <w:tc>
          <w:tcPr>
            <w:tcW w:w="4280" w:type="dxa"/>
            <w:vAlign w:val="bottom"/>
          </w:tcPr>
          <w:p>
            <w:pPr>
              <w:ind w:left="1220"/>
              <w:spacing w:after="0"/>
              <w:rPr>
                <w:sz w:val="20"/>
                <w:szCs w:val="20"/>
                <w:color w:val="auto"/>
              </w:rPr>
            </w:pPr>
            <w:r>
              <w:rPr>
                <w:rFonts w:ascii="Arial" w:cs="Arial" w:eastAsia="Arial" w:hAnsi="Arial"/>
                <w:sz w:val="16"/>
                <w:szCs w:val="16"/>
                <w:color w:val="auto"/>
              </w:rPr>
              <w:t>Continued vesting per grant terms</w:t>
            </w:r>
          </w:p>
        </w:tc>
        <w:tc>
          <w:tcPr>
            <w:tcW w:w="3860" w:type="dxa"/>
            <w:vAlign w:val="bottom"/>
          </w:tcPr>
          <w:p>
            <w:pPr>
              <w:ind w:left="620"/>
              <w:spacing w:after="0"/>
              <w:rPr>
                <w:sz w:val="20"/>
                <w:szCs w:val="20"/>
                <w:color w:val="auto"/>
              </w:rPr>
            </w:pPr>
            <w:r>
              <w:rPr>
                <w:rFonts w:ascii="Arial" w:cs="Arial" w:eastAsia="Arial" w:hAnsi="Arial"/>
                <w:sz w:val="16"/>
                <w:szCs w:val="16"/>
                <w:color w:val="auto"/>
              </w:rPr>
              <w:t>Exercisable for remainder of option term</w:t>
            </w:r>
          </w:p>
        </w:tc>
      </w:tr>
      <w:tr>
        <w:trPr>
          <w:trHeight w:val="191"/>
        </w:trPr>
        <w:tc>
          <w:tcPr>
            <w:tcW w:w="2880" w:type="dxa"/>
            <w:vAlign w:val="bottom"/>
            <w:shd w:val="clear" w:color="auto" w:fill="E5E5E5"/>
          </w:tcPr>
          <w:p>
            <w:pPr>
              <w:ind w:left="80"/>
              <w:spacing w:after="0"/>
              <w:rPr>
                <w:sz w:val="20"/>
                <w:szCs w:val="20"/>
                <w:color w:val="auto"/>
              </w:rPr>
            </w:pPr>
            <w:r>
              <w:rPr>
                <w:rFonts w:ascii="Arial" w:cs="Arial" w:eastAsia="Arial" w:hAnsi="Arial"/>
                <w:sz w:val="16"/>
                <w:szCs w:val="16"/>
                <w:color w:val="auto"/>
              </w:rPr>
              <w:t>Any other reason</w:t>
            </w:r>
          </w:p>
        </w:tc>
        <w:tc>
          <w:tcPr>
            <w:tcW w:w="4280" w:type="dxa"/>
            <w:vAlign w:val="bottom"/>
            <w:shd w:val="clear" w:color="auto" w:fill="E5E5E5"/>
          </w:tcPr>
          <w:p>
            <w:pPr>
              <w:ind w:left="1220"/>
              <w:spacing w:after="0"/>
              <w:rPr>
                <w:sz w:val="20"/>
                <w:szCs w:val="20"/>
                <w:color w:val="auto"/>
              </w:rPr>
            </w:pPr>
            <w:r>
              <w:rPr>
                <w:rFonts w:ascii="Arial" w:cs="Arial" w:eastAsia="Arial" w:hAnsi="Arial"/>
                <w:sz w:val="16"/>
                <w:szCs w:val="16"/>
                <w:color w:val="auto"/>
              </w:rPr>
              <w:t>Immediate forfeiture</w:t>
            </w:r>
          </w:p>
        </w:tc>
        <w:tc>
          <w:tcPr>
            <w:tcW w:w="3860" w:type="dxa"/>
            <w:vAlign w:val="bottom"/>
            <w:shd w:val="clear" w:color="auto" w:fill="E5E5E5"/>
          </w:tcPr>
          <w:p>
            <w:pPr>
              <w:ind w:left="620"/>
              <w:spacing w:after="0"/>
              <w:rPr>
                <w:sz w:val="20"/>
                <w:szCs w:val="20"/>
                <w:color w:val="auto"/>
              </w:rPr>
            </w:pPr>
            <w:r>
              <w:rPr>
                <w:rFonts w:ascii="Arial" w:cs="Arial" w:eastAsia="Arial" w:hAnsi="Arial"/>
                <w:sz w:val="16"/>
                <w:szCs w:val="16"/>
                <w:color w:val="auto"/>
              </w:rPr>
              <w:t>Exercisable for earlier of (i) 90 days from</w:t>
            </w:r>
          </w:p>
        </w:tc>
      </w:tr>
      <w:tr>
        <w:trPr>
          <w:trHeight w:val="189"/>
        </w:trPr>
        <w:tc>
          <w:tcPr>
            <w:tcW w:w="2880" w:type="dxa"/>
            <w:vAlign w:val="bottom"/>
            <w:shd w:val="clear" w:color="auto" w:fill="E5E5E5"/>
          </w:tcPr>
          <w:p>
            <w:pPr>
              <w:spacing w:after="0"/>
              <w:rPr>
                <w:sz w:val="16"/>
                <w:szCs w:val="16"/>
                <w:color w:val="auto"/>
              </w:rPr>
            </w:pPr>
          </w:p>
        </w:tc>
        <w:tc>
          <w:tcPr>
            <w:tcW w:w="4280" w:type="dxa"/>
            <w:vAlign w:val="bottom"/>
            <w:shd w:val="clear" w:color="auto" w:fill="E5E5E5"/>
          </w:tcPr>
          <w:p>
            <w:pPr>
              <w:spacing w:after="0"/>
              <w:rPr>
                <w:sz w:val="16"/>
                <w:szCs w:val="16"/>
                <w:color w:val="auto"/>
              </w:rPr>
            </w:pPr>
          </w:p>
        </w:tc>
        <w:tc>
          <w:tcPr>
            <w:tcW w:w="3860" w:type="dxa"/>
            <w:vAlign w:val="bottom"/>
            <w:shd w:val="clear" w:color="auto" w:fill="E5E5E5"/>
          </w:tcPr>
          <w:p>
            <w:pPr>
              <w:ind w:left="620"/>
              <w:spacing w:after="0"/>
              <w:rPr>
                <w:sz w:val="20"/>
                <w:szCs w:val="20"/>
                <w:color w:val="auto"/>
              </w:rPr>
            </w:pPr>
            <w:r>
              <w:rPr>
                <w:rFonts w:ascii="Arial" w:cs="Arial" w:eastAsia="Arial" w:hAnsi="Arial"/>
                <w:sz w:val="16"/>
                <w:szCs w:val="16"/>
                <w:color w:val="auto"/>
              </w:rPr>
              <w:t>date of termination or (ii) the remainder of</w:t>
            </w:r>
          </w:p>
        </w:tc>
      </w:tr>
      <w:tr>
        <w:trPr>
          <w:trHeight w:val="187"/>
        </w:trPr>
        <w:tc>
          <w:tcPr>
            <w:tcW w:w="2880" w:type="dxa"/>
            <w:vAlign w:val="bottom"/>
            <w:tcBorders>
              <w:bottom w:val="single" w:sz="8" w:color="003B71"/>
            </w:tcBorders>
            <w:shd w:val="clear" w:color="auto" w:fill="E5E5E5"/>
          </w:tcPr>
          <w:p>
            <w:pPr>
              <w:spacing w:after="0"/>
              <w:rPr>
                <w:sz w:val="16"/>
                <w:szCs w:val="16"/>
                <w:color w:val="auto"/>
              </w:rPr>
            </w:pPr>
          </w:p>
        </w:tc>
        <w:tc>
          <w:tcPr>
            <w:tcW w:w="4280" w:type="dxa"/>
            <w:vAlign w:val="bottom"/>
            <w:tcBorders>
              <w:bottom w:val="single" w:sz="8" w:color="003B71"/>
            </w:tcBorders>
            <w:shd w:val="clear" w:color="auto" w:fill="E5E5E5"/>
          </w:tcPr>
          <w:p>
            <w:pPr>
              <w:spacing w:after="0"/>
              <w:rPr>
                <w:sz w:val="16"/>
                <w:szCs w:val="16"/>
                <w:color w:val="auto"/>
              </w:rPr>
            </w:pPr>
          </w:p>
        </w:tc>
        <w:tc>
          <w:tcPr>
            <w:tcW w:w="3860" w:type="dxa"/>
            <w:vAlign w:val="bottom"/>
            <w:tcBorders>
              <w:bottom w:val="single" w:sz="8" w:color="003B71"/>
            </w:tcBorders>
            <w:shd w:val="clear" w:color="auto" w:fill="E5E5E5"/>
          </w:tcPr>
          <w:p>
            <w:pPr>
              <w:ind w:left="620"/>
              <w:spacing w:after="0"/>
              <w:rPr>
                <w:sz w:val="20"/>
                <w:szCs w:val="20"/>
                <w:color w:val="auto"/>
              </w:rPr>
            </w:pPr>
            <w:r>
              <w:rPr>
                <w:rFonts w:ascii="Arial" w:cs="Arial" w:eastAsia="Arial" w:hAnsi="Arial"/>
                <w:sz w:val="16"/>
                <w:szCs w:val="16"/>
                <w:color w:val="auto"/>
              </w:rPr>
              <w:t>the option term</w:t>
            </w:r>
          </w:p>
        </w:tc>
      </w:tr>
    </w:tbl>
    <w:p>
      <w:pPr>
        <w:spacing w:after="0" w:line="83"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Retirement is defined as termination other than for cause after obtaining either the age of 60 plus 10 years of service or age 65.</w:t>
      </w:r>
    </w:p>
    <w:p>
      <w:pPr>
        <w:spacing w:after="0" w:line="8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Change in control is defined as termination without cause or for good reason within period from 90 days before to one year after a change of control in the Company. If all Stock Options and the Plan are terminated as part of the change in control of the Company, the above is not applicable.</w:t>
      </w:r>
    </w:p>
    <w:p>
      <w:pPr>
        <w:spacing w:after="0" w:line="11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52</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3B71"/>
        </w:rPr>
        <w:t>RSUs and Performance Cash</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04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Reason for Termination</w:t>
            </w:r>
          </w:p>
        </w:tc>
        <w:tc>
          <w:tcPr>
            <w:tcW w:w="4720" w:type="dxa"/>
            <w:vAlign w:val="bottom"/>
            <w:tcBorders>
              <w:bottom w:val="single" w:sz="8" w:color="003B71"/>
            </w:tcBorders>
          </w:tcPr>
          <w:p>
            <w:pPr>
              <w:ind w:left="820"/>
              <w:spacing w:after="0"/>
              <w:rPr>
                <w:sz w:val="20"/>
                <w:szCs w:val="20"/>
                <w:color w:val="auto"/>
              </w:rPr>
            </w:pPr>
            <w:r>
              <w:rPr>
                <w:rFonts w:ascii="Arial" w:cs="Arial" w:eastAsia="Arial" w:hAnsi="Arial"/>
                <w:sz w:val="14"/>
                <w:szCs w:val="14"/>
                <w:b w:val="1"/>
                <w:bCs w:val="1"/>
                <w:color w:val="003B71"/>
              </w:rPr>
              <w:t>Performance Based RSUs and Performance Cash</w:t>
            </w:r>
          </w:p>
        </w:tc>
        <w:tc>
          <w:tcPr>
            <w:tcW w:w="4260" w:type="dxa"/>
            <w:vAlign w:val="bottom"/>
            <w:tcBorders>
              <w:bottom w:val="single" w:sz="8" w:color="003B71"/>
            </w:tcBorders>
          </w:tcPr>
          <w:p>
            <w:pPr>
              <w:ind w:left="1540"/>
              <w:spacing w:after="0"/>
              <w:rPr>
                <w:sz w:val="20"/>
                <w:szCs w:val="20"/>
                <w:color w:val="auto"/>
              </w:rPr>
            </w:pPr>
            <w:r>
              <w:rPr>
                <w:rFonts w:ascii="Arial" w:cs="Arial" w:eastAsia="Arial" w:hAnsi="Arial"/>
                <w:sz w:val="14"/>
                <w:szCs w:val="14"/>
                <w:b w:val="1"/>
                <w:bCs w:val="1"/>
                <w:color w:val="003B71"/>
              </w:rPr>
              <w:t>Time Based RSUs</w:t>
            </w:r>
          </w:p>
        </w:tc>
      </w:tr>
      <w:tr>
        <w:trPr>
          <w:trHeight w:val="183"/>
        </w:trPr>
        <w:tc>
          <w:tcPr>
            <w:tcW w:w="204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For cause</w:t>
            </w:r>
          </w:p>
        </w:tc>
        <w:tc>
          <w:tcPr>
            <w:tcW w:w="4720" w:type="dxa"/>
            <w:vAlign w:val="bottom"/>
            <w:shd w:val="clear" w:color="auto" w:fill="E5E5E5"/>
          </w:tcPr>
          <w:p>
            <w:pPr>
              <w:ind w:left="380"/>
              <w:spacing w:after="0" w:line="183" w:lineRule="exact"/>
              <w:rPr>
                <w:sz w:val="20"/>
                <w:szCs w:val="20"/>
                <w:color w:val="auto"/>
              </w:rPr>
            </w:pPr>
            <w:r>
              <w:rPr>
                <w:rFonts w:ascii="Arial" w:cs="Arial" w:eastAsia="Arial" w:hAnsi="Arial"/>
                <w:sz w:val="16"/>
                <w:szCs w:val="16"/>
                <w:color w:val="auto"/>
              </w:rPr>
              <w:t>Immediate forfeiture</w:t>
            </w:r>
          </w:p>
        </w:tc>
        <w:tc>
          <w:tcPr>
            <w:tcW w:w="426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Immediate forfeiture of unvested RSUs</w:t>
            </w:r>
          </w:p>
        </w:tc>
      </w:tr>
      <w:tr>
        <w:trPr>
          <w:trHeight w:val="191"/>
        </w:trPr>
        <w:tc>
          <w:tcPr>
            <w:tcW w:w="2040" w:type="dxa"/>
            <w:vAlign w:val="bottom"/>
          </w:tcPr>
          <w:p>
            <w:pPr>
              <w:ind w:left="80"/>
              <w:spacing w:after="0"/>
              <w:rPr>
                <w:sz w:val="20"/>
                <w:szCs w:val="20"/>
                <w:color w:val="auto"/>
              </w:rPr>
            </w:pPr>
            <w:r>
              <w:rPr>
                <w:rFonts w:ascii="Arial" w:cs="Arial" w:eastAsia="Arial" w:hAnsi="Arial"/>
                <w:sz w:val="16"/>
                <w:szCs w:val="16"/>
                <w:color w:val="auto"/>
              </w:rPr>
              <w:t>Death or disability</w:t>
            </w:r>
          </w:p>
        </w:tc>
        <w:tc>
          <w:tcPr>
            <w:tcW w:w="4720" w:type="dxa"/>
            <w:vAlign w:val="bottom"/>
          </w:tcPr>
          <w:p>
            <w:pPr>
              <w:ind w:left="380"/>
              <w:spacing w:after="0"/>
              <w:rPr>
                <w:sz w:val="20"/>
                <w:szCs w:val="20"/>
                <w:color w:val="auto"/>
              </w:rPr>
            </w:pPr>
            <w:r>
              <w:rPr>
                <w:rFonts w:ascii="Arial" w:cs="Arial" w:eastAsia="Arial" w:hAnsi="Arial"/>
                <w:sz w:val="16"/>
                <w:szCs w:val="16"/>
                <w:color w:val="auto"/>
              </w:rPr>
              <w:t>Settlement  based  on  actual  performance  for  full</w:t>
            </w:r>
          </w:p>
        </w:tc>
        <w:tc>
          <w:tcPr>
            <w:tcW w:w="4260" w:type="dxa"/>
            <w:vAlign w:val="bottom"/>
          </w:tcPr>
          <w:p>
            <w:pPr>
              <w:ind w:left="60"/>
              <w:spacing w:after="0"/>
              <w:rPr>
                <w:sz w:val="20"/>
                <w:szCs w:val="20"/>
                <w:color w:val="auto"/>
              </w:rPr>
            </w:pPr>
            <w:r>
              <w:rPr>
                <w:rFonts w:ascii="Arial" w:cs="Arial" w:eastAsia="Arial" w:hAnsi="Arial"/>
                <w:sz w:val="16"/>
                <w:szCs w:val="16"/>
                <w:color w:val="auto"/>
              </w:rPr>
              <w:t>Settlement prorated for term of service between grant</w:t>
            </w:r>
          </w:p>
        </w:tc>
      </w:tr>
      <w:tr>
        <w:trPr>
          <w:trHeight w:val="187"/>
        </w:trPr>
        <w:tc>
          <w:tcPr>
            <w:tcW w:w="2040" w:type="dxa"/>
            <w:vAlign w:val="bottom"/>
          </w:tcPr>
          <w:p>
            <w:pPr>
              <w:spacing w:after="0"/>
              <w:rPr>
                <w:sz w:val="16"/>
                <w:szCs w:val="16"/>
                <w:color w:val="auto"/>
              </w:rPr>
            </w:pPr>
          </w:p>
        </w:tc>
        <w:tc>
          <w:tcPr>
            <w:tcW w:w="4720" w:type="dxa"/>
            <w:vAlign w:val="bottom"/>
          </w:tcPr>
          <w:p>
            <w:pPr>
              <w:ind w:left="380"/>
              <w:spacing w:after="0"/>
              <w:rPr>
                <w:sz w:val="20"/>
                <w:szCs w:val="20"/>
                <w:color w:val="auto"/>
              </w:rPr>
            </w:pPr>
            <w:r>
              <w:rPr>
                <w:rFonts w:ascii="Arial" w:cs="Arial" w:eastAsia="Arial" w:hAnsi="Arial"/>
                <w:sz w:val="16"/>
                <w:szCs w:val="16"/>
                <w:color w:val="auto"/>
              </w:rPr>
              <w:t>performance period notwithstanding termination of service</w:t>
            </w:r>
          </w:p>
        </w:tc>
        <w:tc>
          <w:tcPr>
            <w:tcW w:w="4260" w:type="dxa"/>
            <w:vAlign w:val="bottom"/>
          </w:tcPr>
          <w:p>
            <w:pPr>
              <w:ind w:left="60"/>
              <w:spacing w:after="0"/>
              <w:rPr>
                <w:sz w:val="20"/>
                <w:szCs w:val="20"/>
                <w:color w:val="auto"/>
              </w:rPr>
            </w:pPr>
            <w:r>
              <w:rPr>
                <w:rFonts w:ascii="Arial" w:cs="Arial" w:eastAsia="Arial" w:hAnsi="Arial"/>
                <w:sz w:val="16"/>
                <w:szCs w:val="16"/>
                <w:color w:val="auto"/>
              </w:rPr>
              <w:t>date and death or disability(3)</w:t>
            </w:r>
          </w:p>
        </w:tc>
      </w:tr>
      <w:tr>
        <w:trPr>
          <w:trHeight w:val="191"/>
        </w:trPr>
        <w:tc>
          <w:tcPr>
            <w:tcW w:w="2040" w:type="dxa"/>
            <w:vAlign w:val="bottom"/>
            <w:shd w:val="clear" w:color="auto" w:fill="E5E5E5"/>
          </w:tcPr>
          <w:p>
            <w:pPr>
              <w:ind w:left="80"/>
              <w:spacing w:after="0"/>
              <w:rPr>
                <w:sz w:val="20"/>
                <w:szCs w:val="20"/>
                <w:color w:val="auto"/>
              </w:rPr>
            </w:pPr>
            <w:r>
              <w:rPr>
                <w:rFonts w:ascii="Arial" w:cs="Arial" w:eastAsia="Arial" w:hAnsi="Arial"/>
                <w:sz w:val="16"/>
                <w:szCs w:val="16"/>
                <w:color w:val="auto"/>
              </w:rPr>
              <w:t>Retirement(1)</w:t>
            </w:r>
          </w:p>
        </w:tc>
        <w:tc>
          <w:tcPr>
            <w:tcW w:w="4720" w:type="dxa"/>
            <w:vAlign w:val="bottom"/>
            <w:shd w:val="clear" w:color="auto" w:fill="E5E5E5"/>
          </w:tcPr>
          <w:p>
            <w:pPr>
              <w:ind w:left="380"/>
              <w:spacing w:after="0"/>
              <w:rPr>
                <w:sz w:val="20"/>
                <w:szCs w:val="20"/>
                <w:color w:val="auto"/>
              </w:rPr>
            </w:pPr>
            <w:r>
              <w:rPr>
                <w:rFonts w:ascii="Arial" w:cs="Arial" w:eastAsia="Arial" w:hAnsi="Arial"/>
                <w:sz w:val="16"/>
                <w:szCs w:val="16"/>
                <w:color w:val="auto"/>
              </w:rPr>
              <w:t>Settlement  based  on  actual  performance  for  full</w:t>
            </w:r>
          </w:p>
        </w:tc>
        <w:tc>
          <w:tcPr>
            <w:tcW w:w="4260" w:type="dxa"/>
            <w:vAlign w:val="bottom"/>
            <w:shd w:val="clear" w:color="auto" w:fill="E5E5E5"/>
          </w:tcPr>
          <w:p>
            <w:pPr>
              <w:ind w:left="60"/>
              <w:spacing w:after="0"/>
              <w:rPr>
                <w:sz w:val="20"/>
                <w:szCs w:val="20"/>
                <w:color w:val="auto"/>
              </w:rPr>
            </w:pPr>
            <w:r>
              <w:rPr>
                <w:rFonts w:ascii="Arial" w:cs="Arial" w:eastAsia="Arial" w:hAnsi="Arial"/>
                <w:sz w:val="16"/>
                <w:szCs w:val="16"/>
                <w:color w:val="auto"/>
              </w:rPr>
              <w:t>Immediate forfeiture of unvested RSUs</w:t>
            </w:r>
          </w:p>
        </w:tc>
      </w:tr>
      <w:tr>
        <w:trPr>
          <w:trHeight w:val="189"/>
        </w:trPr>
        <w:tc>
          <w:tcPr>
            <w:tcW w:w="2040" w:type="dxa"/>
            <w:vAlign w:val="bottom"/>
            <w:shd w:val="clear" w:color="auto" w:fill="E5E5E5"/>
          </w:tcPr>
          <w:p>
            <w:pPr>
              <w:spacing w:after="0"/>
              <w:rPr>
                <w:sz w:val="16"/>
                <w:szCs w:val="16"/>
                <w:color w:val="auto"/>
              </w:rPr>
            </w:pPr>
          </w:p>
        </w:tc>
        <w:tc>
          <w:tcPr>
            <w:tcW w:w="4720" w:type="dxa"/>
            <w:vAlign w:val="bottom"/>
            <w:shd w:val="clear" w:color="auto" w:fill="E5E5E5"/>
          </w:tcPr>
          <w:p>
            <w:pPr>
              <w:ind w:left="380"/>
              <w:spacing w:after="0"/>
              <w:rPr>
                <w:sz w:val="20"/>
                <w:szCs w:val="20"/>
                <w:color w:val="auto"/>
              </w:rPr>
            </w:pPr>
            <w:r>
              <w:rPr>
                <w:rFonts w:ascii="Arial" w:cs="Arial" w:eastAsia="Arial" w:hAnsi="Arial"/>
                <w:sz w:val="16"/>
                <w:szCs w:val="16"/>
                <w:color w:val="auto"/>
              </w:rPr>
              <w:t>performance period notwithstanding termination of service,</w:t>
            </w:r>
          </w:p>
        </w:tc>
        <w:tc>
          <w:tcPr>
            <w:tcW w:w="4260" w:type="dxa"/>
            <w:vAlign w:val="bottom"/>
            <w:shd w:val="clear" w:color="auto" w:fill="E5E5E5"/>
          </w:tcPr>
          <w:p>
            <w:pPr>
              <w:spacing w:after="0"/>
              <w:rPr>
                <w:sz w:val="16"/>
                <w:szCs w:val="16"/>
                <w:color w:val="auto"/>
              </w:rPr>
            </w:pPr>
          </w:p>
        </w:tc>
      </w:tr>
      <w:tr>
        <w:trPr>
          <w:trHeight w:val="187"/>
        </w:trPr>
        <w:tc>
          <w:tcPr>
            <w:tcW w:w="2040" w:type="dxa"/>
            <w:vAlign w:val="bottom"/>
            <w:shd w:val="clear" w:color="auto" w:fill="E5E5E5"/>
          </w:tcPr>
          <w:p>
            <w:pPr>
              <w:spacing w:after="0"/>
              <w:rPr>
                <w:sz w:val="16"/>
                <w:szCs w:val="16"/>
                <w:color w:val="auto"/>
              </w:rPr>
            </w:pPr>
          </w:p>
        </w:tc>
        <w:tc>
          <w:tcPr>
            <w:tcW w:w="4720" w:type="dxa"/>
            <w:vAlign w:val="bottom"/>
            <w:shd w:val="clear" w:color="auto" w:fill="E5E5E5"/>
          </w:tcPr>
          <w:p>
            <w:pPr>
              <w:ind w:left="380"/>
              <w:spacing w:after="0"/>
              <w:rPr>
                <w:sz w:val="20"/>
                <w:szCs w:val="20"/>
                <w:color w:val="auto"/>
              </w:rPr>
            </w:pPr>
            <w:r>
              <w:rPr>
                <w:rFonts w:ascii="Arial" w:cs="Arial" w:eastAsia="Arial" w:hAnsi="Arial"/>
                <w:sz w:val="16"/>
                <w:szCs w:val="16"/>
                <w:color w:val="auto"/>
              </w:rPr>
              <w:t>prorated for term of service during performance period</w:t>
            </w:r>
          </w:p>
        </w:tc>
        <w:tc>
          <w:tcPr>
            <w:tcW w:w="4260" w:type="dxa"/>
            <w:vAlign w:val="bottom"/>
            <w:shd w:val="clear" w:color="auto" w:fill="E5E5E5"/>
          </w:tcPr>
          <w:p>
            <w:pPr>
              <w:spacing w:after="0"/>
              <w:rPr>
                <w:sz w:val="16"/>
                <w:szCs w:val="16"/>
                <w:color w:val="auto"/>
              </w:rPr>
            </w:pPr>
          </w:p>
        </w:tc>
      </w:tr>
      <w:tr>
        <w:trPr>
          <w:trHeight w:val="191"/>
        </w:trPr>
        <w:tc>
          <w:tcPr>
            <w:tcW w:w="2040" w:type="dxa"/>
            <w:vAlign w:val="bottom"/>
          </w:tcPr>
          <w:p>
            <w:pPr>
              <w:ind w:left="80"/>
              <w:spacing w:after="0"/>
              <w:rPr>
                <w:sz w:val="20"/>
                <w:szCs w:val="20"/>
                <w:color w:val="auto"/>
              </w:rPr>
            </w:pPr>
            <w:r>
              <w:rPr>
                <w:rFonts w:ascii="Arial" w:cs="Arial" w:eastAsia="Arial" w:hAnsi="Arial"/>
                <w:sz w:val="16"/>
                <w:szCs w:val="16"/>
                <w:color w:val="auto"/>
              </w:rPr>
              <w:t>Change in control(2)</w:t>
            </w:r>
          </w:p>
        </w:tc>
        <w:tc>
          <w:tcPr>
            <w:tcW w:w="4720" w:type="dxa"/>
            <w:vAlign w:val="bottom"/>
          </w:tcPr>
          <w:p>
            <w:pPr>
              <w:ind w:left="380"/>
              <w:spacing w:after="0"/>
              <w:rPr>
                <w:sz w:val="20"/>
                <w:szCs w:val="20"/>
                <w:color w:val="auto"/>
              </w:rPr>
            </w:pPr>
            <w:r>
              <w:rPr>
                <w:rFonts w:ascii="Arial" w:cs="Arial" w:eastAsia="Arial" w:hAnsi="Arial"/>
                <w:sz w:val="16"/>
                <w:szCs w:val="16"/>
                <w:color w:val="auto"/>
              </w:rPr>
              <w:t>Settlement  based  on  actual  performance  for  full</w:t>
            </w:r>
          </w:p>
        </w:tc>
        <w:tc>
          <w:tcPr>
            <w:tcW w:w="4260" w:type="dxa"/>
            <w:vAlign w:val="bottom"/>
          </w:tcPr>
          <w:p>
            <w:pPr>
              <w:ind w:left="60"/>
              <w:spacing w:after="0"/>
              <w:rPr>
                <w:sz w:val="20"/>
                <w:szCs w:val="20"/>
                <w:color w:val="auto"/>
              </w:rPr>
            </w:pPr>
            <w:r>
              <w:rPr>
                <w:rFonts w:ascii="Arial" w:cs="Arial" w:eastAsia="Arial" w:hAnsi="Arial"/>
                <w:sz w:val="16"/>
                <w:szCs w:val="16"/>
                <w:color w:val="auto"/>
              </w:rPr>
              <w:t>Settlement prorated for term of service between grant</w:t>
            </w:r>
          </w:p>
        </w:tc>
      </w:tr>
      <w:tr>
        <w:trPr>
          <w:trHeight w:val="189"/>
        </w:trPr>
        <w:tc>
          <w:tcPr>
            <w:tcW w:w="2040" w:type="dxa"/>
            <w:vAlign w:val="bottom"/>
          </w:tcPr>
          <w:p>
            <w:pPr>
              <w:spacing w:after="0"/>
              <w:rPr>
                <w:sz w:val="16"/>
                <w:szCs w:val="16"/>
                <w:color w:val="auto"/>
              </w:rPr>
            </w:pPr>
          </w:p>
        </w:tc>
        <w:tc>
          <w:tcPr>
            <w:tcW w:w="4720" w:type="dxa"/>
            <w:vAlign w:val="bottom"/>
          </w:tcPr>
          <w:p>
            <w:pPr>
              <w:ind w:left="380"/>
              <w:spacing w:after="0"/>
              <w:rPr>
                <w:sz w:val="20"/>
                <w:szCs w:val="20"/>
                <w:color w:val="auto"/>
              </w:rPr>
            </w:pPr>
            <w:r>
              <w:rPr>
                <w:rFonts w:ascii="Arial" w:cs="Arial" w:eastAsia="Arial" w:hAnsi="Arial"/>
                <w:sz w:val="16"/>
                <w:szCs w:val="16"/>
                <w:color w:val="auto"/>
              </w:rPr>
              <w:t>performance period notwithstanding termination of service,</w:t>
            </w:r>
          </w:p>
        </w:tc>
        <w:tc>
          <w:tcPr>
            <w:tcW w:w="4260" w:type="dxa"/>
            <w:vAlign w:val="bottom"/>
          </w:tcPr>
          <w:p>
            <w:pPr>
              <w:ind w:left="60"/>
              <w:spacing w:after="0"/>
              <w:rPr>
                <w:sz w:val="20"/>
                <w:szCs w:val="20"/>
                <w:color w:val="auto"/>
              </w:rPr>
            </w:pPr>
            <w:r>
              <w:rPr>
                <w:rFonts w:ascii="Arial" w:cs="Arial" w:eastAsia="Arial" w:hAnsi="Arial"/>
                <w:sz w:val="16"/>
                <w:szCs w:val="16"/>
                <w:color w:val="auto"/>
              </w:rPr>
              <w:t>date and termination of service(3)</w:t>
            </w:r>
          </w:p>
        </w:tc>
      </w:tr>
      <w:tr>
        <w:trPr>
          <w:trHeight w:val="187"/>
        </w:trPr>
        <w:tc>
          <w:tcPr>
            <w:tcW w:w="2040" w:type="dxa"/>
            <w:vAlign w:val="bottom"/>
          </w:tcPr>
          <w:p>
            <w:pPr>
              <w:spacing w:after="0"/>
              <w:rPr>
                <w:sz w:val="16"/>
                <w:szCs w:val="16"/>
                <w:color w:val="auto"/>
              </w:rPr>
            </w:pPr>
          </w:p>
        </w:tc>
        <w:tc>
          <w:tcPr>
            <w:tcW w:w="4720" w:type="dxa"/>
            <w:vAlign w:val="bottom"/>
          </w:tcPr>
          <w:p>
            <w:pPr>
              <w:ind w:left="380"/>
              <w:spacing w:after="0"/>
              <w:rPr>
                <w:sz w:val="20"/>
                <w:szCs w:val="20"/>
                <w:color w:val="auto"/>
              </w:rPr>
            </w:pPr>
            <w:r>
              <w:rPr>
                <w:rFonts w:ascii="Arial" w:cs="Arial" w:eastAsia="Arial" w:hAnsi="Arial"/>
                <w:sz w:val="16"/>
                <w:szCs w:val="16"/>
                <w:color w:val="auto"/>
              </w:rPr>
              <w:t>prorated for term of service during performance period</w:t>
            </w:r>
          </w:p>
        </w:tc>
        <w:tc>
          <w:tcPr>
            <w:tcW w:w="4260" w:type="dxa"/>
            <w:vAlign w:val="bottom"/>
          </w:tcPr>
          <w:p>
            <w:pPr>
              <w:spacing w:after="0"/>
              <w:rPr>
                <w:sz w:val="16"/>
                <w:szCs w:val="16"/>
                <w:color w:val="auto"/>
              </w:rPr>
            </w:pPr>
          </w:p>
        </w:tc>
      </w:tr>
      <w:tr>
        <w:trPr>
          <w:trHeight w:val="189"/>
        </w:trPr>
        <w:tc>
          <w:tcPr>
            <w:tcW w:w="2040" w:type="dxa"/>
            <w:vAlign w:val="bottom"/>
            <w:tcBorders>
              <w:bottom w:val="single" w:sz="8" w:color="003B71"/>
            </w:tcBorders>
            <w:shd w:val="clear" w:color="auto" w:fill="E5E5E5"/>
          </w:tcPr>
          <w:p>
            <w:pPr>
              <w:ind w:left="80"/>
              <w:spacing w:after="0"/>
              <w:rPr>
                <w:sz w:val="20"/>
                <w:szCs w:val="20"/>
                <w:color w:val="auto"/>
              </w:rPr>
            </w:pPr>
            <w:r>
              <w:rPr>
                <w:rFonts w:ascii="Arial" w:cs="Arial" w:eastAsia="Arial" w:hAnsi="Arial"/>
                <w:sz w:val="16"/>
                <w:szCs w:val="16"/>
                <w:color w:val="auto"/>
              </w:rPr>
              <w:t>Any other reason</w:t>
            </w:r>
          </w:p>
        </w:tc>
        <w:tc>
          <w:tcPr>
            <w:tcW w:w="4720" w:type="dxa"/>
            <w:vAlign w:val="bottom"/>
            <w:tcBorders>
              <w:bottom w:val="single" w:sz="8" w:color="003B71"/>
            </w:tcBorders>
            <w:shd w:val="clear" w:color="auto" w:fill="E5E5E5"/>
          </w:tcPr>
          <w:p>
            <w:pPr>
              <w:ind w:left="380"/>
              <w:spacing w:after="0"/>
              <w:rPr>
                <w:sz w:val="20"/>
                <w:szCs w:val="20"/>
                <w:color w:val="auto"/>
              </w:rPr>
            </w:pPr>
            <w:r>
              <w:rPr>
                <w:rFonts w:ascii="Arial" w:cs="Arial" w:eastAsia="Arial" w:hAnsi="Arial"/>
                <w:sz w:val="16"/>
                <w:szCs w:val="16"/>
                <w:color w:val="auto"/>
              </w:rPr>
              <w:t>Immediate forfeiture</w:t>
            </w:r>
          </w:p>
        </w:tc>
        <w:tc>
          <w:tcPr>
            <w:tcW w:w="4260" w:type="dxa"/>
            <w:vAlign w:val="bottom"/>
            <w:tcBorders>
              <w:bottom w:val="single" w:sz="8" w:color="003B71"/>
            </w:tcBorders>
            <w:shd w:val="clear" w:color="auto" w:fill="E5E5E5"/>
          </w:tcPr>
          <w:p>
            <w:pPr>
              <w:ind w:left="60"/>
              <w:spacing w:after="0"/>
              <w:rPr>
                <w:sz w:val="20"/>
                <w:szCs w:val="20"/>
                <w:color w:val="auto"/>
              </w:rPr>
            </w:pPr>
            <w:r>
              <w:rPr>
                <w:rFonts w:ascii="Arial" w:cs="Arial" w:eastAsia="Arial" w:hAnsi="Arial"/>
                <w:sz w:val="16"/>
                <w:szCs w:val="16"/>
                <w:color w:val="auto"/>
              </w:rPr>
              <w:t>Immediate forfeiture of unvested RSUs(3)</w:t>
            </w:r>
          </w:p>
        </w:tc>
      </w:tr>
    </w:tbl>
    <w:p>
      <w:pPr>
        <w:spacing w:after="0" w:line="83"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Retirement is defined as termination other than for cause after obtaining either the age of 60 plus 10 years of service or age 65.</w:t>
      </w:r>
    </w:p>
    <w:p>
      <w:pPr>
        <w:spacing w:after="0" w:line="8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Change in control is defined as termination without cause or for good reason within period from 90 days before to one year after a change of control in the Company.</w:t>
      </w:r>
    </w:p>
    <w:p>
      <w:pPr>
        <w:spacing w:after="0" w:line="60" w:lineRule="exact"/>
        <w:rPr>
          <w:rFonts w:ascii="Arial" w:cs="Arial" w:eastAsia="Arial" w:hAnsi="Arial"/>
          <w:sz w:val="16"/>
          <w:szCs w:val="16"/>
          <w:color w:val="auto"/>
        </w:rPr>
      </w:pPr>
    </w:p>
    <w:p>
      <w:pPr>
        <w:jc w:val="both"/>
        <w:ind w:left="540" w:right="20" w:hanging="424"/>
        <w:spacing w:after="0" w:line="251" w:lineRule="auto"/>
        <w:tabs>
          <w:tab w:leader="none" w:pos="5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Mr. Jenkins received a grant of time-based shares fiscal 2018. Under the terms of his award agreement, he is entitled to full settlement in the event of death or disability (notwithstanding termination of service), full settlement in the event of a change in control termination of service (notwithstanding termination of service), and a prorated settlement based on term of service between grant date and termination date of service in the event of a termination of service without cause or for good reason (notwithstanding termination of service).</w:t>
      </w:r>
    </w:p>
    <w:p>
      <w:pPr>
        <w:spacing w:after="0" w:line="200"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If there is a change of control of the Company, then, unless prohibited by law, the Compensation Committee is authorized (but not obligated) to make adjustments to the terms and conditions of outstanding awards, including, without limitation, continuation or assumption of outstanding awards; substitution of new awards with substantially the same terms as outstanding awards; accelerated exercisability, vesting and/or lapse of restrictions for outstanding awards immediately prior to the occurrence of such event; upon written notice, provision that any outstanding awards must be exercised, to the extent then exercisable, during a specified period determined by the Compensation Committee (contingent upon the consummation of the change of control), following which unexercised awards shall terminate; and cancellation of all or any portion of outstanding awards for fair market value (which may be the intrinsic value of the award and may be zero); and cancellation of all or any portion of outstanding awards for fair value (as determined in the sole discretion of the Compensation Committee and which may be zero).</w:t>
      </w:r>
    </w:p>
    <w:p>
      <w:pPr>
        <w:spacing w:after="0" w:line="207"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Under the 2014 Stock Incentive Plan, a change of control generally is triggered by the occurrence of any of the following: (i) an acquisition of 30% or more of the outstanding shares or the voting power of the outstanding securities generally entitled to vote in the election of directors; (ii) with certain exceptions, individuals on the Board of Directors on the date of effectiveness of the plan cease to constitute a majority of the Board of Directors; (iii) consummation of a reorganization, merger, amalgamation, statutory share exchange, consolidation or like event to which the Company is a party or a sale or disposition of all or substantially all of the Company’s assets, unless the Company’s shareholders continue to own more than 50% of the outstanding voting securities, no person beneficially owns 30% or more of the outstanding securities of the Company and at least a majority of the members of the Board of Directors after such event were members of the Board of Directors prior to the event; or (iv) a complete liquidation or dissolution of the Company.</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Payments pursuant to Employment Agreements</w:t>
      </w:r>
    </w:p>
    <w:p>
      <w:pPr>
        <w:spacing w:after="0" w:line="108" w:lineRule="exact"/>
        <w:rPr>
          <w:sz w:val="20"/>
          <w:szCs w:val="20"/>
          <w:color w:val="auto"/>
        </w:rPr>
      </w:pPr>
    </w:p>
    <w:p>
      <w:pPr>
        <w:jc w:val="both"/>
        <w:ind w:left="120"/>
        <w:spacing w:after="0" w:line="245"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 All contributions made by an executive officer to a deferred compensation account, and all vested portions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to such deferred compensation account, shall be disbursed to the executive officer upon termination of employment for any reason. Currently, only Messrs. Jenkins, Bowman, DeProspero, and Gleason and Ms. Manning have made contributions to a deferred compensation account.</w:t>
      </w:r>
    </w:p>
    <w:p>
      <w:pPr>
        <w:spacing w:after="0" w:line="123"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53</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i w:val="1"/>
          <w:iCs w:val="1"/>
          <w:color w:val="auto"/>
        </w:rPr>
        <w:t>Resignation</w:t>
      </w:r>
      <w:r>
        <w:rPr>
          <w:rFonts w:ascii="Arial" w:cs="Arial" w:eastAsia="Arial" w:hAnsi="Arial"/>
          <w:sz w:val="18"/>
          <w:szCs w:val="18"/>
          <w:color w:val="auto"/>
        </w:rPr>
        <w:t>. If an executive officer resigns from employment with us, including for the purpose of retirement, such officer is not eligible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further payments of salary, bonus, or benefits and such officer shall only be entitled to receive that compensation which has been earned by the officer through the date of termination. Notwithstanding the foregoing, the Company may, at its sole option, elect to provide payments and other severance benefits described below under “Involuntary Termination Not for Cause” and the officer shall execute a release of the Company.</w:t>
      </w:r>
    </w:p>
    <w:p>
      <w:pPr>
        <w:spacing w:after="0" w:line="185" w:lineRule="exact"/>
        <w:rPr>
          <w:sz w:val="20"/>
          <w:szCs w:val="20"/>
          <w:color w:val="auto"/>
        </w:rPr>
      </w:pPr>
    </w:p>
    <w:p>
      <w:pPr>
        <w:jc w:val="both"/>
        <w:ind w:left="120"/>
        <w:spacing w:after="0"/>
        <w:rPr>
          <w:sz w:val="20"/>
          <w:szCs w:val="20"/>
          <w:color w:val="auto"/>
        </w:rPr>
      </w:pPr>
      <w:r>
        <w:rPr>
          <w:rFonts w:ascii="Arial" w:cs="Arial" w:eastAsia="Arial" w:hAnsi="Arial"/>
          <w:sz w:val="18"/>
          <w:szCs w:val="18"/>
          <w:i w:val="1"/>
          <w:iCs w:val="1"/>
          <w:color w:val="auto"/>
        </w:rPr>
        <w:t>Involuntary Termination Not for Cause</w:t>
      </w:r>
      <w:r>
        <w:rPr>
          <w:rFonts w:ascii="Arial" w:cs="Arial" w:eastAsia="Arial" w:hAnsi="Arial"/>
          <w:sz w:val="18"/>
          <w:szCs w:val="18"/>
          <w:color w:val="auto"/>
        </w:rPr>
        <w:t>. In the event of involuntary termination of employment other than for Cause (as defined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agreements), an executive officer would be entitled to 12 months of severance pay at such officer’s then-current base salary (24 months of severance pay for Mr. Jenkins at his then current base salary plus his target bonus), the pro rata portion of the annual bonus, if any, earned by the officer for the then-current fiscal year (this amount is not applicable to Mr. Jenkins), 12 months continuation of such officer’s perquisite allowance, and monthly payments for a period of 12 months equal to the monthly premium required by such officers to maintain health insurance benefits provided by our group health insurance plan, in accordance with the requirements of the Consolidated Omnibus Budget Reconciliation Act of 1985.</w:t>
      </w:r>
    </w:p>
    <w:p>
      <w:pPr>
        <w:spacing w:after="0" w:line="185"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of termination for Cause, the officer is not eligible for any further payments of salary, bonus, or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and shall be only entitled to receive that compensation which has been earned by the officer through the date of termination.</w:t>
      </w:r>
    </w:p>
    <w:p>
      <w:pPr>
        <w:spacing w:after="0" w:line="160" w:lineRule="exact"/>
        <w:rPr>
          <w:sz w:val="20"/>
          <w:szCs w:val="20"/>
          <w:color w:val="auto"/>
        </w:rPr>
      </w:pPr>
    </w:p>
    <w:p>
      <w:pPr>
        <w:jc w:val="both"/>
        <w:ind w:left="120" w:right="20"/>
        <w:spacing w:after="0" w:line="245" w:lineRule="auto"/>
        <w:rPr>
          <w:sz w:val="20"/>
          <w:szCs w:val="20"/>
          <w:color w:val="auto"/>
        </w:rPr>
      </w:pPr>
      <w:r>
        <w:rPr>
          <w:rFonts w:ascii="Arial" w:cs="Arial" w:eastAsia="Arial" w:hAnsi="Arial"/>
          <w:sz w:val="18"/>
          <w:szCs w:val="18"/>
          <w:i w:val="1"/>
          <w:iCs w:val="1"/>
          <w:color w:val="auto"/>
        </w:rPr>
        <w:t>Termination for Good Reason</w:t>
      </w:r>
      <w:r>
        <w:rPr>
          <w:rFonts w:ascii="Arial" w:cs="Arial" w:eastAsia="Arial" w:hAnsi="Arial"/>
          <w:sz w:val="18"/>
          <w:szCs w:val="18"/>
          <w:color w:val="auto"/>
        </w:rPr>
        <w:t>. In the event the officer chooses to terminate his or her employment for reasons such as material breach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employment agreement by us, relocation of the office where the officer performs his or her duties, assignment to the officer of any duties, authority, or responsibilities that are materially inconsistent with such officer’s position, authority, duties or responsibilities or other similar actions, such officer shall be entitled to the same benefits described above under </w:t>
      </w:r>
      <w:r>
        <w:rPr>
          <w:rFonts w:ascii="Arial" w:cs="Arial" w:eastAsia="Arial" w:hAnsi="Arial"/>
          <w:sz w:val="18"/>
          <w:szCs w:val="18"/>
          <w:i w:val="1"/>
          <w:iCs w:val="1"/>
          <w:color w:val="auto"/>
        </w:rPr>
        <w:t>“Involuntary Termination Not for Cause.”</w:t>
      </w:r>
    </w:p>
    <w:p>
      <w:pPr>
        <w:spacing w:after="0" w:line="181" w:lineRule="exact"/>
        <w:rPr>
          <w:sz w:val="20"/>
          <w:szCs w:val="20"/>
          <w:color w:val="auto"/>
        </w:rPr>
      </w:pPr>
    </w:p>
    <w:p>
      <w:pPr>
        <w:jc w:val="both"/>
        <w:ind w:left="120"/>
        <w:spacing w:after="0" w:line="250" w:lineRule="auto"/>
        <w:rPr>
          <w:sz w:val="20"/>
          <w:szCs w:val="20"/>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The benefits to which an officer (or such officer’s estate or representative) would be entitled in the event of death 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are as described above under “Involuntary Termination Not for Cause.” However, the amount of salary paid to any such disabled officer shall be reduced by any income replacement benefits received from the disability insurance we provide.</w:t>
      </w:r>
    </w:p>
    <w:p>
      <w:pPr>
        <w:spacing w:after="0" w:line="119"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54</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Information concerning the potential payments upon a termination of employment or change of control is set forth in tabular form below for each NEO. Information is provided as if the termination, death, disability or change of control (as defined in the 2014 Stock Incentive Plan) and certain other liquidity events had occurred as of February 2, 2020 (the last day of fiscal 2019).</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910" w:type="dxa"/>
            <w:vAlign w:val="bottom"/>
          </w:tcPr>
          <w:p>
            <w:pPr>
              <w:spacing w:after="0"/>
              <w:rPr>
                <w:sz w:val="14"/>
                <w:szCs w:val="14"/>
                <w:color w:val="auto"/>
              </w:rPr>
            </w:pPr>
          </w:p>
        </w:tc>
        <w:tc>
          <w:tcPr>
            <w:tcW w:w="215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3B71"/>
              </w:rPr>
              <w:t>Termination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03B71"/>
                <w:w w:val="99"/>
              </w:rPr>
              <w:t>Termination</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3B71"/>
                <w:w w:val="99"/>
              </w:rPr>
              <w:t>Termination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3B71"/>
              </w:rPr>
              <w:t>Death/</w:t>
            </w:r>
          </w:p>
        </w:tc>
        <w:tc>
          <w:tcPr>
            <w:tcW w:w="960" w:type="dxa"/>
            <w:vAlign w:val="bottom"/>
          </w:tcPr>
          <w:p>
            <w:pPr>
              <w:jc w:val="center"/>
              <w:ind w:right="22"/>
              <w:spacing w:after="0"/>
              <w:rPr>
                <w:sz w:val="20"/>
                <w:szCs w:val="20"/>
                <w:color w:val="auto"/>
              </w:rPr>
            </w:pPr>
            <w:r>
              <w:rPr>
                <w:rFonts w:ascii="Arial" w:cs="Arial" w:eastAsia="Arial" w:hAnsi="Arial"/>
                <w:sz w:val="14"/>
                <w:szCs w:val="14"/>
                <w:b w:val="1"/>
                <w:bCs w:val="1"/>
                <w:color w:val="003B71"/>
              </w:rPr>
              <w:t>Change in</w:t>
            </w:r>
          </w:p>
        </w:tc>
      </w:tr>
      <w:tr>
        <w:trPr>
          <w:trHeight w:val="162"/>
        </w:trPr>
        <w:tc>
          <w:tcPr>
            <w:tcW w:w="2910" w:type="dxa"/>
            <w:vAlign w:val="bottom"/>
          </w:tcPr>
          <w:p>
            <w:pPr>
              <w:spacing w:after="0"/>
              <w:rPr>
                <w:sz w:val="14"/>
                <w:szCs w:val="14"/>
                <w:color w:val="auto"/>
              </w:rPr>
            </w:pPr>
          </w:p>
        </w:tc>
        <w:tc>
          <w:tcPr>
            <w:tcW w:w="215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003B71"/>
              </w:rPr>
              <w:t>Resignation</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3B71"/>
              </w:rPr>
              <w:t>W/Out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03B71"/>
              </w:rPr>
              <w:t>With</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3B71"/>
              </w:rPr>
              <w:t>for Good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3B71"/>
              </w:rPr>
              <w:t>Disability</w:t>
            </w:r>
          </w:p>
        </w:tc>
        <w:tc>
          <w:tcPr>
            <w:tcW w:w="960" w:type="dxa"/>
            <w:vAlign w:val="bottom"/>
          </w:tcPr>
          <w:p>
            <w:pPr>
              <w:jc w:val="center"/>
              <w:ind w:right="22"/>
              <w:spacing w:after="0"/>
              <w:rPr>
                <w:sz w:val="20"/>
                <w:szCs w:val="20"/>
                <w:color w:val="auto"/>
              </w:rPr>
            </w:pPr>
            <w:r>
              <w:rPr>
                <w:rFonts w:ascii="Arial" w:cs="Arial" w:eastAsia="Arial" w:hAnsi="Arial"/>
                <w:sz w:val="14"/>
                <w:szCs w:val="14"/>
                <w:b w:val="1"/>
                <w:bCs w:val="1"/>
                <w:color w:val="003B71"/>
              </w:rPr>
              <w:t>Control</w:t>
            </w:r>
          </w:p>
        </w:tc>
      </w:tr>
      <w:tr>
        <w:trPr>
          <w:trHeight w:val="175"/>
        </w:trPr>
        <w:tc>
          <w:tcPr>
            <w:tcW w:w="291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Name</w:t>
            </w:r>
          </w:p>
        </w:tc>
        <w:tc>
          <w:tcPr>
            <w:tcW w:w="2150" w:type="dxa"/>
            <w:vAlign w:val="bottom"/>
            <w:tcBorders>
              <w:bottom w:val="single" w:sz="8" w:color="003B71"/>
            </w:tcBorders>
          </w:tcPr>
          <w:p>
            <w:pPr>
              <w:ind w:left="850"/>
              <w:spacing w:after="0"/>
              <w:rPr>
                <w:sz w:val="20"/>
                <w:szCs w:val="20"/>
                <w:color w:val="auto"/>
              </w:rPr>
            </w:pPr>
            <w:r>
              <w:rPr>
                <w:rFonts w:ascii="Arial" w:cs="Arial" w:eastAsia="Arial" w:hAnsi="Arial"/>
                <w:sz w:val="14"/>
                <w:szCs w:val="14"/>
                <w:b w:val="1"/>
                <w:bCs w:val="1"/>
                <w:color w:val="003B71"/>
              </w:rPr>
              <w:t>Benefit</w:t>
            </w:r>
          </w:p>
        </w:tc>
        <w:tc>
          <w:tcPr>
            <w:tcW w:w="1040" w:type="dxa"/>
            <w:vAlign w:val="bottom"/>
            <w:tcBorders>
              <w:bottom w:val="single" w:sz="8" w:color="003B71"/>
            </w:tcBorders>
          </w:tcPr>
          <w:p>
            <w:pPr>
              <w:jc w:val="right"/>
              <w:ind w:right="341"/>
              <w:spacing w:after="0"/>
              <w:rPr>
                <w:sz w:val="20"/>
                <w:szCs w:val="20"/>
                <w:color w:val="auto"/>
              </w:rPr>
            </w:pPr>
            <w:r>
              <w:rPr>
                <w:rFonts w:ascii="Arial" w:cs="Arial" w:eastAsia="Arial" w:hAnsi="Arial"/>
                <w:sz w:val="14"/>
                <w:szCs w:val="14"/>
                <w:b w:val="1"/>
                <w:bCs w:val="1"/>
                <w:color w:val="003B71"/>
              </w:rPr>
              <w:t>($)</w:t>
            </w:r>
          </w:p>
        </w:tc>
        <w:tc>
          <w:tcPr>
            <w:tcW w:w="98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Cause($)</w:t>
            </w:r>
          </w:p>
        </w:tc>
        <w:tc>
          <w:tcPr>
            <w:tcW w:w="100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Cause($)</w:t>
            </w:r>
          </w:p>
        </w:tc>
        <w:tc>
          <w:tcPr>
            <w:tcW w:w="104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Reason($)</w:t>
            </w:r>
          </w:p>
        </w:tc>
        <w:tc>
          <w:tcPr>
            <w:tcW w:w="94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w:t>
            </w:r>
          </w:p>
        </w:tc>
        <w:tc>
          <w:tcPr>
            <w:tcW w:w="960" w:type="dxa"/>
            <w:vAlign w:val="bottom"/>
            <w:tcBorders>
              <w:bottom w:val="single" w:sz="8" w:color="003B71"/>
            </w:tcBorders>
          </w:tcPr>
          <w:p>
            <w:pPr>
              <w:jc w:val="center"/>
              <w:ind w:right="22"/>
              <w:spacing w:after="0"/>
              <w:rPr>
                <w:sz w:val="20"/>
                <w:szCs w:val="20"/>
                <w:color w:val="auto"/>
              </w:rPr>
            </w:pPr>
            <w:r>
              <w:rPr>
                <w:rFonts w:ascii="Arial" w:cs="Arial" w:eastAsia="Arial" w:hAnsi="Arial"/>
                <w:sz w:val="14"/>
                <w:szCs w:val="14"/>
                <w:b w:val="1"/>
                <w:bCs w:val="1"/>
                <w:color w:val="003B71"/>
              </w:rPr>
              <w:t>($)</w:t>
            </w:r>
          </w:p>
        </w:tc>
      </w:tr>
      <w:tr>
        <w:trPr>
          <w:trHeight w:val="183"/>
        </w:trPr>
        <w:tc>
          <w:tcPr>
            <w:tcW w:w="291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Brian A. Jenkins</w:t>
            </w:r>
          </w:p>
        </w:tc>
        <w:tc>
          <w:tcPr>
            <w:tcW w:w="2150" w:type="dxa"/>
            <w:vAlign w:val="bottom"/>
            <w:shd w:val="clear" w:color="auto" w:fill="E5E5E5"/>
          </w:tcPr>
          <w:p>
            <w:pPr>
              <w:ind w:left="50"/>
              <w:spacing w:after="0" w:line="183" w:lineRule="exact"/>
              <w:rPr>
                <w:sz w:val="20"/>
                <w:szCs w:val="20"/>
                <w:color w:val="auto"/>
              </w:rPr>
            </w:pPr>
            <w:r>
              <w:rPr>
                <w:rFonts w:ascii="Arial" w:cs="Arial" w:eastAsia="Arial" w:hAnsi="Arial"/>
                <w:sz w:val="16"/>
                <w:szCs w:val="16"/>
                <w:color w:val="auto"/>
              </w:rPr>
              <w:t>Salary</w:t>
            </w:r>
          </w:p>
        </w:tc>
        <w:tc>
          <w:tcPr>
            <w:tcW w:w="1040" w:type="dxa"/>
            <w:vAlign w:val="bottom"/>
            <w:shd w:val="clear" w:color="auto" w:fill="E5E5E5"/>
          </w:tcPr>
          <w:p>
            <w:pPr>
              <w:spacing w:after="0"/>
              <w:rPr>
                <w:sz w:val="15"/>
                <w:szCs w:val="15"/>
                <w:color w:val="auto"/>
              </w:rPr>
            </w:pPr>
          </w:p>
        </w:tc>
        <w:tc>
          <w:tcPr>
            <w:tcW w:w="98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1,560,000</w:t>
            </w:r>
          </w:p>
        </w:tc>
        <w:tc>
          <w:tcPr>
            <w:tcW w:w="1000" w:type="dxa"/>
            <w:vAlign w:val="bottom"/>
            <w:shd w:val="clear" w:color="auto" w:fill="E5E5E5"/>
          </w:tcPr>
          <w:p>
            <w:pPr>
              <w:spacing w:after="0"/>
              <w:rPr>
                <w:sz w:val="15"/>
                <w:szCs w:val="15"/>
                <w:color w:val="auto"/>
              </w:rPr>
            </w:pPr>
          </w:p>
        </w:tc>
        <w:tc>
          <w:tcPr>
            <w:tcW w:w="1040" w:type="dxa"/>
            <w:vAlign w:val="bottom"/>
            <w:shd w:val="clear" w:color="auto" w:fill="E5E5E5"/>
          </w:tcPr>
          <w:p>
            <w:pPr>
              <w:jc w:val="right"/>
              <w:ind w:right="40"/>
              <w:spacing w:after="0" w:line="183" w:lineRule="exact"/>
              <w:rPr>
                <w:sz w:val="20"/>
                <w:szCs w:val="20"/>
                <w:color w:val="auto"/>
              </w:rPr>
            </w:pPr>
            <w:r>
              <w:rPr>
                <w:rFonts w:ascii="Arial" w:cs="Arial" w:eastAsia="Arial" w:hAnsi="Arial"/>
                <w:sz w:val="16"/>
                <w:szCs w:val="16"/>
                <w:color w:val="auto"/>
              </w:rPr>
              <w:t>1,560,000</w:t>
            </w:r>
          </w:p>
        </w:tc>
        <w:tc>
          <w:tcPr>
            <w:tcW w:w="9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1,560,000</w:t>
            </w:r>
          </w:p>
        </w:tc>
        <w:tc>
          <w:tcPr>
            <w:tcW w:w="960" w:type="dxa"/>
            <w:vAlign w:val="bottom"/>
            <w:shd w:val="clear" w:color="auto" w:fill="E5E5E5"/>
          </w:tcPr>
          <w:p>
            <w:pPr>
              <w:spacing w:after="0"/>
              <w:rPr>
                <w:sz w:val="15"/>
                <w:szCs w:val="15"/>
                <w:color w:val="auto"/>
              </w:rPr>
            </w:pPr>
          </w:p>
        </w:tc>
      </w:tr>
      <w:tr>
        <w:trPr>
          <w:trHeight w:val="189"/>
        </w:trPr>
        <w:tc>
          <w:tcPr>
            <w:tcW w:w="2910" w:type="dxa"/>
            <w:vAlign w:val="bottom"/>
            <w:shd w:val="clear" w:color="auto" w:fill="E5E5E5"/>
          </w:tcPr>
          <w:p>
            <w:pPr>
              <w:spacing w:after="0"/>
              <w:rPr>
                <w:sz w:val="16"/>
                <w:szCs w:val="16"/>
                <w:color w:val="auto"/>
              </w:rPr>
            </w:pPr>
          </w:p>
        </w:tc>
        <w:tc>
          <w:tcPr>
            <w:tcW w:w="2150" w:type="dxa"/>
            <w:vAlign w:val="bottom"/>
            <w:shd w:val="clear" w:color="auto" w:fill="E5E5E5"/>
          </w:tcPr>
          <w:p>
            <w:pPr>
              <w:ind w:left="50"/>
              <w:spacing w:after="0"/>
              <w:rPr>
                <w:sz w:val="20"/>
                <w:szCs w:val="20"/>
                <w:color w:val="auto"/>
              </w:rPr>
            </w:pPr>
            <w:r>
              <w:rPr>
                <w:rFonts w:ascii="Arial" w:cs="Arial" w:eastAsia="Arial" w:hAnsi="Arial"/>
                <w:sz w:val="16"/>
                <w:szCs w:val="16"/>
                <w:color w:val="auto"/>
              </w:rPr>
              <w:t>Bonus(1)</w:t>
            </w:r>
          </w:p>
        </w:tc>
        <w:tc>
          <w:tcPr>
            <w:tcW w:w="104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780,000</w:t>
            </w: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780,000</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780,000</w:t>
            </w:r>
          </w:p>
        </w:tc>
        <w:tc>
          <w:tcPr>
            <w:tcW w:w="960" w:type="dxa"/>
            <w:vAlign w:val="bottom"/>
            <w:shd w:val="clear" w:color="auto" w:fill="E5E5E5"/>
          </w:tcPr>
          <w:p>
            <w:pPr>
              <w:spacing w:after="0"/>
              <w:rPr>
                <w:sz w:val="16"/>
                <w:szCs w:val="16"/>
                <w:color w:val="auto"/>
              </w:rPr>
            </w:pPr>
          </w:p>
        </w:tc>
      </w:tr>
      <w:tr>
        <w:trPr>
          <w:trHeight w:val="189"/>
        </w:trPr>
        <w:tc>
          <w:tcPr>
            <w:tcW w:w="2910" w:type="dxa"/>
            <w:vAlign w:val="bottom"/>
            <w:shd w:val="clear" w:color="auto" w:fill="E5E5E5"/>
          </w:tcPr>
          <w:p>
            <w:pPr>
              <w:spacing w:after="0"/>
              <w:rPr>
                <w:sz w:val="16"/>
                <w:szCs w:val="16"/>
                <w:color w:val="auto"/>
              </w:rPr>
            </w:pPr>
          </w:p>
        </w:tc>
        <w:tc>
          <w:tcPr>
            <w:tcW w:w="2150" w:type="dxa"/>
            <w:vAlign w:val="bottom"/>
            <w:shd w:val="clear" w:color="auto" w:fill="E5E5E5"/>
          </w:tcPr>
          <w:p>
            <w:pPr>
              <w:ind w:left="50"/>
              <w:spacing w:after="0"/>
              <w:rPr>
                <w:sz w:val="20"/>
                <w:szCs w:val="20"/>
                <w:color w:val="auto"/>
              </w:rPr>
            </w:pPr>
            <w:r>
              <w:rPr>
                <w:rFonts w:ascii="Arial" w:cs="Arial" w:eastAsia="Arial" w:hAnsi="Arial"/>
                <w:sz w:val="16"/>
                <w:szCs w:val="16"/>
                <w:color w:val="auto"/>
              </w:rPr>
              <w:t>Perquisite Allowance</w:t>
            </w:r>
          </w:p>
        </w:tc>
        <w:tc>
          <w:tcPr>
            <w:tcW w:w="104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30,000</w:t>
            </w: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30,000</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30,000</w:t>
            </w:r>
          </w:p>
        </w:tc>
        <w:tc>
          <w:tcPr>
            <w:tcW w:w="960" w:type="dxa"/>
            <w:vAlign w:val="bottom"/>
            <w:shd w:val="clear" w:color="auto" w:fill="E5E5E5"/>
          </w:tcPr>
          <w:p>
            <w:pPr>
              <w:spacing w:after="0"/>
              <w:rPr>
                <w:sz w:val="16"/>
                <w:szCs w:val="16"/>
                <w:color w:val="auto"/>
              </w:rPr>
            </w:pPr>
          </w:p>
        </w:tc>
      </w:tr>
      <w:tr>
        <w:trPr>
          <w:trHeight w:val="189"/>
        </w:trPr>
        <w:tc>
          <w:tcPr>
            <w:tcW w:w="2910" w:type="dxa"/>
            <w:vAlign w:val="bottom"/>
            <w:shd w:val="clear" w:color="auto" w:fill="E5E5E5"/>
          </w:tcPr>
          <w:p>
            <w:pPr>
              <w:spacing w:after="0"/>
              <w:rPr>
                <w:sz w:val="16"/>
                <w:szCs w:val="16"/>
                <w:color w:val="auto"/>
              </w:rPr>
            </w:pPr>
          </w:p>
        </w:tc>
        <w:tc>
          <w:tcPr>
            <w:tcW w:w="2150" w:type="dxa"/>
            <w:vAlign w:val="bottom"/>
            <w:shd w:val="clear" w:color="auto" w:fill="E5E5E5"/>
          </w:tcPr>
          <w:p>
            <w:pPr>
              <w:ind w:left="50"/>
              <w:spacing w:after="0"/>
              <w:rPr>
                <w:sz w:val="20"/>
                <w:szCs w:val="20"/>
                <w:color w:val="auto"/>
              </w:rPr>
            </w:pPr>
            <w:r>
              <w:rPr>
                <w:rFonts w:ascii="Arial" w:cs="Arial" w:eastAsia="Arial" w:hAnsi="Arial"/>
                <w:sz w:val="16"/>
                <w:szCs w:val="16"/>
                <w:color w:val="auto"/>
              </w:rPr>
              <w:t>H &amp; W Benefits</w:t>
            </w:r>
          </w:p>
        </w:tc>
        <w:tc>
          <w:tcPr>
            <w:tcW w:w="104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22,791</w:t>
            </w: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22,791</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22,791</w:t>
            </w:r>
          </w:p>
        </w:tc>
        <w:tc>
          <w:tcPr>
            <w:tcW w:w="960" w:type="dxa"/>
            <w:vAlign w:val="bottom"/>
            <w:shd w:val="clear" w:color="auto" w:fill="E5E5E5"/>
          </w:tcPr>
          <w:p>
            <w:pPr>
              <w:spacing w:after="0"/>
              <w:rPr>
                <w:sz w:val="16"/>
                <w:szCs w:val="16"/>
                <w:color w:val="auto"/>
              </w:rPr>
            </w:pPr>
          </w:p>
        </w:tc>
      </w:tr>
      <w:tr>
        <w:trPr>
          <w:trHeight w:val="189"/>
        </w:trPr>
        <w:tc>
          <w:tcPr>
            <w:tcW w:w="2910" w:type="dxa"/>
            <w:vAlign w:val="bottom"/>
            <w:shd w:val="clear" w:color="auto" w:fill="E5E5E5"/>
          </w:tcPr>
          <w:p>
            <w:pPr>
              <w:spacing w:after="0"/>
              <w:rPr>
                <w:sz w:val="16"/>
                <w:szCs w:val="16"/>
                <w:color w:val="auto"/>
              </w:rPr>
            </w:pPr>
          </w:p>
        </w:tc>
        <w:tc>
          <w:tcPr>
            <w:tcW w:w="2150" w:type="dxa"/>
            <w:vAlign w:val="bottom"/>
            <w:shd w:val="clear" w:color="auto" w:fill="E5E5E5"/>
          </w:tcPr>
          <w:p>
            <w:pPr>
              <w:ind w:left="50"/>
              <w:spacing w:after="0"/>
              <w:rPr>
                <w:sz w:val="20"/>
                <w:szCs w:val="20"/>
                <w:color w:val="auto"/>
              </w:rPr>
            </w:pPr>
            <w:r>
              <w:rPr>
                <w:rFonts w:ascii="Arial" w:cs="Arial" w:eastAsia="Arial" w:hAnsi="Arial"/>
                <w:sz w:val="16"/>
                <w:szCs w:val="16"/>
                <w:color w:val="auto"/>
              </w:rPr>
              <w:t>Deferred Compensation</w:t>
            </w:r>
          </w:p>
        </w:tc>
        <w:tc>
          <w:tcPr>
            <w:tcW w:w="104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596,062</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596,062</w:t>
            </w:r>
          </w:p>
        </w:tc>
        <w:tc>
          <w:tcPr>
            <w:tcW w:w="1000" w:type="dxa"/>
            <w:vAlign w:val="bottom"/>
            <w:shd w:val="clear" w:color="auto" w:fill="E5E5E5"/>
          </w:tcPr>
          <w:p>
            <w:pPr>
              <w:jc w:val="right"/>
              <w:ind w:right="2"/>
              <w:spacing w:after="0"/>
              <w:rPr>
                <w:sz w:val="20"/>
                <w:szCs w:val="20"/>
                <w:color w:val="auto"/>
              </w:rPr>
            </w:pPr>
            <w:r>
              <w:rPr>
                <w:rFonts w:ascii="Arial" w:cs="Arial" w:eastAsia="Arial" w:hAnsi="Arial"/>
                <w:sz w:val="16"/>
                <w:szCs w:val="16"/>
                <w:color w:val="auto"/>
              </w:rPr>
              <w:t>596,062</w:t>
            </w:r>
          </w:p>
        </w:tc>
        <w:tc>
          <w:tcPr>
            <w:tcW w:w="10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596,062</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596,062</w:t>
            </w:r>
          </w:p>
        </w:tc>
        <w:tc>
          <w:tcPr>
            <w:tcW w:w="960" w:type="dxa"/>
            <w:vAlign w:val="bottom"/>
            <w:shd w:val="clear" w:color="auto" w:fill="E5E5E5"/>
          </w:tcPr>
          <w:p>
            <w:pPr>
              <w:jc w:val="right"/>
              <w:ind w:right="42"/>
              <w:spacing w:after="0"/>
              <w:rPr>
                <w:sz w:val="20"/>
                <w:szCs w:val="20"/>
                <w:color w:val="auto"/>
              </w:rPr>
            </w:pPr>
            <w:r>
              <w:rPr>
                <w:rFonts w:ascii="Arial" w:cs="Arial" w:eastAsia="Arial" w:hAnsi="Arial"/>
                <w:sz w:val="16"/>
                <w:szCs w:val="16"/>
                <w:color w:val="auto"/>
              </w:rPr>
              <w:t>596,062</w:t>
            </w:r>
          </w:p>
        </w:tc>
      </w:tr>
      <w:tr>
        <w:trPr>
          <w:trHeight w:val="191"/>
        </w:trPr>
        <w:tc>
          <w:tcPr>
            <w:tcW w:w="2910" w:type="dxa"/>
            <w:vAlign w:val="bottom"/>
          </w:tcPr>
          <w:p>
            <w:pPr>
              <w:ind w:left="60"/>
              <w:spacing w:after="0"/>
              <w:rPr>
                <w:sz w:val="20"/>
                <w:szCs w:val="20"/>
                <w:color w:val="auto"/>
              </w:rPr>
            </w:pPr>
            <w:r>
              <w:rPr>
                <w:rFonts w:ascii="Arial" w:cs="Arial" w:eastAsia="Arial" w:hAnsi="Arial"/>
                <w:sz w:val="16"/>
                <w:szCs w:val="16"/>
                <w:color w:val="auto"/>
              </w:rPr>
              <w:t>Scott Bowman</w:t>
            </w:r>
          </w:p>
        </w:tc>
        <w:tc>
          <w:tcPr>
            <w:tcW w:w="2150" w:type="dxa"/>
            <w:vAlign w:val="bottom"/>
          </w:tcPr>
          <w:p>
            <w:pPr>
              <w:ind w:left="50"/>
              <w:spacing w:after="0"/>
              <w:rPr>
                <w:sz w:val="20"/>
                <w:szCs w:val="20"/>
                <w:color w:val="auto"/>
              </w:rPr>
            </w:pPr>
            <w:r>
              <w:rPr>
                <w:rFonts w:ascii="Arial" w:cs="Arial" w:eastAsia="Arial" w:hAnsi="Arial"/>
                <w:sz w:val="16"/>
                <w:szCs w:val="16"/>
                <w:color w:val="auto"/>
              </w:rPr>
              <w:t>Salary</w:t>
            </w:r>
          </w:p>
        </w:tc>
        <w:tc>
          <w:tcPr>
            <w:tcW w:w="10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455,000</w:t>
            </w:r>
          </w:p>
        </w:tc>
        <w:tc>
          <w:tcPr>
            <w:tcW w:w="1000" w:type="dxa"/>
            <w:vAlign w:val="bottom"/>
          </w:tcPr>
          <w:p>
            <w:pPr>
              <w:spacing w:after="0"/>
              <w:rPr>
                <w:sz w:val="16"/>
                <w:szCs w:val="16"/>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455,000</w:t>
            </w:r>
          </w:p>
        </w:tc>
        <w:tc>
          <w:tcPr>
            <w:tcW w:w="940" w:type="dxa"/>
            <w:vAlign w:val="bottom"/>
          </w:tcPr>
          <w:p>
            <w:pPr>
              <w:jc w:val="right"/>
              <w:spacing w:after="0"/>
              <w:rPr>
                <w:sz w:val="20"/>
                <w:szCs w:val="20"/>
                <w:color w:val="auto"/>
              </w:rPr>
            </w:pPr>
            <w:r>
              <w:rPr>
                <w:rFonts w:ascii="Arial" w:cs="Arial" w:eastAsia="Arial" w:hAnsi="Arial"/>
                <w:sz w:val="16"/>
                <w:szCs w:val="16"/>
                <w:color w:val="auto"/>
              </w:rPr>
              <w:t>455,000</w:t>
            </w:r>
          </w:p>
        </w:tc>
        <w:tc>
          <w:tcPr>
            <w:tcW w:w="960" w:type="dxa"/>
            <w:vAlign w:val="bottom"/>
          </w:tcPr>
          <w:p>
            <w:pPr>
              <w:spacing w:after="0"/>
              <w:rPr>
                <w:sz w:val="16"/>
                <w:szCs w:val="16"/>
                <w:color w:val="auto"/>
              </w:rPr>
            </w:pPr>
          </w:p>
        </w:tc>
      </w:tr>
      <w:tr>
        <w:trPr>
          <w:trHeight w:val="189"/>
        </w:trPr>
        <w:tc>
          <w:tcPr>
            <w:tcW w:w="2910" w:type="dxa"/>
            <w:vAlign w:val="bottom"/>
          </w:tcPr>
          <w:p>
            <w:pPr>
              <w:spacing w:after="0"/>
              <w:rPr>
                <w:sz w:val="16"/>
                <w:szCs w:val="16"/>
                <w:color w:val="auto"/>
              </w:rPr>
            </w:pPr>
          </w:p>
        </w:tc>
        <w:tc>
          <w:tcPr>
            <w:tcW w:w="2150" w:type="dxa"/>
            <w:vAlign w:val="bottom"/>
          </w:tcPr>
          <w:p>
            <w:pPr>
              <w:ind w:left="50"/>
              <w:spacing w:after="0"/>
              <w:rPr>
                <w:sz w:val="20"/>
                <w:szCs w:val="20"/>
                <w:color w:val="auto"/>
              </w:rPr>
            </w:pPr>
            <w:r>
              <w:rPr>
                <w:rFonts w:ascii="Arial" w:cs="Arial" w:eastAsia="Arial" w:hAnsi="Arial"/>
                <w:sz w:val="16"/>
                <w:szCs w:val="16"/>
                <w:color w:val="auto"/>
              </w:rPr>
              <w:t>Bonus(1)</w:t>
            </w:r>
          </w:p>
        </w:tc>
        <w:tc>
          <w:tcPr>
            <w:tcW w:w="10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273,000</w:t>
            </w:r>
          </w:p>
        </w:tc>
        <w:tc>
          <w:tcPr>
            <w:tcW w:w="1000" w:type="dxa"/>
            <w:vAlign w:val="bottom"/>
          </w:tcPr>
          <w:p>
            <w:pPr>
              <w:spacing w:after="0"/>
              <w:rPr>
                <w:sz w:val="16"/>
                <w:szCs w:val="16"/>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273,000</w:t>
            </w:r>
          </w:p>
        </w:tc>
        <w:tc>
          <w:tcPr>
            <w:tcW w:w="940" w:type="dxa"/>
            <w:vAlign w:val="bottom"/>
          </w:tcPr>
          <w:p>
            <w:pPr>
              <w:jc w:val="right"/>
              <w:spacing w:after="0"/>
              <w:rPr>
                <w:sz w:val="20"/>
                <w:szCs w:val="20"/>
                <w:color w:val="auto"/>
              </w:rPr>
            </w:pPr>
            <w:r>
              <w:rPr>
                <w:rFonts w:ascii="Arial" w:cs="Arial" w:eastAsia="Arial" w:hAnsi="Arial"/>
                <w:sz w:val="16"/>
                <w:szCs w:val="16"/>
                <w:color w:val="auto"/>
              </w:rPr>
              <w:t>273,000</w:t>
            </w:r>
          </w:p>
        </w:tc>
        <w:tc>
          <w:tcPr>
            <w:tcW w:w="960" w:type="dxa"/>
            <w:vAlign w:val="bottom"/>
          </w:tcPr>
          <w:p>
            <w:pPr>
              <w:spacing w:after="0"/>
              <w:rPr>
                <w:sz w:val="16"/>
                <w:szCs w:val="16"/>
                <w:color w:val="auto"/>
              </w:rPr>
            </w:pPr>
          </w:p>
        </w:tc>
      </w:tr>
      <w:tr>
        <w:trPr>
          <w:trHeight w:val="189"/>
        </w:trPr>
        <w:tc>
          <w:tcPr>
            <w:tcW w:w="2910" w:type="dxa"/>
            <w:vAlign w:val="bottom"/>
          </w:tcPr>
          <w:p>
            <w:pPr>
              <w:spacing w:after="0"/>
              <w:rPr>
                <w:sz w:val="16"/>
                <w:szCs w:val="16"/>
                <w:color w:val="auto"/>
              </w:rPr>
            </w:pPr>
          </w:p>
        </w:tc>
        <w:tc>
          <w:tcPr>
            <w:tcW w:w="2150" w:type="dxa"/>
            <w:vAlign w:val="bottom"/>
          </w:tcPr>
          <w:p>
            <w:pPr>
              <w:ind w:left="50"/>
              <w:spacing w:after="0"/>
              <w:rPr>
                <w:sz w:val="20"/>
                <w:szCs w:val="20"/>
                <w:color w:val="auto"/>
              </w:rPr>
            </w:pPr>
            <w:r>
              <w:rPr>
                <w:rFonts w:ascii="Arial" w:cs="Arial" w:eastAsia="Arial" w:hAnsi="Arial"/>
                <w:sz w:val="16"/>
                <w:szCs w:val="16"/>
                <w:color w:val="auto"/>
              </w:rPr>
              <w:t>Perquisite Allowance</w:t>
            </w:r>
          </w:p>
        </w:tc>
        <w:tc>
          <w:tcPr>
            <w:tcW w:w="10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25,000</w:t>
            </w:r>
          </w:p>
        </w:tc>
        <w:tc>
          <w:tcPr>
            <w:tcW w:w="1000" w:type="dxa"/>
            <w:vAlign w:val="bottom"/>
          </w:tcPr>
          <w:p>
            <w:pPr>
              <w:spacing w:after="0"/>
              <w:rPr>
                <w:sz w:val="16"/>
                <w:szCs w:val="16"/>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25,000</w:t>
            </w:r>
          </w:p>
        </w:tc>
        <w:tc>
          <w:tcPr>
            <w:tcW w:w="940" w:type="dxa"/>
            <w:vAlign w:val="bottom"/>
          </w:tcPr>
          <w:p>
            <w:pPr>
              <w:jc w:val="right"/>
              <w:spacing w:after="0"/>
              <w:rPr>
                <w:sz w:val="20"/>
                <w:szCs w:val="20"/>
                <w:color w:val="auto"/>
              </w:rPr>
            </w:pPr>
            <w:r>
              <w:rPr>
                <w:rFonts w:ascii="Arial" w:cs="Arial" w:eastAsia="Arial" w:hAnsi="Arial"/>
                <w:sz w:val="16"/>
                <w:szCs w:val="16"/>
                <w:color w:val="auto"/>
              </w:rPr>
              <w:t>25,000</w:t>
            </w:r>
          </w:p>
        </w:tc>
        <w:tc>
          <w:tcPr>
            <w:tcW w:w="960" w:type="dxa"/>
            <w:vAlign w:val="bottom"/>
          </w:tcPr>
          <w:p>
            <w:pPr>
              <w:spacing w:after="0"/>
              <w:rPr>
                <w:sz w:val="16"/>
                <w:szCs w:val="16"/>
                <w:color w:val="auto"/>
              </w:rPr>
            </w:pPr>
          </w:p>
        </w:tc>
      </w:tr>
      <w:tr>
        <w:trPr>
          <w:trHeight w:val="189"/>
        </w:trPr>
        <w:tc>
          <w:tcPr>
            <w:tcW w:w="2910" w:type="dxa"/>
            <w:vAlign w:val="bottom"/>
          </w:tcPr>
          <w:p>
            <w:pPr>
              <w:spacing w:after="0"/>
              <w:rPr>
                <w:sz w:val="16"/>
                <w:szCs w:val="16"/>
                <w:color w:val="auto"/>
              </w:rPr>
            </w:pPr>
          </w:p>
        </w:tc>
        <w:tc>
          <w:tcPr>
            <w:tcW w:w="2150" w:type="dxa"/>
            <w:vAlign w:val="bottom"/>
          </w:tcPr>
          <w:p>
            <w:pPr>
              <w:ind w:left="50"/>
              <w:spacing w:after="0"/>
              <w:rPr>
                <w:sz w:val="20"/>
                <w:szCs w:val="20"/>
                <w:color w:val="auto"/>
              </w:rPr>
            </w:pPr>
            <w:r>
              <w:rPr>
                <w:rFonts w:ascii="Arial" w:cs="Arial" w:eastAsia="Arial" w:hAnsi="Arial"/>
                <w:sz w:val="16"/>
                <w:szCs w:val="16"/>
                <w:color w:val="auto"/>
              </w:rPr>
              <w:t>H &amp; W Benefits</w:t>
            </w:r>
          </w:p>
        </w:tc>
        <w:tc>
          <w:tcPr>
            <w:tcW w:w="10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15,670</w:t>
            </w:r>
          </w:p>
        </w:tc>
        <w:tc>
          <w:tcPr>
            <w:tcW w:w="1000" w:type="dxa"/>
            <w:vAlign w:val="bottom"/>
          </w:tcPr>
          <w:p>
            <w:pPr>
              <w:spacing w:after="0"/>
              <w:rPr>
                <w:sz w:val="16"/>
                <w:szCs w:val="16"/>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15,670</w:t>
            </w:r>
          </w:p>
        </w:tc>
        <w:tc>
          <w:tcPr>
            <w:tcW w:w="940" w:type="dxa"/>
            <w:vAlign w:val="bottom"/>
          </w:tcPr>
          <w:p>
            <w:pPr>
              <w:jc w:val="right"/>
              <w:spacing w:after="0"/>
              <w:rPr>
                <w:sz w:val="20"/>
                <w:szCs w:val="20"/>
                <w:color w:val="auto"/>
              </w:rPr>
            </w:pPr>
            <w:r>
              <w:rPr>
                <w:rFonts w:ascii="Arial" w:cs="Arial" w:eastAsia="Arial" w:hAnsi="Arial"/>
                <w:sz w:val="16"/>
                <w:szCs w:val="16"/>
                <w:color w:val="auto"/>
              </w:rPr>
              <w:t>15,670</w:t>
            </w:r>
          </w:p>
        </w:tc>
        <w:tc>
          <w:tcPr>
            <w:tcW w:w="960" w:type="dxa"/>
            <w:vAlign w:val="bottom"/>
          </w:tcPr>
          <w:p>
            <w:pPr>
              <w:spacing w:after="0"/>
              <w:rPr>
                <w:sz w:val="16"/>
                <w:szCs w:val="16"/>
                <w:color w:val="auto"/>
              </w:rPr>
            </w:pPr>
          </w:p>
        </w:tc>
      </w:tr>
      <w:tr>
        <w:trPr>
          <w:trHeight w:val="187"/>
        </w:trPr>
        <w:tc>
          <w:tcPr>
            <w:tcW w:w="2910" w:type="dxa"/>
            <w:vAlign w:val="bottom"/>
          </w:tcPr>
          <w:p>
            <w:pPr>
              <w:spacing w:after="0"/>
              <w:rPr>
                <w:sz w:val="16"/>
                <w:szCs w:val="16"/>
                <w:color w:val="auto"/>
              </w:rPr>
            </w:pPr>
          </w:p>
        </w:tc>
        <w:tc>
          <w:tcPr>
            <w:tcW w:w="2150" w:type="dxa"/>
            <w:vAlign w:val="bottom"/>
          </w:tcPr>
          <w:p>
            <w:pPr>
              <w:ind w:left="50"/>
              <w:spacing w:after="0"/>
              <w:rPr>
                <w:sz w:val="20"/>
                <w:szCs w:val="20"/>
                <w:color w:val="auto"/>
              </w:rPr>
            </w:pPr>
            <w:r>
              <w:rPr>
                <w:rFonts w:ascii="Arial" w:cs="Arial" w:eastAsia="Arial" w:hAnsi="Arial"/>
                <w:sz w:val="16"/>
                <w:szCs w:val="16"/>
                <w:color w:val="auto"/>
              </w:rPr>
              <w:t>Deferred Compensation</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2,562</w:t>
            </w:r>
          </w:p>
        </w:tc>
        <w:tc>
          <w:tcPr>
            <w:tcW w:w="980" w:type="dxa"/>
            <w:vAlign w:val="bottom"/>
          </w:tcPr>
          <w:p>
            <w:pPr>
              <w:jc w:val="right"/>
              <w:spacing w:after="0"/>
              <w:rPr>
                <w:sz w:val="20"/>
                <w:szCs w:val="20"/>
                <w:color w:val="auto"/>
              </w:rPr>
            </w:pPr>
            <w:r>
              <w:rPr>
                <w:rFonts w:ascii="Arial" w:cs="Arial" w:eastAsia="Arial" w:hAnsi="Arial"/>
                <w:sz w:val="16"/>
                <w:szCs w:val="16"/>
                <w:color w:val="auto"/>
              </w:rPr>
              <w:t>2,562</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2,562</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2,562</w:t>
            </w:r>
          </w:p>
        </w:tc>
        <w:tc>
          <w:tcPr>
            <w:tcW w:w="940" w:type="dxa"/>
            <w:vAlign w:val="bottom"/>
          </w:tcPr>
          <w:p>
            <w:pPr>
              <w:jc w:val="right"/>
              <w:spacing w:after="0"/>
              <w:rPr>
                <w:sz w:val="20"/>
                <w:szCs w:val="20"/>
                <w:color w:val="auto"/>
              </w:rPr>
            </w:pPr>
            <w:r>
              <w:rPr>
                <w:rFonts w:ascii="Arial" w:cs="Arial" w:eastAsia="Arial" w:hAnsi="Arial"/>
                <w:sz w:val="16"/>
                <w:szCs w:val="16"/>
                <w:color w:val="auto"/>
              </w:rPr>
              <w:t>2,562</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2,562</w:t>
            </w:r>
          </w:p>
        </w:tc>
      </w:tr>
      <w:tr>
        <w:trPr>
          <w:trHeight w:val="189"/>
        </w:trPr>
        <w:tc>
          <w:tcPr>
            <w:tcW w:w="2910" w:type="dxa"/>
            <w:vAlign w:val="bottom"/>
            <w:shd w:val="clear" w:color="auto" w:fill="E5E5E5"/>
          </w:tcPr>
          <w:p>
            <w:pPr>
              <w:ind w:left="60"/>
              <w:spacing w:after="0"/>
              <w:rPr>
                <w:sz w:val="20"/>
                <w:szCs w:val="20"/>
                <w:color w:val="auto"/>
              </w:rPr>
            </w:pPr>
            <w:r>
              <w:rPr>
                <w:rFonts w:ascii="Arial" w:cs="Arial" w:eastAsia="Arial" w:hAnsi="Arial"/>
                <w:sz w:val="16"/>
                <w:szCs w:val="16"/>
                <w:color w:val="auto"/>
              </w:rPr>
              <w:t>Joe DeProspero</w:t>
            </w:r>
          </w:p>
        </w:tc>
        <w:tc>
          <w:tcPr>
            <w:tcW w:w="2150" w:type="dxa"/>
            <w:vAlign w:val="bottom"/>
            <w:shd w:val="clear" w:color="auto" w:fill="E5E5E5"/>
          </w:tcPr>
          <w:p>
            <w:pPr>
              <w:ind w:left="50"/>
              <w:spacing w:after="0"/>
              <w:rPr>
                <w:sz w:val="20"/>
                <w:szCs w:val="20"/>
                <w:color w:val="auto"/>
              </w:rPr>
            </w:pPr>
            <w:r>
              <w:rPr>
                <w:rFonts w:ascii="Arial" w:cs="Arial" w:eastAsia="Arial" w:hAnsi="Arial"/>
                <w:sz w:val="16"/>
                <w:szCs w:val="16"/>
                <w:color w:val="auto"/>
              </w:rPr>
              <w:t>Salary</w:t>
            </w:r>
          </w:p>
        </w:tc>
        <w:tc>
          <w:tcPr>
            <w:tcW w:w="104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250,000</w:t>
            </w: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25,000</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25,000</w:t>
            </w:r>
          </w:p>
        </w:tc>
        <w:tc>
          <w:tcPr>
            <w:tcW w:w="960" w:type="dxa"/>
            <w:vAlign w:val="bottom"/>
            <w:shd w:val="clear" w:color="auto" w:fill="E5E5E5"/>
          </w:tcPr>
          <w:p>
            <w:pPr>
              <w:spacing w:after="0"/>
              <w:rPr>
                <w:sz w:val="16"/>
                <w:szCs w:val="16"/>
                <w:color w:val="auto"/>
              </w:rPr>
            </w:pPr>
          </w:p>
        </w:tc>
      </w:tr>
      <w:tr>
        <w:trPr>
          <w:trHeight w:val="189"/>
        </w:trPr>
        <w:tc>
          <w:tcPr>
            <w:tcW w:w="2910" w:type="dxa"/>
            <w:vAlign w:val="bottom"/>
            <w:shd w:val="clear" w:color="auto" w:fill="E5E5E5"/>
          </w:tcPr>
          <w:p>
            <w:pPr>
              <w:spacing w:after="0"/>
              <w:rPr>
                <w:sz w:val="16"/>
                <w:szCs w:val="16"/>
                <w:color w:val="auto"/>
              </w:rPr>
            </w:pPr>
          </w:p>
        </w:tc>
        <w:tc>
          <w:tcPr>
            <w:tcW w:w="2150" w:type="dxa"/>
            <w:vAlign w:val="bottom"/>
            <w:shd w:val="clear" w:color="auto" w:fill="E5E5E5"/>
          </w:tcPr>
          <w:p>
            <w:pPr>
              <w:ind w:left="50"/>
              <w:spacing w:after="0"/>
              <w:rPr>
                <w:sz w:val="20"/>
                <w:szCs w:val="20"/>
                <w:color w:val="auto"/>
              </w:rPr>
            </w:pPr>
            <w:r>
              <w:rPr>
                <w:rFonts w:ascii="Arial" w:cs="Arial" w:eastAsia="Arial" w:hAnsi="Arial"/>
                <w:sz w:val="16"/>
                <w:szCs w:val="16"/>
                <w:color w:val="auto"/>
              </w:rPr>
              <w:t>Bonus(1)</w:t>
            </w:r>
          </w:p>
        </w:tc>
        <w:tc>
          <w:tcPr>
            <w:tcW w:w="104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150,000</w:t>
            </w: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150,000</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150,000</w:t>
            </w:r>
          </w:p>
        </w:tc>
        <w:tc>
          <w:tcPr>
            <w:tcW w:w="960" w:type="dxa"/>
            <w:vAlign w:val="bottom"/>
            <w:shd w:val="clear" w:color="auto" w:fill="E5E5E5"/>
          </w:tcPr>
          <w:p>
            <w:pPr>
              <w:spacing w:after="0"/>
              <w:rPr>
                <w:sz w:val="16"/>
                <w:szCs w:val="16"/>
                <w:color w:val="auto"/>
              </w:rPr>
            </w:pPr>
          </w:p>
        </w:tc>
      </w:tr>
      <w:tr>
        <w:trPr>
          <w:trHeight w:val="189"/>
        </w:trPr>
        <w:tc>
          <w:tcPr>
            <w:tcW w:w="2910" w:type="dxa"/>
            <w:vAlign w:val="bottom"/>
            <w:shd w:val="clear" w:color="auto" w:fill="E5E5E5"/>
          </w:tcPr>
          <w:p>
            <w:pPr>
              <w:spacing w:after="0"/>
              <w:rPr>
                <w:sz w:val="16"/>
                <w:szCs w:val="16"/>
                <w:color w:val="auto"/>
              </w:rPr>
            </w:pPr>
          </w:p>
        </w:tc>
        <w:tc>
          <w:tcPr>
            <w:tcW w:w="2150" w:type="dxa"/>
            <w:vAlign w:val="bottom"/>
            <w:shd w:val="clear" w:color="auto" w:fill="E5E5E5"/>
          </w:tcPr>
          <w:p>
            <w:pPr>
              <w:ind w:left="50"/>
              <w:spacing w:after="0"/>
              <w:rPr>
                <w:sz w:val="20"/>
                <w:szCs w:val="20"/>
                <w:color w:val="auto"/>
              </w:rPr>
            </w:pPr>
            <w:r>
              <w:rPr>
                <w:rFonts w:ascii="Arial" w:cs="Arial" w:eastAsia="Arial" w:hAnsi="Arial"/>
                <w:sz w:val="16"/>
                <w:szCs w:val="16"/>
                <w:color w:val="auto"/>
              </w:rPr>
              <w:t>Perquisite Allowance</w:t>
            </w:r>
          </w:p>
        </w:tc>
        <w:tc>
          <w:tcPr>
            <w:tcW w:w="104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25,000</w:t>
            </w: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25,000</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25,000</w:t>
            </w:r>
          </w:p>
        </w:tc>
        <w:tc>
          <w:tcPr>
            <w:tcW w:w="960" w:type="dxa"/>
            <w:vAlign w:val="bottom"/>
            <w:shd w:val="clear" w:color="auto" w:fill="E5E5E5"/>
          </w:tcPr>
          <w:p>
            <w:pPr>
              <w:spacing w:after="0"/>
              <w:rPr>
                <w:sz w:val="16"/>
                <w:szCs w:val="16"/>
                <w:color w:val="auto"/>
              </w:rPr>
            </w:pPr>
          </w:p>
        </w:tc>
      </w:tr>
      <w:tr>
        <w:trPr>
          <w:trHeight w:val="189"/>
        </w:trPr>
        <w:tc>
          <w:tcPr>
            <w:tcW w:w="2910" w:type="dxa"/>
            <w:vAlign w:val="bottom"/>
            <w:shd w:val="clear" w:color="auto" w:fill="E5E5E5"/>
          </w:tcPr>
          <w:p>
            <w:pPr>
              <w:spacing w:after="0"/>
              <w:rPr>
                <w:sz w:val="16"/>
                <w:szCs w:val="16"/>
                <w:color w:val="auto"/>
              </w:rPr>
            </w:pPr>
          </w:p>
        </w:tc>
        <w:tc>
          <w:tcPr>
            <w:tcW w:w="2150" w:type="dxa"/>
            <w:vAlign w:val="bottom"/>
            <w:shd w:val="clear" w:color="auto" w:fill="E5E5E5"/>
          </w:tcPr>
          <w:p>
            <w:pPr>
              <w:ind w:left="50"/>
              <w:spacing w:after="0"/>
              <w:rPr>
                <w:sz w:val="20"/>
                <w:szCs w:val="20"/>
                <w:color w:val="auto"/>
              </w:rPr>
            </w:pPr>
            <w:r>
              <w:rPr>
                <w:rFonts w:ascii="Arial" w:cs="Arial" w:eastAsia="Arial" w:hAnsi="Arial"/>
                <w:sz w:val="16"/>
                <w:szCs w:val="16"/>
                <w:color w:val="auto"/>
              </w:rPr>
              <w:t>H &amp; W Benefits</w:t>
            </w:r>
          </w:p>
        </w:tc>
        <w:tc>
          <w:tcPr>
            <w:tcW w:w="104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19,228</w:t>
            </w: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19,228</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19,228</w:t>
            </w:r>
          </w:p>
        </w:tc>
        <w:tc>
          <w:tcPr>
            <w:tcW w:w="960" w:type="dxa"/>
            <w:vAlign w:val="bottom"/>
            <w:shd w:val="clear" w:color="auto" w:fill="E5E5E5"/>
          </w:tcPr>
          <w:p>
            <w:pPr>
              <w:spacing w:after="0"/>
              <w:rPr>
                <w:sz w:val="16"/>
                <w:szCs w:val="16"/>
                <w:color w:val="auto"/>
              </w:rPr>
            </w:pPr>
          </w:p>
        </w:tc>
      </w:tr>
      <w:tr>
        <w:trPr>
          <w:trHeight w:val="189"/>
        </w:trPr>
        <w:tc>
          <w:tcPr>
            <w:tcW w:w="2910" w:type="dxa"/>
            <w:vAlign w:val="bottom"/>
            <w:shd w:val="clear" w:color="auto" w:fill="E5E5E5"/>
          </w:tcPr>
          <w:p>
            <w:pPr>
              <w:spacing w:after="0"/>
              <w:rPr>
                <w:sz w:val="16"/>
                <w:szCs w:val="16"/>
                <w:color w:val="auto"/>
              </w:rPr>
            </w:pPr>
          </w:p>
        </w:tc>
        <w:tc>
          <w:tcPr>
            <w:tcW w:w="2150" w:type="dxa"/>
            <w:vAlign w:val="bottom"/>
            <w:shd w:val="clear" w:color="auto" w:fill="E5E5E5"/>
          </w:tcPr>
          <w:p>
            <w:pPr>
              <w:ind w:left="50"/>
              <w:spacing w:after="0"/>
              <w:rPr>
                <w:sz w:val="20"/>
                <w:szCs w:val="20"/>
                <w:color w:val="auto"/>
              </w:rPr>
            </w:pPr>
            <w:r>
              <w:rPr>
                <w:rFonts w:ascii="Arial" w:cs="Arial" w:eastAsia="Arial" w:hAnsi="Arial"/>
                <w:sz w:val="16"/>
                <w:szCs w:val="16"/>
                <w:color w:val="auto"/>
              </w:rPr>
              <w:t>Deferred Compensation</w:t>
            </w:r>
          </w:p>
        </w:tc>
        <w:tc>
          <w:tcPr>
            <w:tcW w:w="104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308,614</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308,614</w:t>
            </w:r>
          </w:p>
        </w:tc>
        <w:tc>
          <w:tcPr>
            <w:tcW w:w="1000" w:type="dxa"/>
            <w:vAlign w:val="bottom"/>
            <w:shd w:val="clear" w:color="auto" w:fill="E5E5E5"/>
          </w:tcPr>
          <w:p>
            <w:pPr>
              <w:jc w:val="right"/>
              <w:ind w:right="2"/>
              <w:spacing w:after="0"/>
              <w:rPr>
                <w:sz w:val="20"/>
                <w:szCs w:val="20"/>
                <w:color w:val="auto"/>
              </w:rPr>
            </w:pPr>
            <w:r>
              <w:rPr>
                <w:rFonts w:ascii="Arial" w:cs="Arial" w:eastAsia="Arial" w:hAnsi="Arial"/>
                <w:sz w:val="16"/>
                <w:szCs w:val="16"/>
                <w:color w:val="auto"/>
              </w:rPr>
              <w:t>308,614</w:t>
            </w:r>
          </w:p>
        </w:tc>
        <w:tc>
          <w:tcPr>
            <w:tcW w:w="10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308,614</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308,614</w:t>
            </w:r>
          </w:p>
        </w:tc>
        <w:tc>
          <w:tcPr>
            <w:tcW w:w="960" w:type="dxa"/>
            <w:vAlign w:val="bottom"/>
            <w:shd w:val="clear" w:color="auto" w:fill="E5E5E5"/>
          </w:tcPr>
          <w:p>
            <w:pPr>
              <w:jc w:val="right"/>
              <w:ind w:right="42"/>
              <w:spacing w:after="0"/>
              <w:rPr>
                <w:sz w:val="20"/>
                <w:szCs w:val="20"/>
                <w:color w:val="auto"/>
              </w:rPr>
            </w:pPr>
            <w:r>
              <w:rPr>
                <w:rFonts w:ascii="Arial" w:cs="Arial" w:eastAsia="Arial" w:hAnsi="Arial"/>
                <w:sz w:val="16"/>
                <w:szCs w:val="16"/>
                <w:color w:val="auto"/>
              </w:rPr>
              <w:t>308,614</w:t>
            </w:r>
          </w:p>
        </w:tc>
      </w:tr>
      <w:tr>
        <w:trPr>
          <w:trHeight w:val="191"/>
        </w:trPr>
        <w:tc>
          <w:tcPr>
            <w:tcW w:w="2910" w:type="dxa"/>
            <w:vAlign w:val="bottom"/>
          </w:tcPr>
          <w:p>
            <w:pPr>
              <w:ind w:left="60"/>
              <w:spacing w:after="0"/>
              <w:rPr>
                <w:sz w:val="20"/>
                <w:szCs w:val="20"/>
                <w:color w:val="auto"/>
              </w:rPr>
            </w:pPr>
            <w:r>
              <w:rPr>
                <w:rFonts w:ascii="Arial" w:cs="Arial" w:eastAsia="Arial" w:hAnsi="Arial"/>
                <w:sz w:val="16"/>
                <w:szCs w:val="16"/>
                <w:color w:val="auto"/>
              </w:rPr>
              <w:t>Sean Gleason</w:t>
            </w:r>
          </w:p>
        </w:tc>
        <w:tc>
          <w:tcPr>
            <w:tcW w:w="2150" w:type="dxa"/>
            <w:vAlign w:val="bottom"/>
          </w:tcPr>
          <w:p>
            <w:pPr>
              <w:ind w:left="50"/>
              <w:spacing w:after="0"/>
              <w:rPr>
                <w:sz w:val="20"/>
                <w:szCs w:val="20"/>
                <w:color w:val="auto"/>
              </w:rPr>
            </w:pPr>
            <w:r>
              <w:rPr>
                <w:rFonts w:ascii="Arial" w:cs="Arial" w:eastAsia="Arial" w:hAnsi="Arial"/>
                <w:sz w:val="16"/>
                <w:szCs w:val="16"/>
                <w:color w:val="auto"/>
              </w:rPr>
              <w:t>Salary</w:t>
            </w:r>
          </w:p>
        </w:tc>
        <w:tc>
          <w:tcPr>
            <w:tcW w:w="10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410,000</w:t>
            </w:r>
          </w:p>
        </w:tc>
        <w:tc>
          <w:tcPr>
            <w:tcW w:w="1000" w:type="dxa"/>
            <w:vAlign w:val="bottom"/>
          </w:tcPr>
          <w:p>
            <w:pPr>
              <w:spacing w:after="0"/>
              <w:rPr>
                <w:sz w:val="16"/>
                <w:szCs w:val="16"/>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410,000</w:t>
            </w:r>
          </w:p>
        </w:tc>
        <w:tc>
          <w:tcPr>
            <w:tcW w:w="940" w:type="dxa"/>
            <w:vAlign w:val="bottom"/>
          </w:tcPr>
          <w:p>
            <w:pPr>
              <w:jc w:val="right"/>
              <w:spacing w:after="0"/>
              <w:rPr>
                <w:sz w:val="20"/>
                <w:szCs w:val="20"/>
                <w:color w:val="auto"/>
              </w:rPr>
            </w:pPr>
            <w:r>
              <w:rPr>
                <w:rFonts w:ascii="Arial" w:cs="Arial" w:eastAsia="Arial" w:hAnsi="Arial"/>
                <w:sz w:val="16"/>
                <w:szCs w:val="16"/>
                <w:color w:val="auto"/>
              </w:rPr>
              <w:t>410,000</w:t>
            </w:r>
          </w:p>
        </w:tc>
        <w:tc>
          <w:tcPr>
            <w:tcW w:w="960" w:type="dxa"/>
            <w:vAlign w:val="bottom"/>
          </w:tcPr>
          <w:p>
            <w:pPr>
              <w:spacing w:after="0"/>
              <w:rPr>
                <w:sz w:val="16"/>
                <w:szCs w:val="16"/>
                <w:color w:val="auto"/>
              </w:rPr>
            </w:pPr>
          </w:p>
        </w:tc>
      </w:tr>
      <w:tr>
        <w:trPr>
          <w:trHeight w:val="189"/>
        </w:trPr>
        <w:tc>
          <w:tcPr>
            <w:tcW w:w="2910" w:type="dxa"/>
            <w:vAlign w:val="bottom"/>
          </w:tcPr>
          <w:p>
            <w:pPr>
              <w:spacing w:after="0"/>
              <w:rPr>
                <w:sz w:val="16"/>
                <w:szCs w:val="16"/>
                <w:color w:val="auto"/>
              </w:rPr>
            </w:pPr>
          </w:p>
        </w:tc>
        <w:tc>
          <w:tcPr>
            <w:tcW w:w="2150" w:type="dxa"/>
            <w:vAlign w:val="bottom"/>
          </w:tcPr>
          <w:p>
            <w:pPr>
              <w:ind w:left="50"/>
              <w:spacing w:after="0"/>
              <w:rPr>
                <w:sz w:val="20"/>
                <w:szCs w:val="20"/>
                <w:color w:val="auto"/>
              </w:rPr>
            </w:pPr>
            <w:r>
              <w:rPr>
                <w:rFonts w:ascii="Arial" w:cs="Arial" w:eastAsia="Arial" w:hAnsi="Arial"/>
                <w:sz w:val="16"/>
                <w:szCs w:val="16"/>
                <w:color w:val="auto"/>
              </w:rPr>
              <w:t>Bonus(1)</w:t>
            </w:r>
          </w:p>
        </w:tc>
        <w:tc>
          <w:tcPr>
            <w:tcW w:w="10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246,000</w:t>
            </w:r>
          </w:p>
        </w:tc>
        <w:tc>
          <w:tcPr>
            <w:tcW w:w="1000" w:type="dxa"/>
            <w:vAlign w:val="bottom"/>
          </w:tcPr>
          <w:p>
            <w:pPr>
              <w:spacing w:after="0"/>
              <w:rPr>
                <w:sz w:val="16"/>
                <w:szCs w:val="16"/>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246,000</w:t>
            </w:r>
          </w:p>
        </w:tc>
        <w:tc>
          <w:tcPr>
            <w:tcW w:w="940" w:type="dxa"/>
            <w:vAlign w:val="bottom"/>
          </w:tcPr>
          <w:p>
            <w:pPr>
              <w:jc w:val="right"/>
              <w:spacing w:after="0"/>
              <w:rPr>
                <w:sz w:val="20"/>
                <w:szCs w:val="20"/>
                <w:color w:val="auto"/>
              </w:rPr>
            </w:pPr>
            <w:r>
              <w:rPr>
                <w:rFonts w:ascii="Arial" w:cs="Arial" w:eastAsia="Arial" w:hAnsi="Arial"/>
                <w:sz w:val="16"/>
                <w:szCs w:val="16"/>
                <w:color w:val="auto"/>
              </w:rPr>
              <w:t>246,000</w:t>
            </w:r>
          </w:p>
        </w:tc>
        <w:tc>
          <w:tcPr>
            <w:tcW w:w="960" w:type="dxa"/>
            <w:vAlign w:val="bottom"/>
          </w:tcPr>
          <w:p>
            <w:pPr>
              <w:spacing w:after="0"/>
              <w:rPr>
                <w:sz w:val="16"/>
                <w:szCs w:val="16"/>
                <w:color w:val="auto"/>
              </w:rPr>
            </w:pPr>
          </w:p>
        </w:tc>
      </w:tr>
      <w:tr>
        <w:trPr>
          <w:trHeight w:val="189"/>
        </w:trPr>
        <w:tc>
          <w:tcPr>
            <w:tcW w:w="2910" w:type="dxa"/>
            <w:vAlign w:val="bottom"/>
          </w:tcPr>
          <w:p>
            <w:pPr>
              <w:spacing w:after="0"/>
              <w:rPr>
                <w:sz w:val="16"/>
                <w:szCs w:val="16"/>
                <w:color w:val="auto"/>
              </w:rPr>
            </w:pPr>
          </w:p>
        </w:tc>
        <w:tc>
          <w:tcPr>
            <w:tcW w:w="2150" w:type="dxa"/>
            <w:vAlign w:val="bottom"/>
          </w:tcPr>
          <w:p>
            <w:pPr>
              <w:ind w:left="50"/>
              <w:spacing w:after="0"/>
              <w:rPr>
                <w:sz w:val="20"/>
                <w:szCs w:val="20"/>
                <w:color w:val="auto"/>
              </w:rPr>
            </w:pPr>
            <w:r>
              <w:rPr>
                <w:rFonts w:ascii="Arial" w:cs="Arial" w:eastAsia="Arial" w:hAnsi="Arial"/>
                <w:sz w:val="16"/>
                <w:szCs w:val="16"/>
                <w:color w:val="auto"/>
              </w:rPr>
              <w:t>Perquisite Allowance</w:t>
            </w:r>
          </w:p>
        </w:tc>
        <w:tc>
          <w:tcPr>
            <w:tcW w:w="10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25,000</w:t>
            </w:r>
          </w:p>
        </w:tc>
        <w:tc>
          <w:tcPr>
            <w:tcW w:w="1000" w:type="dxa"/>
            <w:vAlign w:val="bottom"/>
          </w:tcPr>
          <w:p>
            <w:pPr>
              <w:spacing w:after="0"/>
              <w:rPr>
                <w:sz w:val="16"/>
                <w:szCs w:val="16"/>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25,000</w:t>
            </w:r>
          </w:p>
        </w:tc>
        <w:tc>
          <w:tcPr>
            <w:tcW w:w="940" w:type="dxa"/>
            <w:vAlign w:val="bottom"/>
          </w:tcPr>
          <w:p>
            <w:pPr>
              <w:jc w:val="right"/>
              <w:spacing w:after="0"/>
              <w:rPr>
                <w:sz w:val="20"/>
                <w:szCs w:val="20"/>
                <w:color w:val="auto"/>
              </w:rPr>
            </w:pPr>
            <w:r>
              <w:rPr>
                <w:rFonts w:ascii="Arial" w:cs="Arial" w:eastAsia="Arial" w:hAnsi="Arial"/>
                <w:sz w:val="16"/>
                <w:szCs w:val="16"/>
                <w:color w:val="auto"/>
              </w:rPr>
              <w:t>25,000</w:t>
            </w:r>
          </w:p>
        </w:tc>
        <w:tc>
          <w:tcPr>
            <w:tcW w:w="960" w:type="dxa"/>
            <w:vAlign w:val="bottom"/>
          </w:tcPr>
          <w:p>
            <w:pPr>
              <w:spacing w:after="0"/>
              <w:rPr>
                <w:sz w:val="16"/>
                <w:szCs w:val="16"/>
                <w:color w:val="auto"/>
              </w:rPr>
            </w:pPr>
          </w:p>
        </w:tc>
      </w:tr>
      <w:tr>
        <w:trPr>
          <w:trHeight w:val="189"/>
        </w:trPr>
        <w:tc>
          <w:tcPr>
            <w:tcW w:w="2910" w:type="dxa"/>
            <w:vAlign w:val="bottom"/>
          </w:tcPr>
          <w:p>
            <w:pPr>
              <w:spacing w:after="0"/>
              <w:rPr>
                <w:sz w:val="16"/>
                <w:szCs w:val="16"/>
                <w:color w:val="auto"/>
              </w:rPr>
            </w:pPr>
          </w:p>
        </w:tc>
        <w:tc>
          <w:tcPr>
            <w:tcW w:w="2150" w:type="dxa"/>
            <w:vAlign w:val="bottom"/>
          </w:tcPr>
          <w:p>
            <w:pPr>
              <w:ind w:left="50"/>
              <w:spacing w:after="0"/>
              <w:rPr>
                <w:sz w:val="20"/>
                <w:szCs w:val="20"/>
                <w:color w:val="auto"/>
              </w:rPr>
            </w:pPr>
            <w:r>
              <w:rPr>
                <w:rFonts w:ascii="Arial" w:cs="Arial" w:eastAsia="Arial" w:hAnsi="Arial"/>
                <w:sz w:val="16"/>
                <w:szCs w:val="16"/>
                <w:color w:val="auto"/>
              </w:rPr>
              <w:t>H &amp; W Benefits</w:t>
            </w:r>
          </w:p>
        </w:tc>
        <w:tc>
          <w:tcPr>
            <w:tcW w:w="10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22,791</w:t>
            </w:r>
          </w:p>
        </w:tc>
        <w:tc>
          <w:tcPr>
            <w:tcW w:w="1000" w:type="dxa"/>
            <w:vAlign w:val="bottom"/>
          </w:tcPr>
          <w:p>
            <w:pPr>
              <w:spacing w:after="0"/>
              <w:rPr>
                <w:sz w:val="16"/>
                <w:szCs w:val="16"/>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22,791</w:t>
            </w:r>
          </w:p>
        </w:tc>
        <w:tc>
          <w:tcPr>
            <w:tcW w:w="940" w:type="dxa"/>
            <w:vAlign w:val="bottom"/>
          </w:tcPr>
          <w:p>
            <w:pPr>
              <w:jc w:val="right"/>
              <w:spacing w:after="0"/>
              <w:rPr>
                <w:sz w:val="20"/>
                <w:szCs w:val="20"/>
                <w:color w:val="auto"/>
              </w:rPr>
            </w:pPr>
            <w:r>
              <w:rPr>
                <w:rFonts w:ascii="Arial" w:cs="Arial" w:eastAsia="Arial" w:hAnsi="Arial"/>
                <w:sz w:val="16"/>
                <w:szCs w:val="16"/>
                <w:color w:val="auto"/>
              </w:rPr>
              <w:t>22,791</w:t>
            </w:r>
          </w:p>
        </w:tc>
        <w:tc>
          <w:tcPr>
            <w:tcW w:w="960" w:type="dxa"/>
            <w:vAlign w:val="bottom"/>
          </w:tcPr>
          <w:p>
            <w:pPr>
              <w:spacing w:after="0"/>
              <w:rPr>
                <w:sz w:val="16"/>
                <w:szCs w:val="16"/>
                <w:color w:val="auto"/>
              </w:rPr>
            </w:pPr>
          </w:p>
        </w:tc>
      </w:tr>
      <w:tr>
        <w:trPr>
          <w:trHeight w:val="187"/>
        </w:trPr>
        <w:tc>
          <w:tcPr>
            <w:tcW w:w="2910" w:type="dxa"/>
            <w:vAlign w:val="bottom"/>
          </w:tcPr>
          <w:p>
            <w:pPr>
              <w:spacing w:after="0"/>
              <w:rPr>
                <w:sz w:val="16"/>
                <w:szCs w:val="16"/>
                <w:color w:val="auto"/>
              </w:rPr>
            </w:pPr>
          </w:p>
        </w:tc>
        <w:tc>
          <w:tcPr>
            <w:tcW w:w="2150" w:type="dxa"/>
            <w:vAlign w:val="bottom"/>
          </w:tcPr>
          <w:p>
            <w:pPr>
              <w:ind w:left="50"/>
              <w:spacing w:after="0"/>
              <w:rPr>
                <w:sz w:val="20"/>
                <w:szCs w:val="20"/>
                <w:color w:val="auto"/>
              </w:rPr>
            </w:pPr>
            <w:r>
              <w:rPr>
                <w:rFonts w:ascii="Arial" w:cs="Arial" w:eastAsia="Arial" w:hAnsi="Arial"/>
                <w:sz w:val="16"/>
                <w:szCs w:val="16"/>
                <w:color w:val="auto"/>
              </w:rPr>
              <w:t>Deferred Compensation</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393,512</w:t>
            </w:r>
          </w:p>
        </w:tc>
        <w:tc>
          <w:tcPr>
            <w:tcW w:w="980" w:type="dxa"/>
            <w:vAlign w:val="bottom"/>
          </w:tcPr>
          <w:p>
            <w:pPr>
              <w:jc w:val="right"/>
              <w:spacing w:after="0"/>
              <w:rPr>
                <w:sz w:val="20"/>
                <w:szCs w:val="20"/>
                <w:color w:val="auto"/>
              </w:rPr>
            </w:pPr>
            <w:r>
              <w:rPr>
                <w:rFonts w:ascii="Arial" w:cs="Arial" w:eastAsia="Arial" w:hAnsi="Arial"/>
                <w:sz w:val="16"/>
                <w:szCs w:val="16"/>
                <w:color w:val="auto"/>
              </w:rPr>
              <w:t>393,512</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393,512</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393,512</w:t>
            </w:r>
          </w:p>
        </w:tc>
        <w:tc>
          <w:tcPr>
            <w:tcW w:w="940" w:type="dxa"/>
            <w:vAlign w:val="bottom"/>
          </w:tcPr>
          <w:p>
            <w:pPr>
              <w:jc w:val="right"/>
              <w:spacing w:after="0"/>
              <w:rPr>
                <w:sz w:val="20"/>
                <w:szCs w:val="20"/>
                <w:color w:val="auto"/>
              </w:rPr>
            </w:pPr>
            <w:r>
              <w:rPr>
                <w:rFonts w:ascii="Arial" w:cs="Arial" w:eastAsia="Arial" w:hAnsi="Arial"/>
                <w:sz w:val="16"/>
                <w:szCs w:val="16"/>
                <w:color w:val="auto"/>
              </w:rPr>
              <w:t>393,512</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393,512</w:t>
            </w:r>
          </w:p>
        </w:tc>
      </w:tr>
      <w:tr>
        <w:trPr>
          <w:trHeight w:val="189"/>
        </w:trPr>
        <w:tc>
          <w:tcPr>
            <w:tcW w:w="2910" w:type="dxa"/>
            <w:vAlign w:val="bottom"/>
            <w:shd w:val="clear" w:color="auto" w:fill="E5E5E5"/>
          </w:tcPr>
          <w:p>
            <w:pPr>
              <w:ind w:left="60"/>
              <w:spacing w:after="0"/>
              <w:rPr>
                <w:sz w:val="20"/>
                <w:szCs w:val="20"/>
                <w:color w:val="auto"/>
              </w:rPr>
            </w:pPr>
            <w:r>
              <w:rPr>
                <w:rFonts w:ascii="Arial" w:cs="Arial" w:eastAsia="Arial" w:hAnsi="Arial"/>
                <w:sz w:val="16"/>
                <w:szCs w:val="16"/>
                <w:color w:val="auto"/>
              </w:rPr>
              <w:t>Margo L. Manning</w:t>
            </w:r>
          </w:p>
        </w:tc>
        <w:tc>
          <w:tcPr>
            <w:tcW w:w="2150" w:type="dxa"/>
            <w:vAlign w:val="bottom"/>
            <w:shd w:val="clear" w:color="auto" w:fill="E5E5E5"/>
          </w:tcPr>
          <w:p>
            <w:pPr>
              <w:ind w:left="50"/>
              <w:spacing w:after="0"/>
              <w:rPr>
                <w:sz w:val="20"/>
                <w:szCs w:val="20"/>
                <w:color w:val="auto"/>
              </w:rPr>
            </w:pPr>
            <w:r>
              <w:rPr>
                <w:rFonts w:ascii="Arial" w:cs="Arial" w:eastAsia="Arial" w:hAnsi="Arial"/>
                <w:sz w:val="16"/>
                <w:szCs w:val="16"/>
                <w:color w:val="auto"/>
              </w:rPr>
              <w:t>Salary</w:t>
            </w:r>
          </w:p>
        </w:tc>
        <w:tc>
          <w:tcPr>
            <w:tcW w:w="104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465,000</w:t>
            </w: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465,000</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465,000</w:t>
            </w:r>
          </w:p>
        </w:tc>
        <w:tc>
          <w:tcPr>
            <w:tcW w:w="960" w:type="dxa"/>
            <w:vAlign w:val="bottom"/>
            <w:shd w:val="clear" w:color="auto" w:fill="E5E5E5"/>
          </w:tcPr>
          <w:p>
            <w:pPr>
              <w:spacing w:after="0"/>
              <w:rPr>
                <w:sz w:val="16"/>
                <w:szCs w:val="16"/>
                <w:color w:val="auto"/>
              </w:rPr>
            </w:pPr>
          </w:p>
        </w:tc>
      </w:tr>
      <w:tr>
        <w:trPr>
          <w:trHeight w:val="189"/>
        </w:trPr>
        <w:tc>
          <w:tcPr>
            <w:tcW w:w="2910" w:type="dxa"/>
            <w:vAlign w:val="bottom"/>
            <w:shd w:val="clear" w:color="auto" w:fill="E5E5E5"/>
          </w:tcPr>
          <w:p>
            <w:pPr>
              <w:spacing w:after="0"/>
              <w:rPr>
                <w:sz w:val="16"/>
                <w:szCs w:val="16"/>
                <w:color w:val="auto"/>
              </w:rPr>
            </w:pPr>
          </w:p>
        </w:tc>
        <w:tc>
          <w:tcPr>
            <w:tcW w:w="2150" w:type="dxa"/>
            <w:vAlign w:val="bottom"/>
            <w:shd w:val="clear" w:color="auto" w:fill="E5E5E5"/>
          </w:tcPr>
          <w:p>
            <w:pPr>
              <w:ind w:left="50"/>
              <w:spacing w:after="0"/>
              <w:rPr>
                <w:sz w:val="20"/>
                <w:szCs w:val="20"/>
                <w:color w:val="auto"/>
              </w:rPr>
            </w:pPr>
            <w:r>
              <w:rPr>
                <w:rFonts w:ascii="Arial" w:cs="Arial" w:eastAsia="Arial" w:hAnsi="Arial"/>
                <w:sz w:val="16"/>
                <w:szCs w:val="16"/>
                <w:color w:val="auto"/>
              </w:rPr>
              <w:t>Bonus(1)</w:t>
            </w:r>
          </w:p>
        </w:tc>
        <w:tc>
          <w:tcPr>
            <w:tcW w:w="104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372,000</w:t>
            </w: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372,000</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372,000</w:t>
            </w:r>
          </w:p>
        </w:tc>
        <w:tc>
          <w:tcPr>
            <w:tcW w:w="960" w:type="dxa"/>
            <w:vAlign w:val="bottom"/>
            <w:shd w:val="clear" w:color="auto" w:fill="E5E5E5"/>
          </w:tcPr>
          <w:p>
            <w:pPr>
              <w:spacing w:after="0"/>
              <w:rPr>
                <w:sz w:val="16"/>
                <w:szCs w:val="16"/>
                <w:color w:val="auto"/>
              </w:rPr>
            </w:pPr>
          </w:p>
        </w:tc>
      </w:tr>
      <w:tr>
        <w:trPr>
          <w:trHeight w:val="189"/>
        </w:trPr>
        <w:tc>
          <w:tcPr>
            <w:tcW w:w="2910" w:type="dxa"/>
            <w:vAlign w:val="bottom"/>
            <w:shd w:val="clear" w:color="auto" w:fill="E5E5E5"/>
          </w:tcPr>
          <w:p>
            <w:pPr>
              <w:spacing w:after="0"/>
              <w:rPr>
                <w:sz w:val="16"/>
                <w:szCs w:val="16"/>
                <w:color w:val="auto"/>
              </w:rPr>
            </w:pPr>
          </w:p>
        </w:tc>
        <w:tc>
          <w:tcPr>
            <w:tcW w:w="2150" w:type="dxa"/>
            <w:vAlign w:val="bottom"/>
            <w:shd w:val="clear" w:color="auto" w:fill="E5E5E5"/>
          </w:tcPr>
          <w:p>
            <w:pPr>
              <w:ind w:left="50"/>
              <w:spacing w:after="0"/>
              <w:rPr>
                <w:sz w:val="20"/>
                <w:szCs w:val="20"/>
                <w:color w:val="auto"/>
              </w:rPr>
            </w:pPr>
            <w:r>
              <w:rPr>
                <w:rFonts w:ascii="Arial" w:cs="Arial" w:eastAsia="Arial" w:hAnsi="Arial"/>
                <w:sz w:val="16"/>
                <w:szCs w:val="16"/>
                <w:color w:val="auto"/>
              </w:rPr>
              <w:t>Perquisite Allowance</w:t>
            </w:r>
          </w:p>
        </w:tc>
        <w:tc>
          <w:tcPr>
            <w:tcW w:w="104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25,000</w:t>
            </w: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25,000</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25,000</w:t>
            </w:r>
          </w:p>
        </w:tc>
        <w:tc>
          <w:tcPr>
            <w:tcW w:w="960" w:type="dxa"/>
            <w:vAlign w:val="bottom"/>
            <w:shd w:val="clear" w:color="auto" w:fill="E5E5E5"/>
          </w:tcPr>
          <w:p>
            <w:pPr>
              <w:spacing w:after="0"/>
              <w:rPr>
                <w:sz w:val="16"/>
                <w:szCs w:val="16"/>
                <w:color w:val="auto"/>
              </w:rPr>
            </w:pPr>
          </w:p>
        </w:tc>
      </w:tr>
      <w:tr>
        <w:trPr>
          <w:trHeight w:val="189"/>
        </w:trPr>
        <w:tc>
          <w:tcPr>
            <w:tcW w:w="2910" w:type="dxa"/>
            <w:vAlign w:val="bottom"/>
            <w:shd w:val="clear" w:color="auto" w:fill="E5E5E5"/>
          </w:tcPr>
          <w:p>
            <w:pPr>
              <w:spacing w:after="0"/>
              <w:rPr>
                <w:sz w:val="16"/>
                <w:szCs w:val="16"/>
                <w:color w:val="auto"/>
              </w:rPr>
            </w:pPr>
          </w:p>
        </w:tc>
        <w:tc>
          <w:tcPr>
            <w:tcW w:w="2150" w:type="dxa"/>
            <w:vAlign w:val="bottom"/>
            <w:shd w:val="clear" w:color="auto" w:fill="E5E5E5"/>
          </w:tcPr>
          <w:p>
            <w:pPr>
              <w:ind w:left="50"/>
              <w:spacing w:after="0"/>
              <w:rPr>
                <w:sz w:val="20"/>
                <w:szCs w:val="20"/>
                <w:color w:val="auto"/>
              </w:rPr>
            </w:pPr>
            <w:r>
              <w:rPr>
                <w:rFonts w:ascii="Arial" w:cs="Arial" w:eastAsia="Arial" w:hAnsi="Arial"/>
                <w:sz w:val="16"/>
                <w:szCs w:val="16"/>
                <w:color w:val="auto"/>
              </w:rPr>
              <w:t>H &amp; W Benefits</w:t>
            </w:r>
          </w:p>
        </w:tc>
        <w:tc>
          <w:tcPr>
            <w:tcW w:w="1040" w:type="dxa"/>
            <w:vAlign w:val="bottom"/>
            <w:shd w:val="clear" w:color="auto" w:fill="E5E5E5"/>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22,791</w:t>
            </w:r>
          </w:p>
        </w:tc>
        <w:tc>
          <w:tcPr>
            <w:tcW w:w="100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22,791</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22,791</w:t>
            </w:r>
          </w:p>
        </w:tc>
        <w:tc>
          <w:tcPr>
            <w:tcW w:w="960" w:type="dxa"/>
            <w:vAlign w:val="bottom"/>
            <w:shd w:val="clear" w:color="auto" w:fill="E5E5E5"/>
          </w:tcPr>
          <w:p>
            <w:pPr>
              <w:spacing w:after="0"/>
              <w:rPr>
                <w:sz w:val="16"/>
                <w:szCs w:val="16"/>
                <w:color w:val="auto"/>
              </w:rPr>
            </w:pPr>
          </w:p>
        </w:tc>
      </w:tr>
      <w:tr>
        <w:trPr>
          <w:trHeight w:val="189"/>
        </w:trPr>
        <w:tc>
          <w:tcPr>
            <w:tcW w:w="2910" w:type="dxa"/>
            <w:vAlign w:val="bottom"/>
            <w:shd w:val="clear" w:color="auto" w:fill="E5E5E5"/>
          </w:tcPr>
          <w:p>
            <w:pPr>
              <w:spacing w:after="0"/>
              <w:rPr>
                <w:sz w:val="16"/>
                <w:szCs w:val="16"/>
                <w:color w:val="auto"/>
              </w:rPr>
            </w:pPr>
          </w:p>
        </w:tc>
        <w:tc>
          <w:tcPr>
            <w:tcW w:w="2150" w:type="dxa"/>
            <w:vAlign w:val="bottom"/>
            <w:shd w:val="clear" w:color="auto" w:fill="E5E5E5"/>
          </w:tcPr>
          <w:p>
            <w:pPr>
              <w:ind w:left="50"/>
              <w:spacing w:after="0"/>
              <w:rPr>
                <w:sz w:val="20"/>
                <w:szCs w:val="20"/>
                <w:color w:val="auto"/>
              </w:rPr>
            </w:pPr>
            <w:r>
              <w:rPr>
                <w:rFonts w:ascii="Arial" w:cs="Arial" w:eastAsia="Arial" w:hAnsi="Arial"/>
                <w:sz w:val="16"/>
                <w:szCs w:val="16"/>
                <w:color w:val="auto"/>
              </w:rPr>
              <w:t>Deferred Compensation</w:t>
            </w:r>
          </w:p>
        </w:tc>
        <w:tc>
          <w:tcPr>
            <w:tcW w:w="104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1,064,647</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1,064,647</w:t>
            </w:r>
          </w:p>
        </w:tc>
        <w:tc>
          <w:tcPr>
            <w:tcW w:w="1000" w:type="dxa"/>
            <w:vAlign w:val="bottom"/>
            <w:shd w:val="clear" w:color="auto" w:fill="E5E5E5"/>
          </w:tcPr>
          <w:p>
            <w:pPr>
              <w:jc w:val="right"/>
              <w:ind w:right="2"/>
              <w:spacing w:after="0"/>
              <w:rPr>
                <w:sz w:val="20"/>
                <w:szCs w:val="20"/>
                <w:color w:val="auto"/>
              </w:rPr>
            </w:pPr>
            <w:r>
              <w:rPr>
                <w:rFonts w:ascii="Arial" w:cs="Arial" w:eastAsia="Arial" w:hAnsi="Arial"/>
                <w:sz w:val="16"/>
                <w:szCs w:val="16"/>
                <w:color w:val="auto"/>
              </w:rPr>
              <w:t>1,064,647</w:t>
            </w:r>
          </w:p>
        </w:tc>
        <w:tc>
          <w:tcPr>
            <w:tcW w:w="10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1,064,647</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1,064,647</w:t>
            </w:r>
          </w:p>
        </w:tc>
        <w:tc>
          <w:tcPr>
            <w:tcW w:w="960" w:type="dxa"/>
            <w:vAlign w:val="bottom"/>
            <w:shd w:val="clear" w:color="auto" w:fill="E5E5E5"/>
          </w:tcPr>
          <w:p>
            <w:pPr>
              <w:jc w:val="right"/>
              <w:ind w:right="42"/>
              <w:spacing w:after="0"/>
              <w:rPr>
                <w:sz w:val="20"/>
                <w:szCs w:val="20"/>
                <w:color w:val="auto"/>
              </w:rPr>
            </w:pPr>
            <w:r>
              <w:rPr>
                <w:rFonts w:ascii="Arial" w:cs="Arial" w:eastAsia="Arial" w:hAnsi="Arial"/>
                <w:sz w:val="16"/>
                <w:szCs w:val="16"/>
                <w:color w:val="auto"/>
              </w:rPr>
              <w:t>1,064,647</w:t>
            </w:r>
          </w:p>
        </w:tc>
      </w:tr>
      <w:tr>
        <w:trPr>
          <w:trHeight w:val="191"/>
        </w:trPr>
        <w:tc>
          <w:tcPr>
            <w:tcW w:w="2910" w:type="dxa"/>
            <w:vAlign w:val="bottom"/>
          </w:tcPr>
          <w:p>
            <w:pPr>
              <w:ind w:left="60"/>
              <w:spacing w:after="0"/>
              <w:rPr>
                <w:sz w:val="20"/>
                <w:szCs w:val="20"/>
                <w:color w:val="auto"/>
              </w:rPr>
            </w:pPr>
            <w:r>
              <w:rPr>
                <w:rFonts w:ascii="Arial" w:cs="Arial" w:eastAsia="Arial" w:hAnsi="Arial"/>
                <w:sz w:val="16"/>
                <w:szCs w:val="16"/>
                <w:color w:val="auto"/>
              </w:rPr>
              <w:t>John B. Mulleady</w:t>
            </w:r>
          </w:p>
        </w:tc>
        <w:tc>
          <w:tcPr>
            <w:tcW w:w="2150" w:type="dxa"/>
            <w:vAlign w:val="bottom"/>
          </w:tcPr>
          <w:p>
            <w:pPr>
              <w:ind w:left="50"/>
              <w:spacing w:after="0"/>
              <w:rPr>
                <w:sz w:val="20"/>
                <w:szCs w:val="20"/>
                <w:color w:val="auto"/>
              </w:rPr>
            </w:pPr>
            <w:r>
              <w:rPr>
                <w:rFonts w:ascii="Arial" w:cs="Arial" w:eastAsia="Arial" w:hAnsi="Arial"/>
                <w:sz w:val="16"/>
                <w:szCs w:val="16"/>
                <w:color w:val="auto"/>
              </w:rPr>
              <w:t>Salary</w:t>
            </w:r>
          </w:p>
        </w:tc>
        <w:tc>
          <w:tcPr>
            <w:tcW w:w="10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412,000</w:t>
            </w:r>
          </w:p>
        </w:tc>
        <w:tc>
          <w:tcPr>
            <w:tcW w:w="1000" w:type="dxa"/>
            <w:vAlign w:val="bottom"/>
          </w:tcPr>
          <w:p>
            <w:pPr>
              <w:spacing w:after="0"/>
              <w:rPr>
                <w:sz w:val="16"/>
                <w:szCs w:val="16"/>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412,000</w:t>
            </w:r>
          </w:p>
        </w:tc>
        <w:tc>
          <w:tcPr>
            <w:tcW w:w="940" w:type="dxa"/>
            <w:vAlign w:val="bottom"/>
          </w:tcPr>
          <w:p>
            <w:pPr>
              <w:jc w:val="right"/>
              <w:spacing w:after="0"/>
              <w:rPr>
                <w:sz w:val="20"/>
                <w:szCs w:val="20"/>
                <w:color w:val="auto"/>
              </w:rPr>
            </w:pPr>
            <w:r>
              <w:rPr>
                <w:rFonts w:ascii="Arial" w:cs="Arial" w:eastAsia="Arial" w:hAnsi="Arial"/>
                <w:sz w:val="16"/>
                <w:szCs w:val="16"/>
                <w:color w:val="auto"/>
              </w:rPr>
              <w:t>412,000</w:t>
            </w:r>
          </w:p>
        </w:tc>
        <w:tc>
          <w:tcPr>
            <w:tcW w:w="960" w:type="dxa"/>
            <w:vAlign w:val="bottom"/>
          </w:tcPr>
          <w:p>
            <w:pPr>
              <w:spacing w:after="0"/>
              <w:rPr>
                <w:sz w:val="16"/>
                <w:szCs w:val="16"/>
                <w:color w:val="auto"/>
              </w:rPr>
            </w:pPr>
          </w:p>
        </w:tc>
      </w:tr>
      <w:tr>
        <w:trPr>
          <w:trHeight w:val="189"/>
        </w:trPr>
        <w:tc>
          <w:tcPr>
            <w:tcW w:w="2910" w:type="dxa"/>
            <w:vAlign w:val="bottom"/>
          </w:tcPr>
          <w:p>
            <w:pPr>
              <w:spacing w:after="0"/>
              <w:rPr>
                <w:sz w:val="16"/>
                <w:szCs w:val="16"/>
                <w:color w:val="auto"/>
              </w:rPr>
            </w:pPr>
          </w:p>
        </w:tc>
        <w:tc>
          <w:tcPr>
            <w:tcW w:w="2150" w:type="dxa"/>
            <w:vAlign w:val="bottom"/>
          </w:tcPr>
          <w:p>
            <w:pPr>
              <w:ind w:left="50"/>
              <w:spacing w:after="0"/>
              <w:rPr>
                <w:sz w:val="20"/>
                <w:szCs w:val="20"/>
                <w:color w:val="auto"/>
              </w:rPr>
            </w:pPr>
            <w:r>
              <w:rPr>
                <w:rFonts w:ascii="Arial" w:cs="Arial" w:eastAsia="Arial" w:hAnsi="Arial"/>
                <w:sz w:val="16"/>
                <w:szCs w:val="16"/>
                <w:color w:val="auto"/>
              </w:rPr>
              <w:t>Bonus(1)</w:t>
            </w:r>
          </w:p>
        </w:tc>
        <w:tc>
          <w:tcPr>
            <w:tcW w:w="10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247,200</w:t>
            </w:r>
          </w:p>
        </w:tc>
        <w:tc>
          <w:tcPr>
            <w:tcW w:w="1000" w:type="dxa"/>
            <w:vAlign w:val="bottom"/>
          </w:tcPr>
          <w:p>
            <w:pPr>
              <w:spacing w:after="0"/>
              <w:rPr>
                <w:sz w:val="16"/>
                <w:szCs w:val="16"/>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247,200</w:t>
            </w:r>
          </w:p>
        </w:tc>
        <w:tc>
          <w:tcPr>
            <w:tcW w:w="940" w:type="dxa"/>
            <w:vAlign w:val="bottom"/>
          </w:tcPr>
          <w:p>
            <w:pPr>
              <w:jc w:val="right"/>
              <w:spacing w:after="0"/>
              <w:rPr>
                <w:sz w:val="20"/>
                <w:szCs w:val="20"/>
                <w:color w:val="auto"/>
              </w:rPr>
            </w:pPr>
            <w:r>
              <w:rPr>
                <w:rFonts w:ascii="Arial" w:cs="Arial" w:eastAsia="Arial" w:hAnsi="Arial"/>
                <w:sz w:val="16"/>
                <w:szCs w:val="16"/>
                <w:color w:val="auto"/>
              </w:rPr>
              <w:t>247,200</w:t>
            </w:r>
          </w:p>
        </w:tc>
        <w:tc>
          <w:tcPr>
            <w:tcW w:w="960" w:type="dxa"/>
            <w:vAlign w:val="bottom"/>
          </w:tcPr>
          <w:p>
            <w:pPr>
              <w:spacing w:after="0"/>
              <w:rPr>
                <w:sz w:val="16"/>
                <w:szCs w:val="16"/>
                <w:color w:val="auto"/>
              </w:rPr>
            </w:pPr>
          </w:p>
        </w:tc>
      </w:tr>
      <w:tr>
        <w:trPr>
          <w:trHeight w:val="189"/>
        </w:trPr>
        <w:tc>
          <w:tcPr>
            <w:tcW w:w="2910" w:type="dxa"/>
            <w:vAlign w:val="bottom"/>
          </w:tcPr>
          <w:p>
            <w:pPr>
              <w:spacing w:after="0"/>
              <w:rPr>
                <w:sz w:val="16"/>
                <w:szCs w:val="16"/>
                <w:color w:val="auto"/>
              </w:rPr>
            </w:pPr>
          </w:p>
        </w:tc>
        <w:tc>
          <w:tcPr>
            <w:tcW w:w="2150" w:type="dxa"/>
            <w:vAlign w:val="bottom"/>
          </w:tcPr>
          <w:p>
            <w:pPr>
              <w:ind w:left="50"/>
              <w:spacing w:after="0"/>
              <w:rPr>
                <w:sz w:val="20"/>
                <w:szCs w:val="20"/>
                <w:color w:val="auto"/>
              </w:rPr>
            </w:pPr>
            <w:r>
              <w:rPr>
                <w:rFonts w:ascii="Arial" w:cs="Arial" w:eastAsia="Arial" w:hAnsi="Arial"/>
                <w:sz w:val="16"/>
                <w:szCs w:val="16"/>
                <w:color w:val="auto"/>
              </w:rPr>
              <w:t>Perquisite Allowance</w:t>
            </w:r>
          </w:p>
        </w:tc>
        <w:tc>
          <w:tcPr>
            <w:tcW w:w="10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25,000</w:t>
            </w:r>
          </w:p>
        </w:tc>
        <w:tc>
          <w:tcPr>
            <w:tcW w:w="1000" w:type="dxa"/>
            <w:vAlign w:val="bottom"/>
          </w:tcPr>
          <w:p>
            <w:pPr>
              <w:spacing w:after="0"/>
              <w:rPr>
                <w:sz w:val="16"/>
                <w:szCs w:val="16"/>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25,000</w:t>
            </w:r>
          </w:p>
        </w:tc>
        <w:tc>
          <w:tcPr>
            <w:tcW w:w="940" w:type="dxa"/>
            <w:vAlign w:val="bottom"/>
          </w:tcPr>
          <w:p>
            <w:pPr>
              <w:jc w:val="right"/>
              <w:spacing w:after="0"/>
              <w:rPr>
                <w:sz w:val="20"/>
                <w:szCs w:val="20"/>
                <w:color w:val="auto"/>
              </w:rPr>
            </w:pPr>
            <w:r>
              <w:rPr>
                <w:rFonts w:ascii="Arial" w:cs="Arial" w:eastAsia="Arial" w:hAnsi="Arial"/>
                <w:sz w:val="16"/>
                <w:szCs w:val="16"/>
                <w:color w:val="auto"/>
              </w:rPr>
              <w:t>25,000</w:t>
            </w:r>
          </w:p>
        </w:tc>
        <w:tc>
          <w:tcPr>
            <w:tcW w:w="960" w:type="dxa"/>
            <w:vAlign w:val="bottom"/>
          </w:tcPr>
          <w:p>
            <w:pPr>
              <w:spacing w:after="0"/>
              <w:rPr>
                <w:sz w:val="16"/>
                <w:szCs w:val="16"/>
                <w:color w:val="auto"/>
              </w:rPr>
            </w:pPr>
          </w:p>
        </w:tc>
      </w:tr>
      <w:tr>
        <w:trPr>
          <w:trHeight w:val="189"/>
        </w:trPr>
        <w:tc>
          <w:tcPr>
            <w:tcW w:w="2910" w:type="dxa"/>
            <w:vAlign w:val="bottom"/>
          </w:tcPr>
          <w:p>
            <w:pPr>
              <w:spacing w:after="0"/>
              <w:rPr>
                <w:sz w:val="16"/>
                <w:szCs w:val="16"/>
                <w:color w:val="auto"/>
              </w:rPr>
            </w:pPr>
          </w:p>
        </w:tc>
        <w:tc>
          <w:tcPr>
            <w:tcW w:w="2150" w:type="dxa"/>
            <w:vAlign w:val="bottom"/>
          </w:tcPr>
          <w:p>
            <w:pPr>
              <w:ind w:left="50"/>
              <w:spacing w:after="0"/>
              <w:rPr>
                <w:sz w:val="20"/>
                <w:szCs w:val="20"/>
                <w:color w:val="auto"/>
              </w:rPr>
            </w:pPr>
            <w:r>
              <w:rPr>
                <w:rFonts w:ascii="Arial" w:cs="Arial" w:eastAsia="Arial" w:hAnsi="Arial"/>
                <w:sz w:val="16"/>
                <w:szCs w:val="16"/>
                <w:color w:val="auto"/>
              </w:rPr>
              <w:t>H &amp; W Benefits</w:t>
            </w:r>
          </w:p>
        </w:tc>
        <w:tc>
          <w:tcPr>
            <w:tcW w:w="10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15,670</w:t>
            </w:r>
          </w:p>
        </w:tc>
        <w:tc>
          <w:tcPr>
            <w:tcW w:w="1000" w:type="dxa"/>
            <w:vAlign w:val="bottom"/>
          </w:tcPr>
          <w:p>
            <w:pPr>
              <w:spacing w:after="0"/>
              <w:rPr>
                <w:sz w:val="16"/>
                <w:szCs w:val="16"/>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15,670</w:t>
            </w:r>
          </w:p>
        </w:tc>
        <w:tc>
          <w:tcPr>
            <w:tcW w:w="940" w:type="dxa"/>
            <w:vAlign w:val="bottom"/>
          </w:tcPr>
          <w:p>
            <w:pPr>
              <w:jc w:val="right"/>
              <w:spacing w:after="0"/>
              <w:rPr>
                <w:sz w:val="20"/>
                <w:szCs w:val="20"/>
                <w:color w:val="auto"/>
              </w:rPr>
            </w:pPr>
            <w:r>
              <w:rPr>
                <w:rFonts w:ascii="Arial" w:cs="Arial" w:eastAsia="Arial" w:hAnsi="Arial"/>
                <w:sz w:val="16"/>
                <w:szCs w:val="16"/>
                <w:color w:val="auto"/>
              </w:rPr>
              <w:t>15,670</w:t>
            </w:r>
          </w:p>
        </w:tc>
        <w:tc>
          <w:tcPr>
            <w:tcW w:w="960" w:type="dxa"/>
            <w:vAlign w:val="bottom"/>
          </w:tcPr>
          <w:p>
            <w:pPr>
              <w:spacing w:after="0"/>
              <w:rPr>
                <w:sz w:val="16"/>
                <w:szCs w:val="16"/>
                <w:color w:val="auto"/>
              </w:rPr>
            </w:pPr>
          </w:p>
        </w:tc>
      </w:tr>
      <w:tr>
        <w:trPr>
          <w:trHeight w:val="187"/>
        </w:trPr>
        <w:tc>
          <w:tcPr>
            <w:tcW w:w="2910" w:type="dxa"/>
            <w:vAlign w:val="bottom"/>
            <w:tcBorders>
              <w:bottom w:val="single" w:sz="8" w:color="003B71"/>
            </w:tcBorders>
          </w:tcPr>
          <w:p>
            <w:pPr>
              <w:spacing w:after="0"/>
              <w:rPr>
                <w:sz w:val="16"/>
                <w:szCs w:val="16"/>
                <w:color w:val="auto"/>
              </w:rPr>
            </w:pPr>
          </w:p>
        </w:tc>
        <w:tc>
          <w:tcPr>
            <w:tcW w:w="2150" w:type="dxa"/>
            <w:vAlign w:val="bottom"/>
            <w:tcBorders>
              <w:bottom w:val="single" w:sz="8" w:color="003B71"/>
            </w:tcBorders>
          </w:tcPr>
          <w:p>
            <w:pPr>
              <w:ind w:left="50"/>
              <w:spacing w:after="0"/>
              <w:rPr>
                <w:sz w:val="20"/>
                <w:szCs w:val="20"/>
                <w:color w:val="auto"/>
              </w:rPr>
            </w:pPr>
            <w:r>
              <w:rPr>
                <w:rFonts w:ascii="Arial" w:cs="Arial" w:eastAsia="Arial" w:hAnsi="Arial"/>
                <w:sz w:val="16"/>
                <w:szCs w:val="16"/>
                <w:color w:val="auto"/>
              </w:rPr>
              <w:t>Deferred Compensation</w:t>
            </w:r>
          </w:p>
        </w:tc>
        <w:tc>
          <w:tcPr>
            <w:tcW w:w="1040" w:type="dxa"/>
            <w:vAlign w:val="bottom"/>
            <w:tcBorders>
              <w:bottom w:val="single" w:sz="8" w:color="003B71"/>
            </w:tcBorders>
          </w:tcPr>
          <w:p>
            <w:pPr>
              <w:jc w:val="right"/>
              <w:ind w:right="21"/>
              <w:spacing w:after="0"/>
              <w:rPr>
                <w:sz w:val="20"/>
                <w:szCs w:val="20"/>
                <w:color w:val="auto"/>
              </w:rPr>
            </w:pPr>
            <w:r>
              <w:rPr>
                <w:rFonts w:ascii="Arial" w:cs="Arial" w:eastAsia="Arial" w:hAnsi="Arial"/>
                <w:sz w:val="16"/>
                <w:szCs w:val="16"/>
                <w:color w:val="auto"/>
              </w:rPr>
              <w:t>0</w:t>
            </w:r>
          </w:p>
        </w:tc>
        <w:tc>
          <w:tcPr>
            <w:tcW w:w="980" w:type="dxa"/>
            <w:vAlign w:val="bottom"/>
            <w:tcBorders>
              <w:bottom w:val="single" w:sz="8" w:color="003B71"/>
            </w:tcBorders>
          </w:tcPr>
          <w:p>
            <w:pPr>
              <w:jc w:val="right"/>
              <w:spacing w:after="0"/>
              <w:rPr>
                <w:sz w:val="20"/>
                <w:szCs w:val="20"/>
                <w:color w:val="auto"/>
              </w:rPr>
            </w:pPr>
            <w:r>
              <w:rPr>
                <w:rFonts w:ascii="Arial" w:cs="Arial" w:eastAsia="Arial" w:hAnsi="Arial"/>
                <w:sz w:val="16"/>
                <w:szCs w:val="16"/>
                <w:color w:val="auto"/>
              </w:rPr>
              <w:t>0</w:t>
            </w:r>
          </w:p>
        </w:tc>
        <w:tc>
          <w:tcPr>
            <w:tcW w:w="1000" w:type="dxa"/>
            <w:vAlign w:val="bottom"/>
            <w:tcBorders>
              <w:bottom w:val="single" w:sz="8" w:color="003B71"/>
            </w:tcBorders>
          </w:tcPr>
          <w:p>
            <w:pPr>
              <w:jc w:val="right"/>
              <w:ind w:right="2"/>
              <w:spacing w:after="0"/>
              <w:rPr>
                <w:sz w:val="20"/>
                <w:szCs w:val="20"/>
                <w:color w:val="auto"/>
              </w:rPr>
            </w:pPr>
            <w:r>
              <w:rPr>
                <w:rFonts w:ascii="Arial" w:cs="Arial" w:eastAsia="Arial" w:hAnsi="Arial"/>
                <w:sz w:val="16"/>
                <w:szCs w:val="16"/>
                <w:color w:val="auto"/>
              </w:rPr>
              <w:t>0</w:t>
            </w:r>
          </w:p>
        </w:tc>
        <w:tc>
          <w:tcPr>
            <w:tcW w:w="1040" w:type="dxa"/>
            <w:vAlign w:val="bottom"/>
            <w:tcBorders>
              <w:bottom w:val="single" w:sz="8" w:color="003B71"/>
            </w:tcBorders>
          </w:tcPr>
          <w:p>
            <w:pPr>
              <w:jc w:val="right"/>
              <w:ind w:right="40"/>
              <w:spacing w:after="0"/>
              <w:rPr>
                <w:sz w:val="20"/>
                <w:szCs w:val="20"/>
                <w:color w:val="auto"/>
              </w:rPr>
            </w:pPr>
            <w:r>
              <w:rPr>
                <w:rFonts w:ascii="Arial" w:cs="Arial" w:eastAsia="Arial" w:hAnsi="Arial"/>
                <w:sz w:val="16"/>
                <w:szCs w:val="16"/>
                <w:color w:val="auto"/>
              </w:rPr>
              <w:t>0</w:t>
            </w:r>
          </w:p>
        </w:tc>
        <w:tc>
          <w:tcPr>
            <w:tcW w:w="940" w:type="dxa"/>
            <w:vAlign w:val="bottom"/>
            <w:tcBorders>
              <w:bottom w:val="single" w:sz="8" w:color="003B71"/>
            </w:tcBorders>
          </w:tcPr>
          <w:p>
            <w:pPr>
              <w:jc w:val="right"/>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003B71"/>
            </w:tcBorders>
          </w:tcPr>
          <w:p>
            <w:pPr>
              <w:jc w:val="right"/>
              <w:ind w:right="42"/>
              <w:spacing w:after="0"/>
              <w:rPr>
                <w:sz w:val="20"/>
                <w:szCs w:val="20"/>
                <w:color w:val="auto"/>
              </w:rPr>
            </w:pPr>
            <w:r>
              <w:rPr>
                <w:rFonts w:ascii="Arial" w:cs="Arial" w:eastAsia="Arial" w:hAnsi="Arial"/>
                <w:sz w:val="16"/>
                <w:szCs w:val="16"/>
                <w:color w:val="auto"/>
              </w:rPr>
              <w:t>0</w:t>
            </w:r>
          </w:p>
        </w:tc>
      </w:tr>
    </w:tbl>
    <w:p>
      <w:pPr>
        <w:spacing w:after="0" w:line="83" w:lineRule="exact"/>
        <w:rPr>
          <w:sz w:val="20"/>
          <w:szCs w:val="20"/>
          <w:color w:val="auto"/>
        </w:rPr>
      </w:pPr>
    </w:p>
    <w:p>
      <w:pPr>
        <w:ind w:left="540" w:right="20" w:hanging="424"/>
        <w:spacing w:after="0" w:line="260" w:lineRule="auto"/>
        <w:tabs>
          <w:tab w:leader="none" w:pos="5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Accrued and unpaid non-equity incentive compensation payable assuming target performance in fiscal 2019 pursuant to our Executive Incentive Plan.</w:t>
      </w:r>
    </w:p>
    <w:p>
      <w:pPr>
        <w:spacing w:after="0" w:line="11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55</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The following table sets forth information concerning the shares of common stock that may be issued upon exercise of options under the 2010 Stock Incentive Plan and the 2014 Stock Incentive Plan as of February 2, 2020:</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80" w:right="1160"/>
        <w:spacing w:after="0" w:line="276" w:lineRule="auto"/>
        <w:rPr>
          <w:sz w:val="20"/>
          <w:szCs w:val="20"/>
          <w:color w:val="auto"/>
        </w:rPr>
      </w:pPr>
      <w:r>
        <w:rPr>
          <w:rFonts w:ascii="Arial" w:cs="Arial" w:eastAsia="Arial" w:hAnsi="Arial"/>
          <w:sz w:val="14"/>
          <w:szCs w:val="14"/>
          <w:b w:val="1"/>
          <w:bCs w:val="1"/>
          <w:color w:val="003B71"/>
        </w:rPr>
        <w:t>EQUITY COMPENSATION PLANS APPROVED BY SECURITY HOLDERS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jc w:val="center"/>
              <w:ind w:right="348"/>
              <w:spacing w:after="0"/>
              <w:rPr>
                <w:sz w:val="20"/>
                <w:szCs w:val="20"/>
                <w:color w:val="auto"/>
              </w:rPr>
            </w:pPr>
            <w:r>
              <w:rPr>
                <w:rFonts w:ascii="Arial" w:cs="Arial" w:eastAsia="Arial" w:hAnsi="Arial"/>
                <w:sz w:val="14"/>
                <w:szCs w:val="14"/>
                <w:b w:val="1"/>
                <w:bCs w:val="1"/>
                <w:color w:val="003B71"/>
              </w:rPr>
              <w:t>NUMBER OF</w:t>
            </w:r>
          </w:p>
        </w:tc>
        <w:tc>
          <w:tcPr>
            <w:tcW w:w="2160" w:type="dxa"/>
            <w:vAlign w:val="bottom"/>
          </w:tcPr>
          <w:p>
            <w:pPr>
              <w:spacing w:after="0"/>
              <w:rPr>
                <w:sz w:val="14"/>
                <w:szCs w:val="14"/>
                <w:color w:val="auto"/>
              </w:rPr>
            </w:pPr>
          </w:p>
        </w:tc>
        <w:tc>
          <w:tcPr>
            <w:tcW w:w="1800" w:type="dxa"/>
            <w:vAlign w:val="bottom"/>
          </w:tcPr>
          <w:p>
            <w:pPr>
              <w:jc w:val="center"/>
              <w:ind w:left="348"/>
              <w:spacing w:after="0"/>
              <w:rPr>
                <w:sz w:val="20"/>
                <w:szCs w:val="20"/>
                <w:color w:val="auto"/>
              </w:rPr>
            </w:pPr>
            <w:r>
              <w:rPr>
                <w:rFonts w:ascii="Arial" w:cs="Arial" w:eastAsia="Arial" w:hAnsi="Arial"/>
                <w:sz w:val="14"/>
                <w:szCs w:val="14"/>
                <w:b w:val="1"/>
                <w:bCs w:val="1"/>
                <w:color w:val="003B71"/>
              </w:rPr>
              <w:t>NUMBER OF</w:t>
            </w:r>
          </w:p>
        </w:tc>
      </w:tr>
      <w:tr>
        <w:trPr>
          <w:trHeight w:val="162"/>
        </w:trPr>
        <w:tc>
          <w:tcPr>
            <w:tcW w:w="1700" w:type="dxa"/>
            <w:vAlign w:val="bottom"/>
          </w:tcPr>
          <w:p>
            <w:pPr>
              <w:jc w:val="center"/>
              <w:ind w:right="368"/>
              <w:spacing w:after="0"/>
              <w:rPr>
                <w:sz w:val="20"/>
                <w:szCs w:val="20"/>
                <w:color w:val="auto"/>
              </w:rPr>
            </w:pPr>
            <w:r>
              <w:rPr>
                <w:rFonts w:ascii="Arial" w:cs="Arial" w:eastAsia="Arial" w:hAnsi="Arial"/>
                <w:sz w:val="14"/>
                <w:szCs w:val="14"/>
                <w:b w:val="1"/>
                <w:bCs w:val="1"/>
                <w:color w:val="003B71"/>
              </w:rPr>
              <w:t>SECURITIES TO</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003B71"/>
              </w:rPr>
              <w:t>WEIGHTED-</w:t>
            </w:r>
          </w:p>
        </w:tc>
        <w:tc>
          <w:tcPr>
            <w:tcW w:w="1800" w:type="dxa"/>
            <w:vAlign w:val="bottom"/>
          </w:tcPr>
          <w:p>
            <w:pPr>
              <w:jc w:val="center"/>
              <w:ind w:left="348"/>
              <w:spacing w:after="0"/>
              <w:rPr>
                <w:sz w:val="20"/>
                <w:szCs w:val="20"/>
                <w:color w:val="auto"/>
              </w:rPr>
            </w:pPr>
            <w:r>
              <w:rPr>
                <w:rFonts w:ascii="Arial" w:cs="Arial" w:eastAsia="Arial" w:hAnsi="Arial"/>
                <w:sz w:val="14"/>
                <w:szCs w:val="14"/>
                <w:b w:val="1"/>
                <w:bCs w:val="1"/>
                <w:color w:val="003B71"/>
              </w:rPr>
              <w:t>SECURITIES</w:t>
            </w:r>
          </w:p>
        </w:tc>
      </w:tr>
      <w:tr>
        <w:trPr>
          <w:trHeight w:val="162"/>
        </w:trPr>
        <w:tc>
          <w:tcPr>
            <w:tcW w:w="1700" w:type="dxa"/>
            <w:vAlign w:val="bottom"/>
          </w:tcPr>
          <w:p>
            <w:pPr>
              <w:jc w:val="center"/>
              <w:ind w:right="368"/>
              <w:spacing w:after="0"/>
              <w:rPr>
                <w:sz w:val="20"/>
                <w:szCs w:val="20"/>
                <w:color w:val="auto"/>
              </w:rPr>
            </w:pPr>
            <w:r>
              <w:rPr>
                <w:rFonts w:ascii="Arial" w:cs="Arial" w:eastAsia="Arial" w:hAnsi="Arial"/>
                <w:sz w:val="14"/>
                <w:szCs w:val="14"/>
                <w:b w:val="1"/>
                <w:bCs w:val="1"/>
                <w:color w:val="003B71"/>
              </w:rPr>
              <w:t>BE ISSUED</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003B71"/>
              </w:rPr>
              <w:t>AVERAGE</w:t>
            </w:r>
          </w:p>
        </w:tc>
        <w:tc>
          <w:tcPr>
            <w:tcW w:w="1800" w:type="dxa"/>
            <w:vAlign w:val="bottom"/>
          </w:tcPr>
          <w:p>
            <w:pPr>
              <w:jc w:val="center"/>
              <w:ind w:left="308"/>
              <w:spacing w:after="0"/>
              <w:rPr>
                <w:sz w:val="20"/>
                <w:szCs w:val="20"/>
                <w:color w:val="auto"/>
              </w:rPr>
            </w:pPr>
            <w:r>
              <w:rPr>
                <w:rFonts w:ascii="Arial" w:cs="Arial" w:eastAsia="Arial" w:hAnsi="Arial"/>
                <w:sz w:val="14"/>
                <w:szCs w:val="14"/>
                <w:b w:val="1"/>
                <w:bCs w:val="1"/>
                <w:color w:val="003B71"/>
              </w:rPr>
              <w:t>REMAINING</w:t>
            </w:r>
          </w:p>
        </w:tc>
      </w:tr>
      <w:tr>
        <w:trPr>
          <w:trHeight w:val="162"/>
        </w:trPr>
        <w:tc>
          <w:tcPr>
            <w:tcW w:w="1700" w:type="dxa"/>
            <w:vAlign w:val="bottom"/>
          </w:tcPr>
          <w:p>
            <w:pPr>
              <w:jc w:val="center"/>
              <w:ind w:right="368"/>
              <w:spacing w:after="0"/>
              <w:rPr>
                <w:sz w:val="20"/>
                <w:szCs w:val="20"/>
                <w:color w:val="auto"/>
              </w:rPr>
            </w:pPr>
            <w:r>
              <w:rPr>
                <w:rFonts w:ascii="Arial" w:cs="Arial" w:eastAsia="Arial" w:hAnsi="Arial"/>
                <w:sz w:val="14"/>
                <w:szCs w:val="14"/>
                <w:b w:val="1"/>
                <w:bCs w:val="1"/>
                <w:color w:val="003B71"/>
              </w:rPr>
              <w:t>UPON EXERCISE</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003B71"/>
              </w:rPr>
              <w:t>EXERCISE PRICE</w:t>
            </w:r>
          </w:p>
        </w:tc>
        <w:tc>
          <w:tcPr>
            <w:tcW w:w="1800" w:type="dxa"/>
            <w:vAlign w:val="bottom"/>
          </w:tcPr>
          <w:p>
            <w:pPr>
              <w:jc w:val="center"/>
              <w:ind w:left="348"/>
              <w:spacing w:after="0"/>
              <w:rPr>
                <w:sz w:val="20"/>
                <w:szCs w:val="20"/>
                <w:color w:val="auto"/>
              </w:rPr>
            </w:pPr>
            <w:r>
              <w:rPr>
                <w:rFonts w:ascii="Arial" w:cs="Arial" w:eastAsia="Arial" w:hAnsi="Arial"/>
                <w:sz w:val="14"/>
                <w:szCs w:val="14"/>
                <w:b w:val="1"/>
                <w:bCs w:val="1"/>
                <w:color w:val="003B71"/>
              </w:rPr>
              <w:t>AVAILABLE FOR</w:t>
            </w:r>
          </w:p>
        </w:tc>
      </w:tr>
      <w:tr>
        <w:trPr>
          <w:trHeight w:val="162"/>
        </w:trPr>
        <w:tc>
          <w:tcPr>
            <w:tcW w:w="1700" w:type="dxa"/>
            <w:vAlign w:val="bottom"/>
          </w:tcPr>
          <w:p>
            <w:pPr>
              <w:jc w:val="center"/>
              <w:ind w:right="348"/>
              <w:spacing w:after="0"/>
              <w:rPr>
                <w:sz w:val="20"/>
                <w:szCs w:val="20"/>
                <w:color w:val="auto"/>
              </w:rPr>
            </w:pPr>
            <w:r>
              <w:rPr>
                <w:rFonts w:ascii="Arial" w:cs="Arial" w:eastAsia="Arial" w:hAnsi="Arial"/>
                <w:sz w:val="14"/>
                <w:szCs w:val="14"/>
                <w:b w:val="1"/>
                <w:bCs w:val="1"/>
                <w:color w:val="003B71"/>
              </w:rPr>
              <w:t>OF OUTSTANDING</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003B71"/>
              </w:rPr>
              <w:t>OF OUTSTANDING</w:t>
            </w:r>
          </w:p>
        </w:tc>
        <w:tc>
          <w:tcPr>
            <w:tcW w:w="1800" w:type="dxa"/>
            <w:vAlign w:val="bottom"/>
          </w:tcPr>
          <w:p>
            <w:pPr>
              <w:jc w:val="center"/>
              <w:ind w:left="348"/>
              <w:spacing w:after="0"/>
              <w:rPr>
                <w:sz w:val="20"/>
                <w:szCs w:val="20"/>
                <w:color w:val="auto"/>
              </w:rPr>
            </w:pPr>
            <w:r>
              <w:rPr>
                <w:rFonts w:ascii="Arial" w:cs="Arial" w:eastAsia="Arial" w:hAnsi="Arial"/>
                <w:sz w:val="14"/>
                <w:szCs w:val="14"/>
                <w:b w:val="1"/>
                <w:bCs w:val="1"/>
                <w:color w:val="003B71"/>
              </w:rPr>
              <w:t>FUTURE ISSUANCE</w:t>
            </w:r>
          </w:p>
        </w:tc>
      </w:tr>
      <w:tr>
        <w:trPr>
          <w:trHeight w:val="162"/>
        </w:trPr>
        <w:tc>
          <w:tcPr>
            <w:tcW w:w="1700" w:type="dxa"/>
            <w:vAlign w:val="bottom"/>
          </w:tcPr>
          <w:p>
            <w:pPr>
              <w:jc w:val="center"/>
              <w:ind w:right="348"/>
              <w:spacing w:after="0"/>
              <w:rPr>
                <w:sz w:val="20"/>
                <w:szCs w:val="20"/>
                <w:color w:val="auto"/>
              </w:rPr>
            </w:pPr>
            <w:r>
              <w:rPr>
                <w:rFonts w:ascii="Arial" w:cs="Arial" w:eastAsia="Arial" w:hAnsi="Arial"/>
                <w:sz w:val="14"/>
                <w:szCs w:val="14"/>
                <w:b w:val="1"/>
                <w:bCs w:val="1"/>
                <w:color w:val="003B71"/>
              </w:rPr>
              <w:t>OPTIONS,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003B71"/>
              </w:rPr>
              <w:t>OPTIONS,</w:t>
            </w:r>
          </w:p>
        </w:tc>
        <w:tc>
          <w:tcPr>
            <w:tcW w:w="1800" w:type="dxa"/>
            <w:vAlign w:val="bottom"/>
          </w:tcPr>
          <w:p>
            <w:pPr>
              <w:jc w:val="center"/>
              <w:ind w:left="348"/>
              <w:spacing w:after="0"/>
              <w:rPr>
                <w:sz w:val="20"/>
                <w:szCs w:val="20"/>
                <w:color w:val="auto"/>
              </w:rPr>
            </w:pPr>
            <w:r>
              <w:rPr>
                <w:rFonts w:ascii="Arial" w:cs="Arial" w:eastAsia="Arial" w:hAnsi="Arial"/>
                <w:sz w:val="14"/>
                <w:szCs w:val="14"/>
                <w:b w:val="1"/>
                <w:bCs w:val="1"/>
                <w:color w:val="003B71"/>
              </w:rPr>
              <w:t>UNDER EQUITY</w:t>
            </w:r>
          </w:p>
        </w:tc>
      </w:tr>
      <w:tr>
        <w:trPr>
          <w:trHeight w:val="162"/>
        </w:trPr>
        <w:tc>
          <w:tcPr>
            <w:tcW w:w="1700" w:type="dxa"/>
            <w:vAlign w:val="bottom"/>
          </w:tcPr>
          <w:p>
            <w:pPr>
              <w:jc w:val="center"/>
              <w:ind w:right="368"/>
              <w:spacing w:after="0"/>
              <w:rPr>
                <w:sz w:val="20"/>
                <w:szCs w:val="20"/>
                <w:color w:val="auto"/>
              </w:rPr>
            </w:pPr>
            <w:r>
              <w:rPr>
                <w:rFonts w:ascii="Arial" w:cs="Arial" w:eastAsia="Arial" w:hAnsi="Arial"/>
                <w:sz w:val="14"/>
                <w:szCs w:val="14"/>
                <w:b w:val="1"/>
                <w:bCs w:val="1"/>
                <w:color w:val="003B71"/>
              </w:rPr>
              <w:t>WARRANTS AND</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003B71"/>
              </w:rPr>
              <w:t>WARRANTS AND</w:t>
            </w:r>
          </w:p>
        </w:tc>
        <w:tc>
          <w:tcPr>
            <w:tcW w:w="1800" w:type="dxa"/>
            <w:vAlign w:val="bottom"/>
          </w:tcPr>
          <w:p>
            <w:pPr>
              <w:jc w:val="center"/>
              <w:ind w:left="348"/>
              <w:spacing w:after="0"/>
              <w:rPr>
                <w:sz w:val="20"/>
                <w:szCs w:val="20"/>
                <w:color w:val="auto"/>
              </w:rPr>
            </w:pPr>
            <w:r>
              <w:rPr>
                <w:rFonts w:ascii="Arial" w:cs="Arial" w:eastAsia="Arial" w:hAnsi="Arial"/>
                <w:sz w:val="14"/>
                <w:szCs w:val="14"/>
                <w:b w:val="1"/>
                <w:bCs w:val="1"/>
                <w:color w:val="003B71"/>
              </w:rPr>
              <w:t>COMPENSATION</w:t>
            </w:r>
          </w:p>
        </w:tc>
      </w:tr>
      <w:tr>
        <w:trPr>
          <w:trHeight w:val="175"/>
        </w:trPr>
        <w:tc>
          <w:tcPr>
            <w:tcW w:w="1700" w:type="dxa"/>
            <w:vAlign w:val="bottom"/>
          </w:tcPr>
          <w:p>
            <w:pPr>
              <w:jc w:val="center"/>
              <w:ind w:right="368"/>
              <w:spacing w:after="0"/>
              <w:rPr>
                <w:sz w:val="20"/>
                <w:szCs w:val="20"/>
                <w:color w:val="auto"/>
              </w:rPr>
            </w:pPr>
            <w:r>
              <w:rPr>
                <w:rFonts w:ascii="Arial" w:cs="Arial" w:eastAsia="Arial" w:hAnsi="Arial"/>
                <w:sz w:val="14"/>
                <w:szCs w:val="14"/>
                <w:b w:val="1"/>
                <w:bCs w:val="1"/>
                <w:color w:val="003B71"/>
              </w:rPr>
              <w:t>RIGHTS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003B71"/>
              </w:rPr>
              <w:t>RIGHTS</w:t>
            </w:r>
          </w:p>
        </w:tc>
        <w:tc>
          <w:tcPr>
            <w:tcW w:w="1800" w:type="dxa"/>
            <w:vAlign w:val="bottom"/>
          </w:tcPr>
          <w:p>
            <w:pPr>
              <w:jc w:val="center"/>
              <w:ind w:left="348"/>
              <w:spacing w:after="0"/>
              <w:rPr>
                <w:sz w:val="20"/>
                <w:szCs w:val="20"/>
                <w:color w:val="auto"/>
              </w:rPr>
            </w:pPr>
            <w:r>
              <w:rPr>
                <w:rFonts w:ascii="Arial" w:cs="Arial" w:eastAsia="Arial" w:hAnsi="Arial"/>
                <w:sz w:val="14"/>
                <w:szCs w:val="14"/>
                <w:b w:val="1"/>
                <w:bCs w:val="1"/>
                <w:color w:val="003B71"/>
              </w:rPr>
              <w:t>PLANS</w:t>
            </w:r>
          </w:p>
        </w:tc>
      </w:tr>
    </w:tbl>
    <w:p>
      <w:pPr>
        <w:spacing w:after="0" w:line="20" w:lineRule="exact"/>
        <w:rPr>
          <w:sz w:val="20"/>
          <w:szCs w:val="20"/>
          <w:color w:val="auto"/>
        </w:rPr>
      </w:pPr>
    </w:p>
    <w:p>
      <w:pPr>
        <w:sectPr>
          <w:pgSz w:w="11900" w:h="16838" w:orient="portrait"/>
          <w:cols w:equalWidth="0" w:num="2">
            <w:col w:w="4700" w:space="720"/>
            <w:col w:w="572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63"/>
        </w:trPr>
        <w:tc>
          <w:tcPr>
            <w:tcW w:w="5280" w:type="dxa"/>
            <w:vAlign w:val="bottom"/>
            <w:tcBorders>
              <w:top w:val="single" w:sz="8" w:color="003B71"/>
            </w:tcBorders>
            <w:shd w:val="clear" w:color="auto" w:fill="E5E5E5"/>
          </w:tcPr>
          <w:p>
            <w:pPr>
              <w:ind w:left="80"/>
              <w:spacing w:after="0" w:line="163" w:lineRule="exact"/>
              <w:rPr>
                <w:sz w:val="20"/>
                <w:szCs w:val="20"/>
                <w:color w:val="auto"/>
              </w:rPr>
            </w:pPr>
            <w:r>
              <w:rPr>
                <w:rFonts w:ascii="Arial" w:cs="Arial" w:eastAsia="Arial" w:hAnsi="Arial"/>
                <w:sz w:val="16"/>
                <w:szCs w:val="16"/>
                <w:color w:val="auto"/>
              </w:rPr>
              <w:t>2010 Stock Incentive Plan</w:t>
            </w:r>
          </w:p>
        </w:tc>
        <w:tc>
          <w:tcPr>
            <w:tcW w:w="1820" w:type="dxa"/>
            <w:vAlign w:val="bottom"/>
            <w:tcBorders>
              <w:top w:val="single" w:sz="8" w:color="003B71"/>
            </w:tcBorders>
            <w:gridSpan w:val="2"/>
            <w:shd w:val="clear" w:color="auto" w:fill="E5E5E5"/>
          </w:tcPr>
          <w:p>
            <w:pPr>
              <w:jc w:val="right"/>
              <w:ind w:right="520"/>
              <w:spacing w:after="0" w:line="163" w:lineRule="exact"/>
              <w:rPr>
                <w:sz w:val="20"/>
                <w:szCs w:val="20"/>
                <w:color w:val="auto"/>
              </w:rPr>
            </w:pPr>
            <w:r>
              <w:rPr>
                <w:rFonts w:ascii="Arial" w:cs="Arial" w:eastAsia="Arial" w:hAnsi="Arial"/>
                <w:sz w:val="16"/>
                <w:szCs w:val="16"/>
                <w:color w:val="auto"/>
              </w:rPr>
              <w:t>266,900</w:t>
            </w:r>
          </w:p>
        </w:tc>
        <w:tc>
          <w:tcPr>
            <w:tcW w:w="820" w:type="dxa"/>
            <w:vAlign w:val="bottom"/>
            <w:tcBorders>
              <w:top w:val="single" w:sz="8" w:color="003B71"/>
            </w:tcBorders>
            <w:shd w:val="clear" w:color="auto" w:fill="E5E5E5"/>
          </w:tcPr>
          <w:p>
            <w:pPr>
              <w:jc w:val="right"/>
              <w:ind w:right="319"/>
              <w:spacing w:after="0" w:line="163" w:lineRule="exact"/>
              <w:rPr>
                <w:sz w:val="20"/>
                <w:szCs w:val="20"/>
                <w:color w:val="auto"/>
              </w:rPr>
            </w:pPr>
            <w:r>
              <w:rPr>
                <w:rFonts w:ascii="Arial" w:cs="Arial" w:eastAsia="Arial" w:hAnsi="Arial"/>
                <w:sz w:val="16"/>
                <w:szCs w:val="16"/>
                <w:color w:val="auto"/>
              </w:rPr>
              <w:t>$</w:t>
            </w:r>
          </w:p>
        </w:tc>
        <w:tc>
          <w:tcPr>
            <w:tcW w:w="1660" w:type="dxa"/>
            <w:vAlign w:val="bottom"/>
            <w:tcBorders>
              <w:top w:val="single" w:sz="8" w:color="003B71"/>
            </w:tcBorders>
            <w:shd w:val="clear" w:color="auto" w:fill="E5E5E5"/>
          </w:tcPr>
          <w:p>
            <w:pPr>
              <w:jc w:val="right"/>
              <w:ind w:right="759"/>
              <w:spacing w:after="0" w:line="163" w:lineRule="exact"/>
              <w:rPr>
                <w:sz w:val="20"/>
                <w:szCs w:val="20"/>
                <w:color w:val="auto"/>
              </w:rPr>
            </w:pPr>
            <w:r>
              <w:rPr>
                <w:rFonts w:ascii="Arial" w:cs="Arial" w:eastAsia="Arial" w:hAnsi="Arial"/>
                <w:sz w:val="16"/>
                <w:szCs w:val="16"/>
                <w:color w:val="auto"/>
              </w:rPr>
              <w:t>6.72</w:t>
            </w:r>
          </w:p>
        </w:tc>
        <w:tc>
          <w:tcPr>
            <w:tcW w:w="1440" w:type="dxa"/>
            <w:vAlign w:val="bottom"/>
            <w:tcBorders>
              <w:top w:val="single" w:sz="8" w:color="003B71"/>
            </w:tcBorders>
            <w:gridSpan w:val="2"/>
            <w:shd w:val="clear" w:color="auto" w:fill="E5E5E5"/>
          </w:tcPr>
          <w:p>
            <w:pPr>
              <w:jc w:val="right"/>
              <w:ind w:right="60"/>
              <w:spacing w:after="0" w:line="163" w:lineRule="exact"/>
              <w:rPr>
                <w:sz w:val="20"/>
                <w:szCs w:val="20"/>
                <w:color w:val="auto"/>
              </w:rPr>
            </w:pPr>
            <w:r>
              <w:rPr>
                <w:rFonts w:ascii="Arial" w:cs="Arial" w:eastAsia="Arial" w:hAnsi="Arial"/>
                <w:sz w:val="16"/>
                <w:szCs w:val="16"/>
                <w:color w:val="auto"/>
              </w:rPr>
              <w:t>0</w:t>
            </w:r>
          </w:p>
        </w:tc>
      </w:tr>
      <w:tr>
        <w:trPr>
          <w:trHeight w:val="189"/>
        </w:trPr>
        <w:tc>
          <w:tcPr>
            <w:tcW w:w="5280" w:type="dxa"/>
            <w:vAlign w:val="bottom"/>
          </w:tcPr>
          <w:p>
            <w:pPr>
              <w:ind w:left="80"/>
              <w:spacing w:after="0"/>
              <w:rPr>
                <w:sz w:val="20"/>
                <w:szCs w:val="20"/>
                <w:color w:val="auto"/>
              </w:rPr>
            </w:pPr>
            <w:r>
              <w:rPr>
                <w:rFonts w:ascii="Arial" w:cs="Arial" w:eastAsia="Arial" w:hAnsi="Arial"/>
                <w:sz w:val="16"/>
                <w:szCs w:val="16"/>
                <w:color w:val="auto"/>
              </w:rPr>
              <w:t>2014 Stock Incentive Plan</w:t>
            </w:r>
          </w:p>
        </w:tc>
        <w:tc>
          <w:tcPr>
            <w:tcW w:w="1820" w:type="dxa"/>
            <w:vAlign w:val="bottom"/>
            <w:gridSpan w:val="2"/>
          </w:tcPr>
          <w:p>
            <w:pPr>
              <w:jc w:val="right"/>
              <w:ind w:right="320"/>
              <w:spacing w:after="0"/>
              <w:rPr>
                <w:sz w:val="20"/>
                <w:szCs w:val="20"/>
                <w:color w:val="auto"/>
              </w:rPr>
            </w:pPr>
            <w:r>
              <w:rPr>
                <w:rFonts w:ascii="Arial" w:cs="Arial" w:eastAsia="Arial" w:hAnsi="Arial"/>
                <w:sz w:val="16"/>
                <w:szCs w:val="16"/>
                <w:color w:val="auto"/>
              </w:rPr>
              <w:t>1,540,310(1)</w:t>
            </w:r>
          </w:p>
        </w:tc>
        <w:tc>
          <w:tcPr>
            <w:tcW w:w="8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579"/>
              <w:spacing w:after="0"/>
              <w:rPr>
                <w:sz w:val="20"/>
                <w:szCs w:val="20"/>
                <w:color w:val="auto"/>
              </w:rPr>
            </w:pPr>
            <w:r>
              <w:rPr>
                <w:rFonts w:ascii="Arial" w:cs="Arial" w:eastAsia="Arial" w:hAnsi="Arial"/>
                <w:sz w:val="16"/>
                <w:szCs w:val="16"/>
                <w:color w:val="auto"/>
              </w:rPr>
              <w:t>36.97(2)</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1,319,813</w:t>
            </w:r>
          </w:p>
        </w:tc>
      </w:tr>
      <w:tr>
        <w:trPr>
          <w:trHeight w:val="27"/>
        </w:trPr>
        <w:tc>
          <w:tcPr>
            <w:tcW w:w="52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5280" w:type="dxa"/>
            <w:vAlign w:val="bottom"/>
            <w:tcBorders>
              <w:bottom w:val="single" w:sz="8" w:color="003B71"/>
            </w:tcBorders>
            <w:shd w:val="clear" w:color="auto" w:fill="E5E5E5"/>
          </w:tcPr>
          <w:p>
            <w:pPr>
              <w:ind w:left="80"/>
              <w:spacing w:after="0"/>
              <w:rPr>
                <w:sz w:val="20"/>
                <w:szCs w:val="20"/>
                <w:color w:val="auto"/>
              </w:rPr>
            </w:pPr>
            <w:r>
              <w:rPr>
                <w:rFonts w:ascii="Arial" w:cs="Arial" w:eastAsia="Arial" w:hAnsi="Arial"/>
                <w:sz w:val="16"/>
                <w:szCs w:val="16"/>
                <w:color w:val="auto"/>
              </w:rPr>
              <w:t>Total plans</w:t>
            </w:r>
          </w:p>
        </w:tc>
        <w:tc>
          <w:tcPr>
            <w:tcW w:w="1820" w:type="dxa"/>
            <w:vAlign w:val="bottom"/>
            <w:tcBorders>
              <w:bottom w:val="single" w:sz="8" w:color="003B71"/>
            </w:tcBorders>
            <w:gridSpan w:val="2"/>
            <w:shd w:val="clear" w:color="auto" w:fill="E5E5E5"/>
          </w:tcPr>
          <w:p>
            <w:pPr>
              <w:jc w:val="right"/>
              <w:ind w:right="520"/>
              <w:spacing w:after="0"/>
              <w:rPr>
                <w:sz w:val="20"/>
                <w:szCs w:val="20"/>
                <w:color w:val="auto"/>
              </w:rPr>
            </w:pPr>
            <w:r>
              <w:rPr>
                <w:rFonts w:ascii="Arial" w:cs="Arial" w:eastAsia="Arial" w:hAnsi="Arial"/>
                <w:sz w:val="16"/>
                <w:szCs w:val="16"/>
                <w:color w:val="auto"/>
              </w:rPr>
              <w:t>1,807,210</w:t>
            </w:r>
          </w:p>
        </w:tc>
        <w:tc>
          <w:tcPr>
            <w:tcW w:w="820" w:type="dxa"/>
            <w:vAlign w:val="bottom"/>
            <w:tcBorders>
              <w:bottom w:val="single" w:sz="8" w:color="003B71"/>
            </w:tcBorders>
            <w:shd w:val="clear" w:color="auto" w:fill="E5E5E5"/>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003B71"/>
            </w:tcBorders>
            <w:shd w:val="clear" w:color="auto" w:fill="E5E5E5"/>
          </w:tcPr>
          <w:p>
            <w:pPr>
              <w:jc w:val="right"/>
              <w:ind w:right="579"/>
              <w:spacing w:after="0"/>
              <w:rPr>
                <w:sz w:val="20"/>
                <w:szCs w:val="20"/>
                <w:color w:val="auto"/>
              </w:rPr>
            </w:pPr>
            <w:r>
              <w:rPr>
                <w:rFonts w:ascii="Arial" w:cs="Arial" w:eastAsia="Arial" w:hAnsi="Arial"/>
                <w:sz w:val="16"/>
                <w:szCs w:val="16"/>
                <w:color w:val="auto"/>
              </w:rPr>
              <w:t>31.89(2)</w:t>
            </w:r>
          </w:p>
        </w:tc>
        <w:tc>
          <w:tcPr>
            <w:tcW w:w="1440" w:type="dxa"/>
            <w:vAlign w:val="bottom"/>
            <w:tcBorders>
              <w:bottom w:val="single" w:sz="8" w:color="003B71"/>
            </w:tcBorders>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1,319,813</w:t>
            </w:r>
          </w:p>
        </w:tc>
      </w:tr>
    </w:tbl>
    <w:p>
      <w:pPr>
        <w:spacing w:after="0" w:line="83" w:lineRule="exact"/>
        <w:rPr>
          <w:sz w:val="20"/>
          <w:szCs w:val="20"/>
          <w:color w:val="auto"/>
        </w:rPr>
      </w:pPr>
    </w:p>
    <w:p>
      <w:pPr>
        <w:jc w:val="both"/>
        <w:ind w:left="540" w:right="20" w:hanging="424"/>
        <w:spacing w:after="0" w:line="251" w:lineRule="auto"/>
        <w:tabs>
          <w:tab w:leader="none" w:pos="5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Includes 127,866 performance-based restricted stock units and assumes shares issued upon vesting of performance-based units vest at 100% of target number of units. Actual number of shares issued on vesting of performance units could be a minimum award level of 50% to a maximum award level of 200% of target, but zero payout is possible if threshold measures are not met. The award level is based on actual performance over the three-year vesting period compared to target performance.</w:t>
      </w:r>
    </w:p>
    <w:p>
      <w:pPr>
        <w:spacing w:after="0" w:line="67"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weighted average exercise price is calculated based solely on outstanding stock options. It does not take into account the shares of our common stock underlying restricted stock units, which have no exercise price.</w:t>
      </w:r>
    </w:p>
    <w:p>
      <w:pPr>
        <w:spacing w:after="0" w:line="11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56</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40"/>
          <w:szCs w:val="40"/>
          <w:color w:val="003B71"/>
        </w:rPr>
        <w:t>TRANSACTIONS WITH RELATED PERSONS</w:t>
      </w:r>
    </w:p>
    <w:p>
      <w:pPr>
        <w:spacing w:after="0" w:line="20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We have a Related Party Transaction Policy that provides for timely internal review of prospective transactions with related persons, as well as approval or ratification, and appropriate oversight and public disclosure, of such transactions. The Related Party Transaction Policy generally covers transactions with the Company, on the one hand, and a director or executive officer of the Company, a nominee for election as a director of the Company, any security holder of the Company that owns (owns of record or beneficially) five percent or more of any class of the Company’s voting securities and any immediate family member of any of the foregoing persons, on the other hand. The Related Party Transaction Policy is administered by our Audit Committee.</w:t>
      </w:r>
    </w:p>
    <w:p>
      <w:pPr>
        <w:spacing w:after="0" w:line="20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Related Party Transaction Policy also supplements the provisions of our Code of Business Conduct and Ethics concerning potential conflict of interest situations, which, pursuant to its terms, provides that unless a written waiver is granted (as explained below), employees may not (a) perform services for or have a financial interest in a private company that is, or may become, a supplier, customer or competitor of us; (b) perform services for or own more than 1% of the equity of a publicly traded company that is, or may become, a supplier, customer or competitor of us or (c) perform outside work or otherwise engage in any outside activity or enterprise that may interfere in any way with job performance or create a conflict with our best interests. Employees are under a continuing obligation to disclose to their supervisors any situation that presents the possibility of a conflict or disparity of interest between the employee and us. An employee’s conflict of interest may only be waived if both the legal department and the employee’s supervisor waive the conflict in writing. An officer’s conflict of interest may only be approved pursuant to the Related Party Transaction Policy.</w:t>
      </w:r>
    </w:p>
    <w:p>
      <w:pPr>
        <w:spacing w:after="0" w:line="207"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In fiscal 2019, the Company and its officers and directors did not engage in any reportable related party transactions nor were any waivers granted on conflicts of interest.</w:t>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40"/>
          <w:szCs w:val="40"/>
          <w:color w:val="003B71"/>
        </w:rPr>
        <w:t>REPORT OF THE AUDIT COMMITTEE</w:t>
      </w:r>
    </w:p>
    <w:p>
      <w:pPr>
        <w:spacing w:after="0" w:line="20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We have reviewed and discussed with management and KPMG, the independent registered public accounting firm, our audited financial statements as of and for the fiscal year ended February 2, 2020. We have also discussed with KPMG the matters required to be discussed by Auditing Standard No.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as adopted by the Public Company Accounting Oversight Board (“PCAOB”).</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have received and reviewed the written disclosures and the letter from KPMG required by applicable requirements of the PCAOB regarding KPMG’s communications with the Audit Committee concerning independence, have considered the compatibility of non-audit services with the firm’s independence, and discussed with the auditors the firm’s independence.</w:t>
      </w:r>
    </w:p>
    <w:p>
      <w:pPr>
        <w:spacing w:after="0" w:line="203"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Based on the reviews and discussions referred to above, we have recommended to the Board of Directors that the financial statements referred to above be included in our Annual Report on Form 10-K.</w:t>
      </w:r>
    </w:p>
    <w:p>
      <w:pPr>
        <w:spacing w:after="0" w:line="21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Kevin M. Sheehan, Chair</w:t>
      </w:r>
    </w:p>
    <w:p>
      <w:pPr>
        <w:ind w:left="6740"/>
        <w:spacing w:after="0" w:line="234" w:lineRule="auto"/>
        <w:rPr>
          <w:sz w:val="20"/>
          <w:szCs w:val="20"/>
          <w:color w:val="auto"/>
        </w:rPr>
      </w:pPr>
      <w:r>
        <w:rPr>
          <w:rFonts w:ascii="Arial" w:cs="Arial" w:eastAsia="Arial" w:hAnsi="Arial"/>
          <w:sz w:val="18"/>
          <w:szCs w:val="18"/>
          <w:color w:val="auto"/>
        </w:rPr>
        <w:t>Victor L. Crawford</w:t>
      </w:r>
    </w:p>
    <w:p>
      <w:pPr>
        <w:ind w:left="6740"/>
        <w:spacing w:after="0" w:line="235" w:lineRule="auto"/>
        <w:rPr>
          <w:sz w:val="20"/>
          <w:szCs w:val="20"/>
          <w:color w:val="auto"/>
        </w:rPr>
      </w:pPr>
      <w:r>
        <w:rPr>
          <w:rFonts w:ascii="Arial" w:cs="Arial" w:eastAsia="Arial" w:hAnsi="Arial"/>
          <w:sz w:val="18"/>
          <w:szCs w:val="18"/>
          <w:color w:val="auto"/>
        </w:rPr>
        <w:t>Hamish A. Dodds</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Jonathan S. Halkyard</w:t>
      </w:r>
    </w:p>
    <w:p>
      <w:pPr>
        <w:spacing w:after="0" w:line="136"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57</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jc w:val="center"/>
        <w:ind w:left="440" w:right="400"/>
        <w:spacing w:after="0" w:line="248" w:lineRule="auto"/>
        <w:rPr>
          <w:sz w:val="20"/>
          <w:szCs w:val="20"/>
          <w:color w:val="auto"/>
        </w:rPr>
      </w:pPr>
      <w:r>
        <w:rPr>
          <w:rFonts w:ascii="Arial" w:cs="Arial" w:eastAsia="Arial" w:hAnsi="Arial"/>
          <w:sz w:val="40"/>
          <w:szCs w:val="40"/>
          <w:color w:val="003B71"/>
        </w:rPr>
        <w:t>SECTION 16(a) BENEFICIAL OWNERSHIP REPORTING COMPLIANCE</w:t>
      </w:r>
    </w:p>
    <w:p>
      <w:pPr>
        <w:spacing w:after="0" w:line="17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Section 16(a) of the Securities and Exchange Act of 1934 and SEC rules require our directors, executive officers and persons who own more than 10% of any class of our common stock to file reports of their ownership and changes in ownership of our common stock with the Securities and Exchange Commission. During fiscal 2019, the Company believes that all reports were timely filed by its directors and executive officers, except for a Form 4/A filing on February 25, 2020, reporting the withholding of stock for tax purposes on April 11, 2019, on behalf of Margo Manning.</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40"/>
          <w:szCs w:val="40"/>
          <w:color w:val="003B71"/>
        </w:rPr>
        <w:t>SHAREHOLDER PROPOSALS</w:t>
      </w:r>
    </w:p>
    <w:p>
      <w:pPr>
        <w:spacing w:after="0" w:line="20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Shareholder proposals, including director nominees, for inclusion in the Company’s Proxy Statement and a form of proxy relating to the Company’s 2021 annual meeting of shareholders must provide written notice of such proposal to the Secretary of the Company at the principal executive offices of the Company no later than the close of business on January 13, 2021, assuming the Company does not change the date of the 2020 annual meeting of shareholders by more than 30 days before or 90 days after the anniversary of the Annual Meeting. Any matter so submitted must comply with the other provisions of the Company’s bylaws (current copies of the Company’s bylaws are available at no charge from the Secretary of the Company and may also be found in the Company’s public filings with the SEC) and be submitted in writing to the Secretary at the principal executive offices.</w:t>
      </w:r>
    </w:p>
    <w:p>
      <w:pPr>
        <w:spacing w:after="0" w:line="203"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In addition, to properly bring any shareholders proposals, including director nominees, at the Company’s 2020 annual meeting of shareholders, shareholders must provide written notice of such proposal to the Secretary of the Company at the principal executive offices of the Company no later than the close of business on March 25, 2021, and not earlier than the close of business on February 23, 2021, assuming the Company does not change the date of the 2021 annual meeting of shareholders by more than 30 days before or 90 days after the anniversary of the Annual Meeting. Any written notice so submitted must comply as to form and substance with the other provisions of the Company’s bylaws and must be submitted in writing to the Secretary at the principal executive offices.</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40"/>
          <w:szCs w:val="40"/>
          <w:color w:val="003B71"/>
        </w:rPr>
        <w:t>OTHER BUSINESS</w:t>
      </w:r>
    </w:p>
    <w:p>
      <w:pPr>
        <w:spacing w:after="0" w:line="20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Board does not presently intend to bring any other business before the Annual Meeting, and, so far as is known to the Board, no matters are to be brought before the Annual Meeting except as specified in the Notice of Annual Meeting. As daily business may properly come before the Annual Meeting, however, it is intended that proxies, in the form enclosed, will be voted in respect thereof in accordance with the judgment of the persons voting such proxies.</w:t>
      </w:r>
    </w:p>
    <w:p>
      <w:pPr>
        <w:spacing w:after="0" w:line="20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Whether or not you expect to attend the meeting, please vote via the Internet, by phone, or by requesting, completing and mailing a paper proxy card, so that your shares may be represented at the meeting.</w:t>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40"/>
          <w:szCs w:val="40"/>
          <w:color w:val="003B71"/>
        </w:rPr>
        <w:t>WHERE YOU CAN FIND MORE INFORMATION</w:t>
      </w:r>
    </w:p>
    <w:p>
      <w:pPr>
        <w:spacing w:after="0" w:line="20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 xml:space="preserve">We will provide, without charge, on the written request of any shareholder, a copy of our 2019 Annual Report on Form 10-K and Proxy Statement. Shareholders should direct such requests to the Company’s Corporate Secretary at 2481 Mañana Drive, Dallas, TX 75220. Our SEC filings are available to the public in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at </w:t>
      </w:r>
      <w:r>
        <w:rPr>
          <w:rFonts w:ascii="Arial" w:cs="Arial" w:eastAsia="Arial" w:hAnsi="Arial"/>
          <w:sz w:val="18"/>
          <w:szCs w:val="18"/>
          <w:u w:val="single" w:color="auto"/>
          <w:color w:val="auto"/>
        </w:rPr>
        <w:t>www.daveandbusters.com.</w:t>
      </w:r>
      <w:r>
        <w:rPr>
          <w:rFonts w:ascii="Arial" w:cs="Arial" w:eastAsia="Arial" w:hAnsi="Arial"/>
          <w:sz w:val="18"/>
          <w:szCs w:val="18"/>
          <w:color w:val="auto"/>
        </w:rPr>
        <w:t xml:space="preserve"> Our 2019 Annual Report on Form 10-K and other information on our website and the SEC’s website are not incorporated by reference in this Proxy Statement.</w:t>
      </w:r>
    </w:p>
    <w:p>
      <w:pPr>
        <w:spacing w:after="0" w:line="129"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58</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003B71"/>
        </w:rPr>
        <w:t>D</w:t>
      </w:r>
      <w:r>
        <w:rPr>
          <w:rFonts w:ascii="Arial" w:cs="Arial" w:eastAsia="Arial" w:hAnsi="Arial"/>
          <w:sz w:val="17"/>
          <w:szCs w:val="17"/>
          <w:b w:val="1"/>
          <w:bCs w:val="1"/>
          <w:color w:val="003B71"/>
        </w:rPr>
        <w:t>AVE</w:t>
      </w:r>
      <w:r>
        <w:rPr>
          <w:rFonts w:ascii="Arial" w:cs="Arial" w:eastAsia="Arial" w:hAnsi="Arial"/>
          <w:sz w:val="22"/>
          <w:szCs w:val="22"/>
          <w:b w:val="1"/>
          <w:bCs w:val="1"/>
          <w:color w:val="003B71"/>
        </w:rPr>
        <w:t xml:space="preserve"> &amp; B</w:t>
      </w:r>
      <w:r>
        <w:rPr>
          <w:rFonts w:ascii="Arial" w:cs="Arial" w:eastAsia="Arial" w:hAnsi="Arial"/>
          <w:sz w:val="17"/>
          <w:szCs w:val="17"/>
          <w:b w:val="1"/>
          <w:bCs w:val="1"/>
          <w:color w:val="003B71"/>
        </w:rPr>
        <w:t>USTER</w:t>
      </w:r>
      <w:r>
        <w:rPr>
          <w:rFonts w:ascii="Arial" w:cs="Arial" w:eastAsia="Arial" w:hAnsi="Arial"/>
          <w:sz w:val="22"/>
          <w:szCs w:val="22"/>
          <w:b w:val="1"/>
          <w:bCs w:val="1"/>
          <w:color w:val="003B71"/>
        </w:rPr>
        <w:t>’</w:t>
      </w:r>
      <w:r>
        <w:rPr>
          <w:rFonts w:ascii="Arial" w:cs="Arial" w:eastAsia="Arial" w:hAnsi="Arial"/>
          <w:sz w:val="17"/>
          <w:szCs w:val="17"/>
          <w:b w:val="1"/>
          <w:bCs w:val="1"/>
          <w:color w:val="003B71"/>
        </w:rPr>
        <w:t>S</w:t>
      </w:r>
      <w:r>
        <w:rPr>
          <w:rFonts w:ascii="Arial" w:cs="Arial" w:eastAsia="Arial" w:hAnsi="Arial"/>
          <w:sz w:val="22"/>
          <w:szCs w:val="22"/>
          <w:b w:val="1"/>
          <w:bCs w:val="1"/>
          <w:color w:val="003B71"/>
        </w:rPr>
        <w:t xml:space="preserve"> E</w:t>
      </w:r>
      <w:r>
        <w:rPr>
          <w:rFonts w:ascii="Arial" w:cs="Arial" w:eastAsia="Arial" w:hAnsi="Arial"/>
          <w:sz w:val="17"/>
          <w:szCs w:val="17"/>
          <w:b w:val="1"/>
          <w:bCs w:val="1"/>
          <w:color w:val="003B71"/>
        </w:rPr>
        <w:t>NTERTAINMENT</w:t>
      </w:r>
      <w:r>
        <w:rPr>
          <w:rFonts w:ascii="Arial" w:cs="Arial" w:eastAsia="Arial" w:hAnsi="Arial"/>
          <w:sz w:val="22"/>
          <w:szCs w:val="22"/>
          <w:b w:val="1"/>
          <w:bCs w:val="1"/>
          <w:color w:val="003B71"/>
        </w:rPr>
        <w:t>, I</w:t>
      </w:r>
      <w:r>
        <w:rPr>
          <w:rFonts w:ascii="Arial" w:cs="Arial" w:eastAsia="Arial" w:hAnsi="Arial"/>
          <w:sz w:val="17"/>
          <w:szCs w:val="17"/>
          <w:b w:val="1"/>
          <w:bCs w:val="1"/>
          <w:color w:val="003B71"/>
        </w:rPr>
        <w:t>NC</w:t>
      </w:r>
      <w:r>
        <w:rPr>
          <w:rFonts w:ascii="Arial" w:cs="Arial" w:eastAsia="Arial" w:hAnsi="Arial"/>
          <w:sz w:val="22"/>
          <w:szCs w:val="22"/>
          <w:b w:val="1"/>
          <w:bCs w:val="1"/>
          <w:color w:val="003B71"/>
        </w:rPr>
        <w:t>.</w:t>
      </w:r>
    </w:p>
    <w:p>
      <w:pPr>
        <w:spacing w:after="0" w:line="1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003B71"/>
        </w:rPr>
        <w:t>P</w:t>
      </w:r>
      <w:r>
        <w:rPr>
          <w:rFonts w:ascii="Arial" w:cs="Arial" w:eastAsia="Arial" w:hAnsi="Arial"/>
          <w:sz w:val="17"/>
          <w:szCs w:val="17"/>
          <w:b w:val="1"/>
          <w:bCs w:val="1"/>
          <w:color w:val="003B71"/>
        </w:rPr>
        <w:t>ROXY</w:t>
      </w:r>
      <w:r>
        <w:rPr>
          <w:rFonts w:ascii="Arial" w:cs="Arial" w:eastAsia="Arial" w:hAnsi="Arial"/>
          <w:sz w:val="22"/>
          <w:szCs w:val="22"/>
          <w:b w:val="1"/>
          <w:bCs w:val="1"/>
          <w:color w:val="003B71"/>
        </w:rPr>
        <w:t xml:space="preserve"> S</w:t>
      </w:r>
      <w:r>
        <w:rPr>
          <w:rFonts w:ascii="Arial" w:cs="Arial" w:eastAsia="Arial" w:hAnsi="Arial"/>
          <w:sz w:val="17"/>
          <w:szCs w:val="17"/>
          <w:b w:val="1"/>
          <w:bCs w:val="1"/>
          <w:color w:val="003B71"/>
        </w:rPr>
        <w:t>TATEMENT</w:t>
      </w:r>
    </w:p>
    <w:p>
      <w:pPr>
        <w:spacing w:after="0" w:line="111" w:lineRule="exact"/>
        <w:rPr>
          <w:sz w:val="20"/>
          <w:szCs w:val="20"/>
          <w:color w:val="auto"/>
        </w:rPr>
      </w:pPr>
    </w:p>
    <w:p>
      <w:pPr>
        <w:ind w:left="2100"/>
        <w:spacing w:after="0"/>
        <w:rPr>
          <w:sz w:val="20"/>
          <w:szCs w:val="20"/>
          <w:color w:val="auto"/>
        </w:rPr>
      </w:pPr>
      <w:r>
        <w:rPr>
          <w:rFonts w:ascii="Arial" w:cs="Arial" w:eastAsia="Arial" w:hAnsi="Arial"/>
          <w:sz w:val="40"/>
          <w:szCs w:val="40"/>
          <w:color w:val="003B71"/>
        </w:rPr>
        <w:t>FAQ’</w:t>
      </w:r>
      <w:r>
        <w:rPr>
          <w:rFonts w:ascii="Arial" w:cs="Arial" w:eastAsia="Arial" w:hAnsi="Arial"/>
          <w:sz w:val="32"/>
          <w:szCs w:val="32"/>
          <w:color w:val="003B71"/>
        </w:rPr>
        <w:t>S</w:t>
      </w:r>
      <w:r>
        <w:rPr>
          <w:rFonts w:ascii="Arial" w:cs="Arial" w:eastAsia="Arial" w:hAnsi="Arial"/>
          <w:sz w:val="40"/>
          <w:szCs w:val="40"/>
          <w:color w:val="003B71"/>
        </w:rPr>
        <w:t xml:space="preserve"> A</w:t>
      </w:r>
      <w:r>
        <w:rPr>
          <w:rFonts w:ascii="Arial" w:cs="Arial" w:eastAsia="Arial" w:hAnsi="Arial"/>
          <w:sz w:val="32"/>
          <w:szCs w:val="32"/>
          <w:color w:val="003B71"/>
        </w:rPr>
        <w:t>BOUT THE</w:t>
      </w:r>
      <w:r>
        <w:rPr>
          <w:rFonts w:ascii="Arial" w:cs="Arial" w:eastAsia="Arial" w:hAnsi="Arial"/>
          <w:sz w:val="40"/>
          <w:szCs w:val="40"/>
          <w:color w:val="003B71"/>
        </w:rPr>
        <w:t xml:space="preserve"> M</w:t>
      </w:r>
      <w:r>
        <w:rPr>
          <w:rFonts w:ascii="Arial" w:cs="Arial" w:eastAsia="Arial" w:hAnsi="Arial"/>
          <w:sz w:val="32"/>
          <w:szCs w:val="32"/>
          <w:color w:val="003B71"/>
        </w:rPr>
        <w:t>EETING AND</w:t>
      </w:r>
      <w:r>
        <w:rPr>
          <w:rFonts w:ascii="Arial" w:cs="Arial" w:eastAsia="Arial" w:hAnsi="Arial"/>
          <w:sz w:val="40"/>
          <w:szCs w:val="40"/>
          <w:color w:val="003B71"/>
        </w:rPr>
        <w:t xml:space="preserve"> V</w:t>
      </w:r>
      <w:r>
        <w:rPr>
          <w:rFonts w:ascii="Arial" w:cs="Arial" w:eastAsia="Arial" w:hAnsi="Arial"/>
          <w:sz w:val="32"/>
          <w:szCs w:val="32"/>
          <w:color w:val="003B71"/>
        </w:rPr>
        <w:t>OTING</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Why did you send this Proxy Statement to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Board of Directors is soliciting this proxy for use at the 2020 Annual Meeting of Shareholders (the “Annual Meeting”) on June 23, 2020, at 8:30 a.m. Central Daylight Time. We posted this Proxy Statement and the accompanying proxy on or about May 13, 2020, to our website at www.daveandbusters.com, and mailed notice on or about May 13, 2020 to all shareholders entitled to vote at the Annual Meeting.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Why are you holding the Annual Meeting being held virtually?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Due to the impact of the COVID-19 pandemic on our social interactions, we have determined that it is prudent to continue social distancing practices and hold the Annual Meeting virtually. We are able to take advantage of the latest technology to conduct the Annual Meeting virtually while taking into the consideration the health and safety of our shareholders, board members, management and invited guests to the Annual Meeting. By conducting our Annual Meeting virtually, we also eliminate many of the costs associated with a physical meeting. In addition, we anticipate that a virtual meeting will provide greater accessibility for stockholders, encourage stockholder participation from a broader geographic scope and improve our ability to communicate more effectively with our stockholders during the meeting. We will evaluate the success of the Annual Meeting in considering whether to continue to conduct the meeting virtually in the future.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How do I participate and vote my shares in a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Annual Meeting will be a completely virtual meeting of shareholders, which will be conducted exclusively by webcast. You are entitled to participate in the Annual Meeting only if you were a shareholder of the Company as of the close of business on the Record Date, or if you hold a valid proxy for the Annual Meeting. No physical meeting will be held. You will be able to listen to the Annual Meeting online and submit your questions during the meeting by visiting www.meetingcenter.io/226537069. You also will be able to vote your shares online by joining the Annual Meeting online.</w:t>
      </w:r>
    </w:p>
    <w:p>
      <w:pPr>
        <w:spacing w:after="0" w:line="20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To register for and participate in the Annual Meeting, you will need to review the information and instructions included on your Notice, on your proxy card or on the instructions that accompanied your proxy materials, including the control number. The password for the meeting is PLAY2020.</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hold your shares through an intermediary, such as a bank or broker, you must register in advance using the instructions below.</w:t>
      </w:r>
    </w:p>
    <w:p>
      <w:pPr>
        <w:spacing w:after="0" w:line="21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online meeting will begin promptly at 8:30 a.m. Central Daylight Time. We encourage you to access the meeting prior to the start time leaving ample time for the check in. Please follow the registration instructions as outlined in this proxy statement.</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How do I register to attend the Annual Meeting virtually on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If you are a registered shareholder (i.e., you hold your shares through our transfer agent, Computershare), you do not need to register to attend the Annual Meeting virtually on the Internet. Please follow the instructions on the notice or proxy card that you received. You will need your control number and the meeting password: PLAY2020 to access the meeting through www.meetingcenter.io/226537069.</w:t>
      </w:r>
    </w:p>
    <w:p>
      <w:pPr>
        <w:spacing w:after="0" w:line="20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If you hold your shares through an intermediary, such as a bank or broker, you must register in advance to attend the Annual Meeting virtually on the Internet, and follow the instructions below.</w:t>
      </w:r>
    </w:p>
    <w:p>
      <w:pPr>
        <w:spacing w:after="0" w:line="364"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59</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To register to attend the Annual Meeting online by webcast you must submit proof of your proxy power (legal proxy) reflecting your Dave &amp; Buster’s Entertainment, Inc. holdings along with your name and email address to Computershare. Requests for registration must be labeled as “Legal Proxy” and be received no later than 5:00 p.m., Eastern Time, on June 9, 2020.</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will receive a confirmation of your registration by email after we receive your registration materials.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Requests for registration should be directed to us at the following:</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 email:</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Forward the email from your broker, or attach an image of your legal proxy, to legalproxy@computershare.com</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 mail:</w:t>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Computershare</w:t>
      </w:r>
    </w:p>
    <w:p>
      <w:pPr>
        <w:ind w:left="560"/>
        <w:spacing w:after="0" w:line="234" w:lineRule="auto"/>
        <w:rPr>
          <w:sz w:val="20"/>
          <w:szCs w:val="20"/>
          <w:color w:val="auto"/>
        </w:rPr>
      </w:pPr>
      <w:r>
        <w:rPr>
          <w:rFonts w:ascii="Arial" w:cs="Arial" w:eastAsia="Arial" w:hAnsi="Arial"/>
          <w:sz w:val="18"/>
          <w:szCs w:val="18"/>
          <w:color w:val="auto"/>
        </w:rPr>
        <w:t>Dave &amp; Buster’s Entertainment, Inc. Legal Proxy</w:t>
      </w:r>
    </w:p>
    <w:p>
      <w:pPr>
        <w:ind w:left="560"/>
        <w:spacing w:after="0" w:line="235" w:lineRule="auto"/>
        <w:rPr>
          <w:sz w:val="20"/>
          <w:szCs w:val="20"/>
          <w:color w:val="auto"/>
        </w:rPr>
      </w:pPr>
      <w:r>
        <w:rPr>
          <w:rFonts w:ascii="Arial" w:cs="Arial" w:eastAsia="Arial" w:hAnsi="Arial"/>
          <w:sz w:val="18"/>
          <w:szCs w:val="18"/>
          <w:color w:val="auto"/>
        </w:rPr>
        <w:t>P.O. Box 43001</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Providence, RI 02940-3001</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Can a guest participate in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Only holders of record of our common stock at the close of business on April 24, 2020, which is the record date, will be entitled to participate and vote at the Annual Meeting. Guests may listen to the online webcast of the Annual Meeting at www.meetingcenter.io/226537069 using the meeting password: PLAY2020. Guests will not be allowed to vote or submit questions.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Who is allowed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Only holders of record of our common stock at the close of business on April 24, 2020, which is the record date, will be entitled to vote at the Annual Meeting. At the close of business on April 24, 2020, we had 36,785,983 shares of common stock outstanding and entitled to vote.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How many votes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Holders of the Company’s common stock are entitled to one vote for each share held as of the record date, April 24, 2020.</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A quorum is required for our shareholders to conduct business at the Annual Meeting. The holders of a majority in voting power of all issued and outstanding stock entitled to vote at the Annual Meeting, participating online during the meeting or represented by proxy, will constitute a quorum for the transaction of business. Abstentions and “broker non-votes” (described below) will be counted in determining whether there is a quorum.</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What is the purpose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purpose of the Annual Meeting is to:</w:t>
      </w:r>
    </w:p>
    <w:p>
      <w:pPr>
        <w:spacing w:after="0" w:line="77" w:lineRule="exact"/>
        <w:rPr>
          <w:sz w:val="20"/>
          <w:szCs w:val="20"/>
          <w:color w:val="auto"/>
        </w:rPr>
      </w:pPr>
    </w:p>
    <w:p>
      <w:pPr>
        <w:ind w:left="540" w:hanging="316"/>
        <w:spacing w:after="0"/>
        <w:tabs>
          <w:tab w:leader="none" w:pos="540" w:val="left"/>
        </w:tabs>
        <w:numPr>
          <w:ilvl w:val="0"/>
          <w:numId w:val="122"/>
        </w:numPr>
        <w:rPr>
          <w:rFonts w:ascii="Arial" w:cs="Arial" w:eastAsia="Arial" w:hAnsi="Arial"/>
          <w:sz w:val="18"/>
          <w:szCs w:val="18"/>
          <w:color w:val="003B71"/>
        </w:rPr>
      </w:pPr>
      <w:r>
        <w:rPr>
          <w:rFonts w:ascii="Arial" w:cs="Arial" w:eastAsia="Arial" w:hAnsi="Arial"/>
          <w:sz w:val="18"/>
          <w:szCs w:val="18"/>
          <w:color w:val="auto"/>
        </w:rPr>
        <w:t>Elect nine (9) directors (Pages 5-10);</w:t>
      </w:r>
    </w:p>
    <w:p>
      <w:pPr>
        <w:spacing w:after="0" w:line="76" w:lineRule="exact"/>
        <w:rPr>
          <w:rFonts w:ascii="Arial" w:cs="Arial" w:eastAsia="Arial" w:hAnsi="Arial"/>
          <w:sz w:val="18"/>
          <w:szCs w:val="18"/>
          <w:color w:val="003B71"/>
        </w:rPr>
      </w:pPr>
    </w:p>
    <w:p>
      <w:pPr>
        <w:ind w:left="540" w:right="20" w:hanging="316"/>
        <w:spacing w:after="0" w:line="246" w:lineRule="auto"/>
        <w:tabs>
          <w:tab w:leader="none" w:pos="540" w:val="left"/>
        </w:tabs>
        <w:numPr>
          <w:ilvl w:val="0"/>
          <w:numId w:val="122"/>
        </w:numPr>
        <w:rPr>
          <w:rFonts w:ascii="Arial" w:cs="Arial" w:eastAsia="Arial" w:hAnsi="Arial"/>
          <w:sz w:val="18"/>
          <w:szCs w:val="18"/>
          <w:color w:val="003B71"/>
        </w:rPr>
      </w:pPr>
      <w:r>
        <w:rPr>
          <w:rFonts w:ascii="Arial" w:cs="Arial" w:eastAsia="Arial" w:hAnsi="Arial"/>
          <w:sz w:val="18"/>
          <w:szCs w:val="18"/>
          <w:color w:val="auto"/>
        </w:rPr>
        <w:t>Vote on ratification of the selection of KPMG LLP as our independent registered public accounting firm for the 2020 Fiscal Year (Page 11);</w:t>
      </w:r>
    </w:p>
    <w:p>
      <w:pPr>
        <w:spacing w:after="0" w:line="61" w:lineRule="exact"/>
        <w:rPr>
          <w:rFonts w:ascii="Arial" w:cs="Arial" w:eastAsia="Arial" w:hAnsi="Arial"/>
          <w:sz w:val="18"/>
          <w:szCs w:val="18"/>
          <w:color w:val="003B71"/>
        </w:rPr>
      </w:pPr>
    </w:p>
    <w:p>
      <w:pPr>
        <w:ind w:left="540" w:hanging="316"/>
        <w:spacing w:after="0"/>
        <w:tabs>
          <w:tab w:leader="none" w:pos="540" w:val="left"/>
        </w:tabs>
        <w:numPr>
          <w:ilvl w:val="0"/>
          <w:numId w:val="122"/>
        </w:numPr>
        <w:rPr>
          <w:rFonts w:ascii="Arial" w:cs="Arial" w:eastAsia="Arial" w:hAnsi="Arial"/>
          <w:sz w:val="18"/>
          <w:szCs w:val="18"/>
          <w:color w:val="003B71"/>
        </w:rPr>
      </w:pPr>
      <w:r>
        <w:rPr>
          <w:rFonts w:ascii="Arial" w:cs="Arial" w:eastAsia="Arial" w:hAnsi="Arial"/>
          <w:sz w:val="18"/>
          <w:szCs w:val="18"/>
          <w:color w:val="auto"/>
        </w:rPr>
        <w:t>Cast an advisory vote on executive compensation (Page 12); and</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122"/>
        </w:numPr>
        <w:rPr>
          <w:rFonts w:ascii="Arial" w:cs="Arial" w:eastAsia="Arial" w:hAnsi="Arial"/>
          <w:sz w:val="18"/>
          <w:szCs w:val="18"/>
          <w:color w:val="003B71"/>
        </w:rPr>
      </w:pPr>
      <w:r>
        <w:rPr>
          <w:rFonts w:ascii="Arial" w:cs="Arial" w:eastAsia="Arial" w:hAnsi="Arial"/>
          <w:sz w:val="18"/>
          <w:szCs w:val="18"/>
          <w:color w:val="auto"/>
        </w:rPr>
        <w:t>Vote to approve the Company’s Amended and Restated 2014 Omnibus Incentive Plan (Pages 13-19); and</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122"/>
        </w:numPr>
        <w:rPr>
          <w:rFonts w:ascii="Arial" w:cs="Arial" w:eastAsia="Arial" w:hAnsi="Arial"/>
          <w:sz w:val="18"/>
          <w:szCs w:val="18"/>
          <w:color w:val="003B71"/>
        </w:rPr>
      </w:pPr>
      <w:r>
        <w:rPr>
          <w:rFonts w:ascii="Arial" w:cs="Arial" w:eastAsia="Arial" w:hAnsi="Arial"/>
          <w:sz w:val="18"/>
          <w:szCs w:val="18"/>
          <w:color w:val="auto"/>
        </w:rPr>
        <w:t>Conduct any other business properly brought before the meeting or any adjournment or postponement thereof.</w:t>
      </w:r>
    </w:p>
    <w:p>
      <w:pPr>
        <w:spacing w:after="0" w:line="136"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60</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What vote is required to approve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Proposal No. 1 – Election of Directors:</w:t>
      </w:r>
    </w:p>
    <w:p>
      <w:pPr>
        <w:spacing w:after="0" w:line="21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affirmative vote of the holders of a majority of the votes cast at the Annual Meeting, participating online during the meeting or represented by proxy, is required to elect each of the nine nominees for director. Abstentions and broker non-votes will have no effect on Proposal No. 1.</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Proposal No. 2 – Ratification of Appointment of Independent Registered Public Accounting Firm:</w:t>
      </w:r>
    </w:p>
    <w:p>
      <w:pPr>
        <w:spacing w:after="0" w:line="21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Ratification requires the affirmative vote of the holders of a majority in voting power of the stock entitled to vote at the Annual Meeting, participating online during the meeting or represented by proxy. Abstentions will count the same as votes against Proposal No. 2. Brokers are permitted to exercise their discretion and vote without specific instruction on this matter. Accordingly, there are no broker non-votes.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Proposal No. 3 – Advisory Vote on Executive Compensation:</w:t>
      </w:r>
    </w:p>
    <w:p>
      <w:pPr>
        <w:spacing w:after="0" w:line="21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approval, in an advisory, non-binding vote, requires the affirmative vote of the holders of a majority in voting power of stock entitled to vote at the Annual Meeting, participating online during the meeting or represented by proxy. Abstentions will count the same as votes against Proposal No. 3. Broker non-votes will have no effect on Proposal No. 3.</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Proposal No. 4 – Approval of the Company’s Amended and Restated 2014 Omnibus Incentive Plan:</w:t>
      </w:r>
    </w:p>
    <w:p>
      <w:pPr>
        <w:spacing w:after="0" w:line="21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affirmative vote of the holders of a majority in voting power of the stock entitled to vote at the Annual Meeting, participating online during the meeting or represented by proxy, is required to approve the amendment. Abstentions will count the same as votes against Proposal No. 4. Broker non-votes will have no effect on Proposal No. 4.</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How do I vote my shares if I am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If you are a registered holder, meaning that you hold our stock directly (not through a bank, broker or other nominee), you may vote online at the Annual Meeting or vote by completing, dating and signing the accompanying proxy and promptly returning it in the envelope enclosed with the paper copies of the proxy materials, or electronically through the Internet by following the instructions included on your proxy card. All signed, returned proxies that are not revoked will be voted in accordance with the instructions contained therein. Signed proxies that give no instructions as to how they should be voted on a particular proposal at the Annual Meeting will be counted as votes “for” such proposal; or in the case of the election of directors, as a vote “for” election to the Board of all nominees presented by the Board.</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How do I vote my shares if they are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If your shares are held through a bank, broker or other nominee, you are considered the beneficial owner of those shares; this is commonly referred to as holding shares in “street name”. You may be able to vote by telephone or electronically through the Internet in accordance with the voting instructions provided by that nominee. You must obtain a legal proxy from the nominee that holds your shares if you wish to vote online at the Annual Meeting. If you do not provide voting instructions to your broker in advance of the Annual Meeting, The NASDAQ Stock Market LLC (“NASDAQ”) rules grant your broker discretionary authority to vote on “routine” proposals. The ratification of the appointment of the independent public accounting firm in Proposal No. 2 is the only item on the agenda for the Annual Meeting that is considered routine. Where a proposal is not “routine,” a broker who has received no instructions from a client does not have discretion to vote such client’s uninstructed shares on that proposal, and the unvoted shares are referred to as “broker non-votes.”</w:t>
      </w:r>
    </w:p>
    <w:p>
      <w:pPr>
        <w:spacing w:after="0" w:line="132"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61</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What happens if not enough votes are received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In the event that sufficient votes in favor of the proposals are not received by the date of the Annual Meeting, the Chairman of the Annual Meeting may adjourn the Annual Meeting to permit further solicitations of proxies.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How do you know I voted over the telephone or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telephone and Internet voting procedures are designed to authenticate shareholders’ identities, to allow shareholders to give their voting instructions and to confirm that shareholders’ instructions have been recorded properly.</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Does it cost to vote over the telephone or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Shareholders voting via the telephone or Internet should understand that there may be costs associated with telephonic or electronic access, such as usage charges from telephone companies and Internet access providers, which must be borne by the shareholder.</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Who pays for the solicitation of proxies and how are they solicited?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expenses of soliciting proxies to be voted at the Annual Meeting will be paid by the Company. Following the original distribution of the proxies and other soliciting materials, the Company and/or its directors, officers or employees (for no additional compensation) may also solicit proxies in person, by telephone, or email. Following the original distribution of the proxies and other soliciting materials, we will request that banks, brokers and other nominees distribute the proxy and other soliciting materials to persons for whom they hold shares of common stock and request authority for the exercise of proxies. We will reimburse banks, brokers and other nominees for reasonable charges and expenses incurred in distributing soliciting materials to their clients.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May I revoke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Any person submitting a proxy has the power to revoke it prior to the Annual Meeting or at the Annual Meeting prior to the vote. A proxy may be revoked by a writing delivered to the Company stating that the proxy is revoked, by (a) a subsequent proxy that is submitted via telephone or Internet no later than 1:00 a.m., Central Daylight Time, on June 23, 2020, (b) a subsequent proxy that is signed by the person who signed the earlier proxy and is delivered before or at the Annual Meeting, or (c) participating online during the Annual Meeting and voting. In order for beneficial owners to change any of their previously reported voting instructions, they must contact their bank, broker or other nominee directly.</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You should be aware that simply attending the meeting will not automatically revoke your previously submitted proxy. If you desire to do so, you must notify an authorized Dave &amp; Buster’s representative at the Annual Meeting of your desire to revoke your proxy and then you must vote online during the Annual Meeting.</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What is 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 xml:space="preserve">We have adopted a procedure approved by the SEC called “householding” under which multiple shareholders who share the same address will receive only one copy of the Annual Report, Proxy Statement, or Notice of Internet Availability of Proxy Materials, as applicable, unless we receive contrary instructions from one or more of the shareholders. If you wish to opt out of householding and receive multiple copies of the proxy materials at the same address, or if you have previously opted out and wish to participate in householding, you may do so by notifying us by mail at Dave &amp; Buster’s Entertainment, Inc., 2481 Mañana Drive, Dallas, TX 75220; Attn: Investor Relations or by email at </w:t>
      </w:r>
      <w:r>
        <w:rPr>
          <w:rFonts w:ascii="Arial" w:cs="Arial" w:eastAsia="Arial" w:hAnsi="Arial"/>
          <w:sz w:val="18"/>
          <w:szCs w:val="18"/>
          <w:u w:val="single" w:color="auto"/>
          <w:color w:val="auto"/>
        </w:rPr>
        <w:t>investorrelations@daveandbusters.com</w:t>
      </w:r>
      <w:r>
        <w:rPr>
          <w:rFonts w:ascii="Arial" w:cs="Arial" w:eastAsia="Arial" w:hAnsi="Arial"/>
          <w:sz w:val="18"/>
          <w:szCs w:val="18"/>
          <w:color w:val="auto"/>
        </w:rPr>
        <w:t>. You may also request additional copies of the proxy materials by notifying us in writing at the same address or email address. Shareholders with shares registered in the name of a brokerage firm or bank may contact their brokerage firm or bank to request information about householding.</w:t>
      </w:r>
    </w:p>
    <w:p>
      <w:pPr>
        <w:spacing w:after="0" w:line="132"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62</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May I receive paper copies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Beginning on May 13, 2020, we mailed notice to all shareholders entitled to vote at the Annual Meeting a Notice Regarding the Availability of Proxy Materials with instructions on how to access our proxy materials over the Internet and how to vote. If you received a notice and would prefer to receive paper copies of the proxy materials you may notify us at the email address and mailing address provided above.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How will my proxy get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If you vote over the phone or the internet or properly fill in and return a paper proxy card (if requested), the designated proxies (Brian A. Jenkins and Robert W. Edmund) will vote your shares as you have directed. If you submit a paper proxy card, but do not make specific choices, the designated proxies will vote your shares as recommended by the Board of Directors as follows: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election of all nine nominees for director;</w:t>
      </w:r>
    </w:p>
    <w:p>
      <w:pPr>
        <w:ind w:left="120"/>
        <w:spacing w:after="0" w:line="234" w:lineRule="auto"/>
        <w:rPr>
          <w:sz w:val="20"/>
          <w:szCs w:val="20"/>
          <w:color w:val="auto"/>
        </w:rPr>
      </w:pPr>
      <w:r>
        <w:rPr>
          <w:rFonts w:ascii="Arial" w:cs="Arial" w:eastAsia="Arial" w:hAnsi="Arial"/>
          <w:sz w:val="18"/>
          <w:szCs w:val="18"/>
          <w:color w:val="auto"/>
        </w:rPr>
        <w:t>FOR ratification of KPMG LLP as our independent registered public accounting firm for fiscal 2020;</w:t>
      </w:r>
    </w:p>
    <w:p>
      <w:pPr>
        <w:spacing w:after="0" w:line="1" w:lineRule="exact"/>
        <w:rPr>
          <w:sz w:val="20"/>
          <w:szCs w:val="20"/>
          <w:color w:val="auto"/>
        </w:rPr>
      </w:pPr>
    </w:p>
    <w:p>
      <w:pPr>
        <w:ind w:left="120" w:right="2600"/>
        <w:spacing w:after="0" w:line="246" w:lineRule="auto"/>
        <w:rPr>
          <w:sz w:val="20"/>
          <w:szCs w:val="20"/>
          <w:color w:val="auto"/>
        </w:rPr>
      </w:pPr>
      <w:r>
        <w:rPr>
          <w:rFonts w:ascii="Arial" w:cs="Arial" w:eastAsia="Arial" w:hAnsi="Arial"/>
          <w:sz w:val="18"/>
          <w:szCs w:val="18"/>
          <w:color w:val="auto"/>
        </w:rPr>
        <w:t>FOR approval, in an advisory, non-binding vote, of the compensation of our named executive officers; and FOR approval of the Company’s Amended and Restated 2014 Omnibus Incentive Plan.</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How will voting on “any other business” be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Although we do not know of any business to be considered at the Annual Meeting other than the proposals described in this Proxy Statement, if any additional business is properly brought before the Annual Meeting, your signed or electronically transmitted proxy card gives authority to the designated proxies to vote on such matters in their discretion.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We have hired a third party, Computershare, to be our inspector of elections, be responsible for determining whether a quorum is present, and tabulate votes casted by proxy or online during the Annual Meeting.</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Where can I find the final voting results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We will announce general voting results at the Annual Meeting and publish final detailed voting results in a Form 8-K filed with the SEC within four business days following the Annual Meeting.</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May shareholders ask questions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Yes, our representatives will answer your questions after the conclusion of the formal business of the Annual Meeting. In order to give a greater number of shareholders an opportunity to ask questions, we may impose certain procedural requirements, such as limiting repetitive or follow-up questions, limiting the amount of time for questions, or requiring questions to be submitted in writing.</w:t>
      </w:r>
    </w:p>
    <w:p>
      <w:pPr>
        <w:spacing w:after="0" w:line="173" w:lineRule="exact"/>
        <w:rPr>
          <w:sz w:val="20"/>
          <w:szCs w:val="20"/>
          <w:color w:val="auto"/>
        </w:rPr>
      </w:pPr>
    </w:p>
    <w:p>
      <w:pPr>
        <w:ind w:left="120" w:right="440"/>
        <w:spacing w:after="0" w:line="288" w:lineRule="auto"/>
        <w:rPr>
          <w:sz w:val="20"/>
          <w:szCs w:val="20"/>
          <w:color w:val="auto"/>
        </w:rPr>
      </w:pPr>
      <w:r>
        <w:rPr>
          <w:rFonts w:ascii="Arial" w:cs="Arial" w:eastAsia="Arial" w:hAnsi="Arial"/>
          <w:sz w:val="25"/>
          <w:szCs w:val="25"/>
          <w:b w:val="1"/>
          <w:bCs w:val="1"/>
          <w:color w:val="4C4C4C"/>
        </w:rPr>
        <w:t>How long may I rely upon the information in this Proxy Statement? May I rely upon other materials as well regarding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You should rely upon the information contained in this Proxy Statement to vote on the proposals at the Annual Meeting. We have not authorized anyone to provide you with information that is different from what is contained in this Proxy Statement. This Proxy Statement is dated May 13, 2020. You should not assume that the information contained in this Proxy Statement is accurate as of any date other than such date, unless otherwise indicated in this Proxy Statement, and the mailing of the Proxy Statement to you shall not create any implication to the contrary. We would encourage you to check our website or the SEC’s website for any required updates that we may make between the date of this Proxy Statement and the date of the Annual Meeting.</w:t>
      </w:r>
    </w:p>
    <w:p>
      <w:pPr>
        <w:spacing w:after="0" w:line="129"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63</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003B71"/>
        </w:rPr>
        <w:t>APPENDIX A</w:t>
      </w:r>
    </w:p>
    <w:p>
      <w:pPr>
        <w:spacing w:after="0" w:line="98"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003B71"/>
        </w:rPr>
        <w:t>Dave &amp; Buster’s Entertainment, Inc.</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003B71"/>
        </w:rPr>
        <w:t>Amended and Restated 2014 Omnibus Incentive Plan</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40"/>
          <w:szCs w:val="40"/>
          <w:color w:val="003B71"/>
        </w:rPr>
        <w:t>TABLE OF CONTENTS</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8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Page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500" w:type="dxa"/>
            <w:vAlign w:val="bottom"/>
          </w:tcPr>
          <w:p>
            <w:pPr>
              <w:ind w:left="60"/>
              <w:spacing w:after="0"/>
              <w:rPr>
                <w:sz w:val="20"/>
                <w:szCs w:val="20"/>
                <w:color w:val="auto"/>
              </w:rPr>
            </w:pPr>
            <w:r>
              <w:rPr>
                <w:rFonts w:ascii="Arial" w:cs="Arial" w:eastAsia="Arial" w:hAnsi="Arial"/>
                <w:sz w:val="18"/>
                <w:szCs w:val="18"/>
                <w:color w:val="auto"/>
              </w:rPr>
              <w:t>1.</w:t>
            </w:r>
          </w:p>
        </w:tc>
        <w:tc>
          <w:tcPr>
            <w:tcW w:w="4020" w:type="dxa"/>
            <w:vAlign w:val="bottom"/>
          </w:tcPr>
          <w:p>
            <w:pPr>
              <w:ind w:left="8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ESTABLISHMENT &amp; PURPOSE</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1.1</w:t>
            </w:r>
          </w:p>
        </w:tc>
        <w:tc>
          <w:tcPr>
            <w:tcW w:w="4020" w:type="dxa"/>
            <w:vAlign w:val="bottom"/>
          </w:tcPr>
          <w:p>
            <w:pPr>
              <w:ind w:left="8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Establishment</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1.2</w:t>
            </w:r>
          </w:p>
        </w:tc>
        <w:tc>
          <w:tcPr>
            <w:tcW w:w="4020" w:type="dxa"/>
            <w:vAlign w:val="bottom"/>
          </w:tcPr>
          <w:p>
            <w:pPr>
              <w:ind w:left="8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Purpose of the Plan</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500" w:type="dxa"/>
            <w:vAlign w:val="bottom"/>
          </w:tcPr>
          <w:p>
            <w:pPr>
              <w:ind w:left="60"/>
              <w:spacing w:after="0"/>
              <w:rPr>
                <w:sz w:val="20"/>
                <w:szCs w:val="20"/>
                <w:color w:val="auto"/>
              </w:rPr>
            </w:pPr>
            <w:r>
              <w:rPr>
                <w:rFonts w:ascii="Arial" w:cs="Arial" w:eastAsia="Arial" w:hAnsi="Arial"/>
                <w:sz w:val="18"/>
                <w:szCs w:val="18"/>
                <w:color w:val="auto"/>
              </w:rPr>
              <w:t>2.</w:t>
            </w:r>
          </w:p>
        </w:tc>
        <w:tc>
          <w:tcPr>
            <w:tcW w:w="4020" w:type="dxa"/>
            <w:vAlign w:val="bottom"/>
          </w:tcPr>
          <w:p>
            <w:pPr>
              <w:ind w:left="8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DEFINITIONS</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500" w:type="dxa"/>
            <w:vAlign w:val="bottom"/>
          </w:tcPr>
          <w:p>
            <w:pPr>
              <w:ind w:left="60"/>
              <w:spacing w:after="0"/>
              <w:rPr>
                <w:sz w:val="20"/>
                <w:szCs w:val="20"/>
                <w:color w:val="auto"/>
              </w:rPr>
            </w:pPr>
            <w:r>
              <w:rPr>
                <w:rFonts w:ascii="Arial" w:cs="Arial" w:eastAsia="Arial" w:hAnsi="Arial"/>
                <w:sz w:val="18"/>
                <w:szCs w:val="18"/>
                <w:color w:val="auto"/>
              </w:rPr>
              <w:t>3.</w:t>
            </w:r>
          </w:p>
        </w:tc>
        <w:tc>
          <w:tcPr>
            <w:tcW w:w="4020" w:type="dxa"/>
            <w:vAlign w:val="bottom"/>
          </w:tcPr>
          <w:p>
            <w:pPr>
              <w:ind w:left="8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ADMINISTRATION</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3.1</w:t>
            </w:r>
          </w:p>
        </w:tc>
        <w:tc>
          <w:tcPr>
            <w:tcW w:w="4020" w:type="dxa"/>
            <w:vAlign w:val="bottom"/>
          </w:tcPr>
          <w:p>
            <w:pPr>
              <w:ind w:left="8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Authority of the Committee</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3.2</w:t>
            </w:r>
          </w:p>
        </w:tc>
        <w:tc>
          <w:tcPr>
            <w:tcW w:w="4020" w:type="dxa"/>
            <w:vAlign w:val="bottom"/>
          </w:tcPr>
          <w:p>
            <w:pPr>
              <w:ind w:left="8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Delegation</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500" w:type="dxa"/>
            <w:vAlign w:val="bottom"/>
          </w:tcPr>
          <w:p>
            <w:pPr>
              <w:ind w:left="60"/>
              <w:spacing w:after="0"/>
              <w:rPr>
                <w:sz w:val="20"/>
                <w:szCs w:val="20"/>
                <w:color w:val="auto"/>
              </w:rPr>
            </w:pPr>
            <w:r>
              <w:rPr>
                <w:rFonts w:ascii="Arial" w:cs="Arial" w:eastAsia="Arial" w:hAnsi="Arial"/>
                <w:sz w:val="18"/>
                <w:szCs w:val="18"/>
                <w:color w:val="auto"/>
              </w:rPr>
              <w:t>4.</w:t>
            </w:r>
          </w:p>
        </w:tc>
        <w:tc>
          <w:tcPr>
            <w:tcW w:w="4020" w:type="dxa"/>
            <w:vAlign w:val="bottom"/>
          </w:tcPr>
          <w:p>
            <w:pPr>
              <w:ind w:left="8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ELIGIBILITY AND PARTICIPATION</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4.1</w:t>
            </w:r>
          </w:p>
        </w:tc>
        <w:tc>
          <w:tcPr>
            <w:tcW w:w="4020" w:type="dxa"/>
            <w:vAlign w:val="bottom"/>
          </w:tcPr>
          <w:p>
            <w:pPr>
              <w:ind w:left="8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Eligibility</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4.2</w:t>
            </w:r>
          </w:p>
        </w:tc>
        <w:tc>
          <w:tcPr>
            <w:tcW w:w="4020" w:type="dxa"/>
            <w:vAlign w:val="bottom"/>
          </w:tcPr>
          <w:p>
            <w:pPr>
              <w:ind w:left="8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Type of Awards</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500" w:type="dxa"/>
            <w:vAlign w:val="bottom"/>
          </w:tcPr>
          <w:p>
            <w:pPr>
              <w:ind w:left="60"/>
              <w:spacing w:after="0"/>
              <w:rPr>
                <w:sz w:val="20"/>
                <w:szCs w:val="20"/>
                <w:color w:val="auto"/>
              </w:rPr>
            </w:pPr>
            <w:r>
              <w:rPr>
                <w:rFonts w:ascii="Arial" w:cs="Arial" w:eastAsia="Arial" w:hAnsi="Arial"/>
                <w:sz w:val="18"/>
                <w:szCs w:val="18"/>
                <w:color w:val="auto"/>
              </w:rPr>
              <w:t>5.</w:t>
            </w:r>
          </w:p>
        </w:tc>
        <w:tc>
          <w:tcPr>
            <w:tcW w:w="6440" w:type="dxa"/>
            <w:vAlign w:val="bottom"/>
            <w:gridSpan w:val="2"/>
          </w:tcPr>
          <w:p>
            <w:pPr>
              <w:ind w:left="8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SHARES SUBJECT TO THE PLAN AND MAXIMUM AWARDS</w:t>
              </w:r>
            </w:hyperlink>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5.1</w:t>
            </w:r>
          </w:p>
        </w:tc>
        <w:tc>
          <w:tcPr>
            <w:tcW w:w="4020" w:type="dxa"/>
            <w:vAlign w:val="bottom"/>
          </w:tcPr>
          <w:p>
            <w:pPr>
              <w:ind w:left="8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General</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5.2</w:t>
            </w:r>
          </w:p>
        </w:tc>
        <w:tc>
          <w:tcPr>
            <w:tcW w:w="4020" w:type="dxa"/>
            <w:vAlign w:val="bottom"/>
          </w:tcPr>
          <w:p>
            <w:pPr>
              <w:ind w:left="8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Annual Award Limits</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5.3</w:t>
            </w:r>
          </w:p>
        </w:tc>
        <w:tc>
          <w:tcPr>
            <w:tcW w:w="4020" w:type="dxa"/>
            <w:vAlign w:val="bottom"/>
          </w:tcPr>
          <w:p>
            <w:pPr>
              <w:ind w:left="8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Additional Shares</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500" w:type="dxa"/>
            <w:vAlign w:val="bottom"/>
          </w:tcPr>
          <w:p>
            <w:pPr>
              <w:ind w:left="60"/>
              <w:spacing w:after="0"/>
              <w:rPr>
                <w:sz w:val="20"/>
                <w:szCs w:val="20"/>
                <w:color w:val="auto"/>
              </w:rPr>
            </w:pPr>
            <w:r>
              <w:rPr>
                <w:rFonts w:ascii="Arial" w:cs="Arial" w:eastAsia="Arial" w:hAnsi="Arial"/>
                <w:sz w:val="18"/>
                <w:szCs w:val="18"/>
                <w:color w:val="auto"/>
              </w:rPr>
              <w:t>6.</w:t>
            </w:r>
          </w:p>
        </w:tc>
        <w:tc>
          <w:tcPr>
            <w:tcW w:w="4020" w:type="dxa"/>
            <w:vAlign w:val="bottom"/>
          </w:tcPr>
          <w:p>
            <w:pPr>
              <w:ind w:left="8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STOCK OPTIONS</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6.1</w:t>
            </w:r>
          </w:p>
        </w:tc>
        <w:tc>
          <w:tcPr>
            <w:tcW w:w="4020" w:type="dxa"/>
            <w:vAlign w:val="bottom"/>
          </w:tcPr>
          <w:p>
            <w:pPr>
              <w:ind w:left="8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Grant of Options</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6.2</w:t>
            </w:r>
          </w:p>
        </w:tc>
        <w:tc>
          <w:tcPr>
            <w:tcW w:w="4020" w:type="dxa"/>
            <w:vAlign w:val="bottom"/>
          </w:tcPr>
          <w:p>
            <w:pPr>
              <w:ind w:left="8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Terms of Option Grant</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6.3</w:t>
            </w:r>
          </w:p>
        </w:tc>
        <w:tc>
          <w:tcPr>
            <w:tcW w:w="4020" w:type="dxa"/>
            <w:vAlign w:val="bottom"/>
          </w:tcPr>
          <w:p>
            <w:pPr>
              <w:ind w:left="8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Option Term</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6.4</w:t>
            </w:r>
          </w:p>
        </w:tc>
        <w:tc>
          <w:tcPr>
            <w:tcW w:w="4020" w:type="dxa"/>
            <w:vAlign w:val="bottom"/>
          </w:tcPr>
          <w:p>
            <w:pPr>
              <w:ind w:left="8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Time of Exercise</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6.5</w:t>
            </w:r>
          </w:p>
        </w:tc>
        <w:tc>
          <w:tcPr>
            <w:tcW w:w="4020" w:type="dxa"/>
            <w:vAlign w:val="bottom"/>
          </w:tcPr>
          <w:p>
            <w:pPr>
              <w:ind w:left="8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Method of Exercise</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6.6</w:t>
            </w:r>
          </w:p>
        </w:tc>
        <w:tc>
          <w:tcPr>
            <w:tcW w:w="4020" w:type="dxa"/>
            <w:vAlign w:val="bottom"/>
          </w:tcPr>
          <w:p>
            <w:pPr>
              <w:ind w:left="8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Limitations on Incentive Stock Options</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6.7</w:t>
            </w:r>
          </w:p>
        </w:tc>
        <w:tc>
          <w:tcPr>
            <w:tcW w:w="4020" w:type="dxa"/>
            <w:vAlign w:val="bottom"/>
          </w:tcPr>
          <w:p>
            <w:pPr>
              <w:ind w:left="8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Performance Goals</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500" w:type="dxa"/>
            <w:vAlign w:val="bottom"/>
          </w:tcPr>
          <w:p>
            <w:pPr>
              <w:ind w:left="60"/>
              <w:spacing w:after="0"/>
              <w:rPr>
                <w:sz w:val="20"/>
                <w:szCs w:val="20"/>
                <w:color w:val="auto"/>
              </w:rPr>
            </w:pPr>
            <w:r>
              <w:rPr>
                <w:rFonts w:ascii="Arial" w:cs="Arial" w:eastAsia="Arial" w:hAnsi="Arial"/>
                <w:sz w:val="18"/>
                <w:szCs w:val="18"/>
                <w:color w:val="auto"/>
              </w:rPr>
              <w:t>7.</w:t>
            </w:r>
          </w:p>
        </w:tc>
        <w:tc>
          <w:tcPr>
            <w:tcW w:w="4020" w:type="dxa"/>
            <w:vAlign w:val="bottom"/>
          </w:tcPr>
          <w:p>
            <w:pPr>
              <w:ind w:left="8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STOCK APPRECIATION RIGHTS</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7.1</w:t>
            </w:r>
          </w:p>
        </w:tc>
        <w:tc>
          <w:tcPr>
            <w:tcW w:w="4020" w:type="dxa"/>
            <w:vAlign w:val="bottom"/>
          </w:tcPr>
          <w:p>
            <w:pPr>
              <w:ind w:left="8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Grant of Stock Appreciation Rights</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7.2</w:t>
            </w:r>
          </w:p>
        </w:tc>
        <w:tc>
          <w:tcPr>
            <w:tcW w:w="4020" w:type="dxa"/>
            <w:vAlign w:val="bottom"/>
          </w:tcPr>
          <w:p>
            <w:pPr>
              <w:ind w:left="8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Terms of Stock Appreciation Right</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7.3</w:t>
            </w:r>
          </w:p>
        </w:tc>
        <w:tc>
          <w:tcPr>
            <w:tcW w:w="4020" w:type="dxa"/>
            <w:vAlign w:val="bottom"/>
          </w:tcPr>
          <w:p>
            <w:pPr>
              <w:ind w:left="8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Tandem Stock Appreciation Rights and Options</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500" w:type="dxa"/>
            <w:vAlign w:val="bottom"/>
          </w:tcPr>
          <w:p>
            <w:pPr>
              <w:ind w:left="60"/>
              <w:spacing w:after="0"/>
              <w:rPr>
                <w:sz w:val="20"/>
                <w:szCs w:val="20"/>
                <w:color w:val="auto"/>
              </w:rPr>
            </w:pPr>
            <w:r>
              <w:rPr>
                <w:rFonts w:ascii="Arial" w:cs="Arial" w:eastAsia="Arial" w:hAnsi="Arial"/>
                <w:sz w:val="18"/>
                <w:szCs w:val="18"/>
                <w:color w:val="auto"/>
              </w:rPr>
              <w:t>8.</w:t>
            </w:r>
          </w:p>
        </w:tc>
        <w:tc>
          <w:tcPr>
            <w:tcW w:w="4020" w:type="dxa"/>
            <w:vAlign w:val="bottom"/>
          </w:tcPr>
          <w:p>
            <w:pPr>
              <w:ind w:left="8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RESTRICTED STOCK</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8.1</w:t>
            </w:r>
          </w:p>
        </w:tc>
        <w:tc>
          <w:tcPr>
            <w:tcW w:w="4020" w:type="dxa"/>
            <w:vAlign w:val="bottom"/>
          </w:tcPr>
          <w:p>
            <w:pPr>
              <w:ind w:left="8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Grant of Restricted Stock</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8.2</w:t>
            </w:r>
          </w:p>
        </w:tc>
        <w:tc>
          <w:tcPr>
            <w:tcW w:w="4020" w:type="dxa"/>
            <w:vAlign w:val="bottom"/>
          </w:tcPr>
          <w:p>
            <w:pPr>
              <w:ind w:left="8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Terms of Restricted Stock Awards</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8.3</w:t>
            </w:r>
          </w:p>
        </w:tc>
        <w:tc>
          <w:tcPr>
            <w:tcW w:w="4020" w:type="dxa"/>
            <w:vAlign w:val="bottom"/>
          </w:tcPr>
          <w:p>
            <w:pPr>
              <w:ind w:left="8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Voting and Dividend Rights</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8.4</w:t>
            </w:r>
          </w:p>
        </w:tc>
        <w:tc>
          <w:tcPr>
            <w:tcW w:w="4020" w:type="dxa"/>
            <w:vAlign w:val="bottom"/>
          </w:tcPr>
          <w:p>
            <w:pPr>
              <w:ind w:left="8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Performance Goals</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8.5</w:t>
            </w:r>
          </w:p>
        </w:tc>
        <w:tc>
          <w:tcPr>
            <w:tcW w:w="4020" w:type="dxa"/>
            <w:vAlign w:val="bottom"/>
          </w:tcPr>
          <w:p>
            <w:pPr>
              <w:ind w:left="8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Section 83(b) Election</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500" w:type="dxa"/>
            <w:vAlign w:val="bottom"/>
          </w:tcPr>
          <w:p>
            <w:pPr>
              <w:ind w:left="60"/>
              <w:spacing w:after="0"/>
              <w:rPr>
                <w:sz w:val="20"/>
                <w:szCs w:val="20"/>
                <w:color w:val="auto"/>
              </w:rPr>
            </w:pPr>
            <w:r>
              <w:rPr>
                <w:rFonts w:ascii="Arial" w:cs="Arial" w:eastAsia="Arial" w:hAnsi="Arial"/>
                <w:sz w:val="18"/>
                <w:szCs w:val="18"/>
                <w:color w:val="auto"/>
              </w:rPr>
              <w:t>9.</w:t>
            </w:r>
          </w:p>
        </w:tc>
        <w:tc>
          <w:tcPr>
            <w:tcW w:w="6440" w:type="dxa"/>
            <w:vAlign w:val="bottom"/>
            <w:gridSpan w:val="2"/>
          </w:tcPr>
          <w:p>
            <w:pPr>
              <w:ind w:left="8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OTHER STOCK-BASED AWARDS; CASH-BASED AWARDS</w:t>
              </w:r>
            </w:hyperlink>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9.1</w:t>
            </w:r>
          </w:p>
        </w:tc>
        <w:tc>
          <w:tcPr>
            <w:tcW w:w="4020" w:type="dxa"/>
            <w:vAlign w:val="bottom"/>
          </w:tcPr>
          <w:p>
            <w:pPr>
              <w:ind w:left="8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Other Stock-Based Awards</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9.2</w:t>
            </w:r>
          </w:p>
        </w:tc>
        <w:tc>
          <w:tcPr>
            <w:tcW w:w="4020" w:type="dxa"/>
            <w:vAlign w:val="bottom"/>
          </w:tcPr>
          <w:p>
            <w:pPr>
              <w:ind w:left="8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Cash-Based Awards</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500" w:type="dxa"/>
            <w:vAlign w:val="bottom"/>
          </w:tcPr>
          <w:p>
            <w:pPr>
              <w:ind w:left="60"/>
              <w:spacing w:after="0"/>
              <w:rPr>
                <w:sz w:val="20"/>
                <w:szCs w:val="20"/>
                <w:color w:val="auto"/>
              </w:rPr>
            </w:pPr>
            <w:r>
              <w:rPr>
                <w:rFonts w:ascii="Arial" w:cs="Arial" w:eastAsia="Arial" w:hAnsi="Arial"/>
                <w:sz w:val="18"/>
                <w:szCs w:val="18"/>
                <w:color w:val="auto"/>
              </w:rPr>
              <w:t>10.</w:t>
            </w:r>
          </w:p>
        </w:tc>
        <w:tc>
          <w:tcPr>
            <w:tcW w:w="4020" w:type="dxa"/>
            <w:vAlign w:val="bottom"/>
          </w:tcPr>
          <w:p>
            <w:pPr>
              <w:ind w:left="8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PERFORMANCE-BASED COMPENSATION</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20" w:type="dxa"/>
            <w:vAlign w:val="bottom"/>
            <w:gridSpan w:val="2"/>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10.1  </w:t>
            </w:r>
            <w:hyperlink w:anchor="page80">
              <w:r>
                <w:rPr>
                  <w:rFonts w:ascii="Arial" w:cs="Arial" w:eastAsia="Arial" w:hAnsi="Arial"/>
                  <w:sz w:val="18"/>
                  <w:szCs w:val="18"/>
                  <w:u w:val="single" w:color="auto"/>
                  <w:color w:val="0000EE"/>
                </w:rPr>
                <w:t>Grant of Performance-Based Compensation</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10.2</w:t>
            </w:r>
          </w:p>
        </w:tc>
        <w:tc>
          <w:tcPr>
            <w:tcW w:w="4020" w:type="dxa"/>
            <w:vAlign w:val="bottom"/>
          </w:tcPr>
          <w:p>
            <w:pPr>
              <w:ind w:left="8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Performance Measures</w:t>
              </w:r>
            </w:hyperlink>
          </w:p>
        </w:tc>
        <w:tc>
          <w:tcPr>
            <w:tcW w:w="2420" w:type="dxa"/>
            <w:vAlign w:val="bottom"/>
          </w:tcPr>
          <w:p>
            <w:pPr>
              <w:spacing w:after="0"/>
              <w:rPr>
                <w:sz w:val="19"/>
                <w:szCs w:val="19"/>
                <w:color w:val="auto"/>
              </w:rPr>
            </w:pPr>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6940" w:type="dxa"/>
            <w:vAlign w:val="bottom"/>
            <w:gridSpan w:val="3"/>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10.3  </w:t>
            </w:r>
            <w:hyperlink w:anchor="page81">
              <w:r>
                <w:rPr>
                  <w:rFonts w:ascii="Arial" w:cs="Arial" w:eastAsia="Arial" w:hAnsi="Arial"/>
                  <w:sz w:val="18"/>
                  <w:szCs w:val="18"/>
                  <w:u w:val="single" w:color="auto"/>
                  <w:color w:val="0000EE"/>
                </w:rPr>
                <w:t>Establishment of Performance Goals for Covered Employees</w:t>
              </w:r>
            </w:hyperlink>
          </w:p>
        </w:tc>
        <w:tc>
          <w:tcPr>
            <w:tcW w:w="3280" w:type="dxa"/>
            <w:vAlign w:val="bottom"/>
            <w:gridSpan w:val="3"/>
          </w:tcPr>
          <w:p>
            <w:pPr>
              <w:ind w:left="2780"/>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135"/>
        </w:trPr>
        <w:tc>
          <w:tcPr>
            <w:tcW w:w="5340" w:type="dxa"/>
            <w:vAlign w:val="bottom"/>
            <w:tcBorders>
              <w:bottom w:val="single" w:sz="8" w:color="003B71"/>
            </w:tcBorders>
            <w:gridSpan w:val="3"/>
          </w:tcPr>
          <w:p>
            <w:pPr>
              <w:spacing w:after="0"/>
              <w:rPr>
                <w:sz w:val="11"/>
                <w:szCs w:val="11"/>
                <w:color w:val="auto"/>
              </w:rPr>
            </w:pPr>
          </w:p>
        </w:tc>
        <w:tc>
          <w:tcPr>
            <w:tcW w:w="2420" w:type="dxa"/>
            <w:vAlign w:val="bottom"/>
            <w:tcBorders>
              <w:bottom w:val="single" w:sz="8" w:color="003B71"/>
            </w:tcBorders>
          </w:tcPr>
          <w:p>
            <w:pPr>
              <w:spacing w:after="0"/>
              <w:rPr>
                <w:sz w:val="11"/>
                <w:szCs w:val="11"/>
                <w:color w:val="auto"/>
              </w:rPr>
            </w:pPr>
          </w:p>
        </w:tc>
        <w:tc>
          <w:tcPr>
            <w:tcW w:w="3260" w:type="dxa"/>
            <w:vAlign w:val="bottom"/>
            <w:tcBorders>
              <w:bottom w:val="single" w:sz="8" w:color="003B71"/>
            </w:tcBorders>
            <w:gridSpan w:val="2"/>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5340" w:type="dxa"/>
            <w:vAlign w:val="bottom"/>
            <w:gridSpan w:val="3"/>
          </w:tcPr>
          <w:p>
            <w:pPr>
              <w:spacing w:after="0"/>
              <w:rPr>
                <w:sz w:val="20"/>
                <w:szCs w:val="20"/>
                <w:color w:val="auto"/>
              </w:rPr>
            </w:pPr>
            <w:r>
              <w:rPr>
                <w:rFonts w:ascii="Arial" w:cs="Arial" w:eastAsia="Arial" w:hAnsi="Arial"/>
                <w:sz w:val="18"/>
                <w:szCs w:val="18"/>
                <w:b w:val="1"/>
                <w:bCs w:val="1"/>
                <w:color w:val="003B71"/>
              </w:rPr>
              <w:t>Dave &amp; Buster’s Entertainment, Inc.</w:t>
            </w:r>
          </w:p>
        </w:tc>
        <w:tc>
          <w:tcPr>
            <w:tcW w:w="2420" w:type="dxa"/>
            <w:vAlign w:val="bottom"/>
          </w:tcPr>
          <w:p>
            <w:pPr>
              <w:ind w:left="180"/>
              <w:spacing w:after="0"/>
              <w:rPr>
                <w:sz w:val="20"/>
                <w:szCs w:val="20"/>
                <w:color w:val="auto"/>
              </w:rPr>
            </w:pPr>
            <w:r>
              <w:rPr>
                <w:rFonts w:ascii="Arial" w:cs="Arial" w:eastAsia="Arial" w:hAnsi="Arial"/>
                <w:sz w:val="18"/>
                <w:szCs w:val="18"/>
                <w:b w:val="1"/>
                <w:bCs w:val="1"/>
                <w:color w:val="4C4C4C"/>
              </w:rPr>
              <w:t>A-1</w:t>
            </w:r>
          </w:p>
        </w:tc>
        <w:tc>
          <w:tcPr>
            <w:tcW w:w="3260" w:type="dxa"/>
            <w:vAlign w:val="bottom"/>
            <w:gridSpan w:val="2"/>
          </w:tcPr>
          <w:p>
            <w:pPr>
              <w:ind w:left="1340"/>
              <w:spacing w:after="0"/>
              <w:rPr>
                <w:sz w:val="20"/>
                <w:szCs w:val="20"/>
                <w:color w:val="auto"/>
              </w:rPr>
            </w:pPr>
            <w:r>
              <w:rPr>
                <w:rFonts w:ascii="Arial" w:cs="Arial" w:eastAsia="Arial" w:hAnsi="Arial"/>
                <w:sz w:val="18"/>
                <w:szCs w:val="18"/>
                <w:b w:val="1"/>
                <w:bCs w:val="1"/>
                <w:color w:val="003B71"/>
                <w:w w:val="99"/>
              </w:rPr>
              <w:t>Eat Drink Play Watch</w:t>
            </w:r>
            <w:r>
              <w:rPr>
                <w:rFonts w:ascii="Arial" w:cs="Arial" w:eastAsia="Arial" w:hAnsi="Arial"/>
                <w:sz w:val="15"/>
                <w:szCs w:val="15"/>
                <w:b w:val="1"/>
                <w:bCs w:val="1"/>
                <w:color w:val="003B71"/>
                <w:w w:val="99"/>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8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Page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10.4</w:t>
            </w:r>
          </w:p>
        </w:tc>
        <w:tc>
          <w:tcPr>
            <w:tcW w:w="4080" w:type="dxa"/>
            <w:vAlign w:val="bottom"/>
          </w:tcPr>
          <w:p>
            <w:pPr>
              <w:ind w:left="100"/>
              <w:spacing w:after="0"/>
              <w:rPr>
                <w:rFonts w:ascii="Arial" w:cs="Arial" w:eastAsia="Arial" w:hAnsi="Arial"/>
                <w:sz w:val="18"/>
                <w:szCs w:val="18"/>
                <w:u w:val="single" w:color="auto"/>
                <w:color w:val="0000EE"/>
                <w:w w:val="99"/>
              </w:rPr>
            </w:pPr>
            <w:hyperlink w:anchor="page81">
              <w:r>
                <w:rPr>
                  <w:rFonts w:ascii="Arial" w:cs="Arial" w:eastAsia="Arial" w:hAnsi="Arial"/>
                  <w:sz w:val="18"/>
                  <w:szCs w:val="18"/>
                  <w:u w:val="single" w:color="auto"/>
                  <w:color w:val="0000EE"/>
                  <w:w w:val="99"/>
                </w:rPr>
                <w:t>Adjustment of Performance-Based Compensation</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10.5</w:t>
            </w:r>
          </w:p>
        </w:tc>
        <w:tc>
          <w:tcPr>
            <w:tcW w:w="4080" w:type="dxa"/>
            <w:vAlign w:val="bottom"/>
          </w:tcPr>
          <w:p>
            <w:pPr>
              <w:ind w:left="10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Certification of Performance</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600" w:type="dxa"/>
            <w:vAlign w:val="bottom"/>
          </w:tcPr>
          <w:p>
            <w:pPr>
              <w:ind w:left="60"/>
              <w:spacing w:after="0"/>
              <w:rPr>
                <w:sz w:val="20"/>
                <w:szCs w:val="20"/>
                <w:color w:val="auto"/>
              </w:rPr>
            </w:pPr>
            <w:r>
              <w:rPr>
                <w:rFonts w:ascii="Arial" w:cs="Arial" w:eastAsia="Arial" w:hAnsi="Arial"/>
                <w:sz w:val="18"/>
                <w:szCs w:val="18"/>
                <w:color w:val="auto"/>
              </w:rPr>
              <w:t>11.</w:t>
            </w:r>
          </w:p>
        </w:tc>
        <w:tc>
          <w:tcPr>
            <w:tcW w:w="7560" w:type="dxa"/>
            <w:vAlign w:val="bottom"/>
            <w:gridSpan w:val="2"/>
          </w:tcPr>
          <w:p>
            <w:pPr>
              <w:ind w:left="10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COMPLIANCE WITH SECTION 409A OF THE CODE AND SECTION 457A OF THE CODE</w:t>
              </w:r>
            </w:hyperlink>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11.1</w:t>
            </w:r>
          </w:p>
        </w:tc>
        <w:tc>
          <w:tcPr>
            <w:tcW w:w="4080" w:type="dxa"/>
            <w:vAlign w:val="bottom"/>
          </w:tcPr>
          <w:p>
            <w:pPr>
              <w:ind w:left="10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General</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11.2</w:t>
            </w:r>
          </w:p>
        </w:tc>
        <w:tc>
          <w:tcPr>
            <w:tcW w:w="4080" w:type="dxa"/>
            <w:vAlign w:val="bottom"/>
          </w:tcPr>
          <w:p>
            <w:pPr>
              <w:ind w:left="10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Payments to Specified Employees</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11.3</w:t>
            </w:r>
          </w:p>
        </w:tc>
        <w:tc>
          <w:tcPr>
            <w:tcW w:w="4080" w:type="dxa"/>
            <w:vAlign w:val="bottom"/>
          </w:tcPr>
          <w:p>
            <w:pPr>
              <w:ind w:left="10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Separation from Service</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11.4</w:t>
            </w:r>
          </w:p>
        </w:tc>
        <w:tc>
          <w:tcPr>
            <w:tcW w:w="4080" w:type="dxa"/>
            <w:vAlign w:val="bottom"/>
          </w:tcPr>
          <w:p>
            <w:pPr>
              <w:ind w:left="10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Section 457A</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600" w:type="dxa"/>
            <w:vAlign w:val="bottom"/>
          </w:tcPr>
          <w:p>
            <w:pPr>
              <w:ind w:left="60"/>
              <w:spacing w:after="0"/>
              <w:rPr>
                <w:sz w:val="20"/>
                <w:szCs w:val="20"/>
                <w:color w:val="auto"/>
              </w:rPr>
            </w:pPr>
            <w:r>
              <w:rPr>
                <w:rFonts w:ascii="Arial" w:cs="Arial" w:eastAsia="Arial" w:hAnsi="Arial"/>
                <w:sz w:val="18"/>
                <w:szCs w:val="18"/>
                <w:color w:val="auto"/>
              </w:rPr>
              <w:t>12.</w:t>
            </w:r>
          </w:p>
        </w:tc>
        <w:tc>
          <w:tcPr>
            <w:tcW w:w="4080" w:type="dxa"/>
            <w:vAlign w:val="bottom"/>
          </w:tcPr>
          <w:p>
            <w:pPr>
              <w:ind w:left="10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ADJUSTMENTS</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12..1</w:t>
            </w:r>
          </w:p>
        </w:tc>
        <w:tc>
          <w:tcPr>
            <w:tcW w:w="4080" w:type="dxa"/>
            <w:vAlign w:val="bottom"/>
          </w:tcPr>
          <w:p>
            <w:pPr>
              <w:ind w:left="10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Adjustments in Authorized Shares</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12.2</w:t>
            </w:r>
          </w:p>
        </w:tc>
        <w:tc>
          <w:tcPr>
            <w:tcW w:w="4080" w:type="dxa"/>
            <w:vAlign w:val="bottom"/>
          </w:tcPr>
          <w:p>
            <w:pPr>
              <w:ind w:left="10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Change of Control</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600" w:type="dxa"/>
            <w:vAlign w:val="bottom"/>
          </w:tcPr>
          <w:p>
            <w:pPr>
              <w:ind w:left="60"/>
              <w:spacing w:after="0"/>
              <w:rPr>
                <w:sz w:val="20"/>
                <w:szCs w:val="20"/>
                <w:color w:val="auto"/>
              </w:rPr>
            </w:pPr>
            <w:r>
              <w:rPr>
                <w:rFonts w:ascii="Arial" w:cs="Arial" w:eastAsia="Arial" w:hAnsi="Arial"/>
                <w:sz w:val="18"/>
                <w:szCs w:val="18"/>
                <w:color w:val="auto"/>
              </w:rPr>
              <w:t>13.</w:t>
            </w:r>
          </w:p>
        </w:tc>
        <w:tc>
          <w:tcPr>
            <w:tcW w:w="7560" w:type="dxa"/>
            <w:vAlign w:val="bottom"/>
            <w:gridSpan w:val="2"/>
          </w:tcPr>
          <w:p>
            <w:pPr>
              <w:ind w:left="10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DURATION, AMENDMENT, MODIFICATION, SUSPENSION AND TERMINATION</w:t>
              </w:r>
            </w:hyperlink>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13.1</w:t>
            </w:r>
          </w:p>
        </w:tc>
        <w:tc>
          <w:tcPr>
            <w:tcW w:w="4080" w:type="dxa"/>
            <w:vAlign w:val="bottom"/>
          </w:tcPr>
          <w:p>
            <w:pPr>
              <w:ind w:left="10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Duration of the Plan</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13.2</w:t>
            </w:r>
          </w:p>
        </w:tc>
        <w:tc>
          <w:tcPr>
            <w:tcW w:w="7560" w:type="dxa"/>
            <w:vAlign w:val="bottom"/>
            <w:gridSpan w:val="2"/>
          </w:tcPr>
          <w:p>
            <w:pPr>
              <w:ind w:left="10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Amendment, Modification, Suspension and Termination of Plan</w:t>
              </w:r>
            </w:hyperlink>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600" w:type="dxa"/>
            <w:vAlign w:val="bottom"/>
          </w:tcPr>
          <w:p>
            <w:pPr>
              <w:ind w:left="60"/>
              <w:spacing w:after="0"/>
              <w:rPr>
                <w:sz w:val="20"/>
                <w:szCs w:val="20"/>
                <w:color w:val="auto"/>
              </w:rPr>
            </w:pPr>
            <w:r>
              <w:rPr>
                <w:rFonts w:ascii="Arial" w:cs="Arial" w:eastAsia="Arial" w:hAnsi="Arial"/>
                <w:sz w:val="18"/>
                <w:szCs w:val="18"/>
                <w:color w:val="auto"/>
              </w:rPr>
              <w:t>14.</w:t>
            </w:r>
          </w:p>
        </w:tc>
        <w:tc>
          <w:tcPr>
            <w:tcW w:w="4080" w:type="dxa"/>
            <w:vAlign w:val="bottom"/>
          </w:tcPr>
          <w:p>
            <w:pPr>
              <w:ind w:left="10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GENERAL PROVISIONS</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14.1</w:t>
            </w:r>
          </w:p>
        </w:tc>
        <w:tc>
          <w:tcPr>
            <w:tcW w:w="4080" w:type="dxa"/>
            <w:vAlign w:val="bottom"/>
          </w:tcPr>
          <w:p>
            <w:pPr>
              <w:ind w:left="10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No Right to Service</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14.2</w:t>
            </w:r>
          </w:p>
        </w:tc>
        <w:tc>
          <w:tcPr>
            <w:tcW w:w="4080" w:type="dxa"/>
            <w:vAlign w:val="bottom"/>
          </w:tcPr>
          <w:p>
            <w:pPr>
              <w:ind w:left="10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Settlement of Awards; Fractional Shares</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14.3</w:t>
            </w:r>
          </w:p>
        </w:tc>
        <w:tc>
          <w:tcPr>
            <w:tcW w:w="4080" w:type="dxa"/>
            <w:vAlign w:val="bottom"/>
          </w:tcPr>
          <w:p>
            <w:pPr>
              <w:ind w:left="10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Tax Withholding</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14.4</w:t>
            </w:r>
          </w:p>
        </w:tc>
        <w:tc>
          <w:tcPr>
            <w:tcW w:w="4080" w:type="dxa"/>
            <w:vAlign w:val="bottom"/>
          </w:tcPr>
          <w:p>
            <w:pPr>
              <w:ind w:left="10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No Guarantees Regarding Tax Treatment</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14.5</w:t>
            </w:r>
          </w:p>
        </w:tc>
        <w:tc>
          <w:tcPr>
            <w:tcW w:w="4080" w:type="dxa"/>
            <w:vAlign w:val="bottom"/>
          </w:tcPr>
          <w:p>
            <w:pPr>
              <w:ind w:left="10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Non-Transferability of Awards</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14.6</w:t>
            </w:r>
          </w:p>
        </w:tc>
        <w:tc>
          <w:tcPr>
            <w:tcW w:w="4080" w:type="dxa"/>
            <w:vAlign w:val="bottom"/>
          </w:tcPr>
          <w:p>
            <w:pPr>
              <w:ind w:left="10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Conditions and Restrictions on Shares</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14.7</w:t>
            </w:r>
          </w:p>
        </w:tc>
        <w:tc>
          <w:tcPr>
            <w:tcW w:w="4080" w:type="dxa"/>
            <w:vAlign w:val="bottom"/>
          </w:tcPr>
          <w:p>
            <w:pPr>
              <w:ind w:left="10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Compliance with Law</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14.8</w:t>
            </w:r>
          </w:p>
        </w:tc>
        <w:tc>
          <w:tcPr>
            <w:tcW w:w="4080" w:type="dxa"/>
            <w:vAlign w:val="bottom"/>
          </w:tcPr>
          <w:p>
            <w:pPr>
              <w:ind w:left="10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Awards to Non-U.S. Employees or Directors</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14.9</w:t>
            </w:r>
          </w:p>
        </w:tc>
        <w:tc>
          <w:tcPr>
            <w:tcW w:w="4080" w:type="dxa"/>
            <w:vAlign w:val="bottom"/>
          </w:tcPr>
          <w:p>
            <w:pPr>
              <w:ind w:left="10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Rights as a Shareholder</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14.10</w:t>
            </w:r>
          </w:p>
        </w:tc>
        <w:tc>
          <w:tcPr>
            <w:tcW w:w="4080" w:type="dxa"/>
            <w:vAlign w:val="bottom"/>
          </w:tcPr>
          <w:p>
            <w:pPr>
              <w:ind w:left="10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Severability</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A-15</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14.11</w:t>
            </w:r>
          </w:p>
        </w:tc>
        <w:tc>
          <w:tcPr>
            <w:tcW w:w="4080" w:type="dxa"/>
            <w:vAlign w:val="bottom"/>
          </w:tcPr>
          <w:p>
            <w:pPr>
              <w:ind w:left="10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Unfunded Plan</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A-15</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14.12</w:t>
            </w:r>
          </w:p>
        </w:tc>
        <w:tc>
          <w:tcPr>
            <w:tcW w:w="4080" w:type="dxa"/>
            <w:vAlign w:val="bottom"/>
          </w:tcPr>
          <w:p>
            <w:pPr>
              <w:ind w:left="10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No Constraint on Corporate Action</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A-15</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14.13</w:t>
            </w:r>
          </w:p>
        </w:tc>
        <w:tc>
          <w:tcPr>
            <w:tcW w:w="4080" w:type="dxa"/>
            <w:vAlign w:val="bottom"/>
          </w:tcPr>
          <w:p>
            <w:pPr>
              <w:ind w:left="10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Successors</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A-15</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14.14</w:t>
            </w:r>
          </w:p>
        </w:tc>
        <w:tc>
          <w:tcPr>
            <w:tcW w:w="4080" w:type="dxa"/>
            <w:vAlign w:val="bottom"/>
          </w:tcPr>
          <w:p>
            <w:pPr>
              <w:ind w:left="10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Governing Law; Jurisdiction; Waiver of Jury Trial</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A-15</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14.15</w:t>
            </w:r>
          </w:p>
        </w:tc>
        <w:tc>
          <w:tcPr>
            <w:tcW w:w="4080" w:type="dxa"/>
            <w:vAlign w:val="bottom"/>
          </w:tcPr>
          <w:p>
            <w:pPr>
              <w:ind w:left="10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Waiver of Certain Claims</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A-15</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14.16</w:t>
            </w:r>
          </w:p>
        </w:tc>
        <w:tc>
          <w:tcPr>
            <w:tcW w:w="4080" w:type="dxa"/>
            <w:vAlign w:val="bottom"/>
          </w:tcPr>
          <w:p>
            <w:pPr>
              <w:ind w:left="10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Data Protection</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A-15</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14.17</w:t>
            </w:r>
          </w:p>
        </w:tc>
        <w:tc>
          <w:tcPr>
            <w:tcW w:w="4080" w:type="dxa"/>
            <w:vAlign w:val="bottom"/>
          </w:tcPr>
          <w:p>
            <w:pPr>
              <w:ind w:left="10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Accounting Restatement</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A-16</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14.18</w:t>
            </w:r>
          </w:p>
        </w:tc>
        <w:tc>
          <w:tcPr>
            <w:tcW w:w="4080" w:type="dxa"/>
            <w:vAlign w:val="bottom"/>
          </w:tcPr>
          <w:p>
            <w:pPr>
              <w:ind w:left="10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Prohibition on Repricing</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A-16</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14.19</w:t>
            </w:r>
          </w:p>
        </w:tc>
        <w:tc>
          <w:tcPr>
            <w:tcW w:w="4080" w:type="dxa"/>
            <w:vAlign w:val="bottom"/>
          </w:tcPr>
          <w:p>
            <w:pPr>
              <w:ind w:left="10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Effective Date</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A-16</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14.20</w:t>
            </w:r>
          </w:p>
        </w:tc>
        <w:tc>
          <w:tcPr>
            <w:tcW w:w="4080" w:type="dxa"/>
            <w:vAlign w:val="bottom"/>
          </w:tcPr>
          <w:p>
            <w:pPr>
              <w:ind w:left="10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Shareholder Approval</w:t>
              </w:r>
            </w:hyperlink>
          </w:p>
        </w:tc>
        <w:tc>
          <w:tcPr>
            <w:tcW w:w="3480" w:type="dxa"/>
            <w:vAlign w:val="bottom"/>
          </w:tcPr>
          <w:p>
            <w:pPr>
              <w:spacing w:after="0"/>
              <w:rPr>
                <w:sz w:val="19"/>
                <w:szCs w:val="19"/>
                <w:color w:val="auto"/>
              </w:rPr>
            </w:pPr>
          </w:p>
        </w:tc>
        <w:tc>
          <w:tcPr>
            <w:tcW w:w="2060" w:type="dxa"/>
            <w:vAlign w:val="bottom"/>
            <w:gridSpan w:val="3"/>
          </w:tcPr>
          <w:p>
            <w:pPr>
              <w:ind w:left="1560"/>
              <w:spacing w:after="0"/>
              <w:rPr>
                <w:sz w:val="20"/>
                <w:szCs w:val="20"/>
                <w:color w:val="auto"/>
              </w:rPr>
            </w:pPr>
            <w:r>
              <w:rPr>
                <w:rFonts w:ascii="Arial" w:cs="Arial" w:eastAsia="Arial" w:hAnsi="Arial"/>
                <w:sz w:val="18"/>
                <w:szCs w:val="18"/>
                <w:color w:val="auto"/>
              </w:rPr>
              <w:t>A-16</w:t>
            </w:r>
          </w:p>
        </w:tc>
        <w:tc>
          <w:tcPr>
            <w:tcW w:w="0" w:type="dxa"/>
            <w:vAlign w:val="bottom"/>
          </w:tcPr>
          <w:p>
            <w:pPr>
              <w:spacing w:after="0"/>
              <w:rPr>
                <w:sz w:val="1"/>
                <w:szCs w:val="1"/>
                <w:color w:val="auto"/>
              </w:rPr>
            </w:pPr>
          </w:p>
        </w:tc>
      </w:tr>
      <w:tr>
        <w:trPr>
          <w:trHeight w:val="135"/>
        </w:trPr>
        <w:tc>
          <w:tcPr>
            <w:tcW w:w="5500" w:type="dxa"/>
            <w:vAlign w:val="bottom"/>
            <w:tcBorders>
              <w:bottom w:val="single" w:sz="8" w:color="003B71"/>
            </w:tcBorders>
            <w:gridSpan w:val="3"/>
          </w:tcPr>
          <w:p>
            <w:pPr>
              <w:spacing w:after="0"/>
              <w:rPr>
                <w:sz w:val="11"/>
                <w:szCs w:val="11"/>
                <w:color w:val="auto"/>
              </w:rPr>
            </w:pPr>
          </w:p>
        </w:tc>
        <w:tc>
          <w:tcPr>
            <w:tcW w:w="3480" w:type="dxa"/>
            <w:vAlign w:val="bottom"/>
            <w:tcBorders>
              <w:bottom w:val="single" w:sz="8" w:color="003B71"/>
            </w:tcBorders>
          </w:tcPr>
          <w:p>
            <w:pPr>
              <w:spacing w:after="0"/>
              <w:rPr>
                <w:sz w:val="11"/>
                <w:szCs w:val="11"/>
                <w:color w:val="auto"/>
              </w:rPr>
            </w:pPr>
          </w:p>
        </w:tc>
        <w:tc>
          <w:tcPr>
            <w:tcW w:w="2040" w:type="dxa"/>
            <w:vAlign w:val="bottom"/>
            <w:tcBorders>
              <w:bottom w:val="single" w:sz="8" w:color="003B71"/>
            </w:tcBorders>
            <w:gridSpan w:val="2"/>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5500" w:type="dxa"/>
            <w:vAlign w:val="bottom"/>
            <w:gridSpan w:val="3"/>
          </w:tcPr>
          <w:p>
            <w:pPr>
              <w:spacing w:after="0"/>
              <w:rPr>
                <w:sz w:val="20"/>
                <w:szCs w:val="20"/>
                <w:color w:val="auto"/>
              </w:rPr>
            </w:pPr>
            <w:r>
              <w:rPr>
                <w:rFonts w:ascii="Arial" w:cs="Arial" w:eastAsia="Arial" w:hAnsi="Arial"/>
                <w:sz w:val="18"/>
                <w:szCs w:val="18"/>
                <w:b w:val="1"/>
                <w:bCs w:val="1"/>
                <w:color w:val="003B71"/>
              </w:rPr>
              <w:t>Dave &amp; Buster’s Entertainment, Inc.</w:t>
            </w:r>
          </w:p>
        </w:tc>
        <w:tc>
          <w:tcPr>
            <w:tcW w:w="3480" w:type="dxa"/>
            <w:vAlign w:val="bottom"/>
          </w:tcPr>
          <w:p>
            <w:pPr>
              <w:ind w:left="20"/>
              <w:spacing w:after="0"/>
              <w:rPr>
                <w:sz w:val="20"/>
                <w:szCs w:val="20"/>
                <w:color w:val="auto"/>
              </w:rPr>
            </w:pPr>
            <w:r>
              <w:rPr>
                <w:rFonts w:ascii="Arial" w:cs="Arial" w:eastAsia="Arial" w:hAnsi="Arial"/>
                <w:sz w:val="18"/>
                <w:szCs w:val="18"/>
                <w:b w:val="1"/>
                <w:bCs w:val="1"/>
                <w:color w:val="4C4C4C"/>
              </w:rPr>
              <w:t>A-2</w:t>
            </w:r>
          </w:p>
        </w:tc>
        <w:tc>
          <w:tcPr>
            <w:tcW w:w="2040" w:type="dxa"/>
            <w:vAlign w:val="bottom"/>
            <w:gridSpan w:val="2"/>
          </w:tcPr>
          <w:p>
            <w:pPr>
              <w:ind w:left="120"/>
              <w:spacing w:after="0"/>
              <w:rPr>
                <w:sz w:val="20"/>
                <w:szCs w:val="20"/>
                <w:color w:val="auto"/>
              </w:rPr>
            </w:pPr>
            <w:r>
              <w:rPr>
                <w:rFonts w:ascii="Arial" w:cs="Arial" w:eastAsia="Arial" w:hAnsi="Arial"/>
                <w:sz w:val="18"/>
                <w:szCs w:val="18"/>
                <w:b w:val="1"/>
                <w:bCs w:val="1"/>
                <w:color w:val="003B71"/>
                <w:w w:val="99"/>
              </w:rPr>
              <w:t>Eat Drink Play Watch</w:t>
            </w:r>
            <w:r>
              <w:rPr>
                <w:rFonts w:ascii="Arial" w:cs="Arial" w:eastAsia="Arial" w:hAnsi="Arial"/>
                <w:sz w:val="15"/>
                <w:szCs w:val="15"/>
                <w:b w:val="1"/>
                <w:bCs w:val="1"/>
                <w:color w:val="003B71"/>
                <w:w w:val="99"/>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003B71"/>
        </w:rPr>
        <w:t>Dave &amp; Buster’s Entertainment, Inc.</w:t>
      </w:r>
    </w:p>
    <w:p>
      <w:pPr>
        <w:spacing w:after="0" w:line="1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003B71"/>
        </w:rPr>
        <w:t>Amended and Restated 2014 Omnibus Incentive Plan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Article 1. Establishment &amp; Purpose</w:t>
      </w:r>
    </w:p>
    <w:p>
      <w:pPr>
        <w:spacing w:after="0" w:line="104"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b w:val="1"/>
          <w:bCs w:val="1"/>
          <w:color w:val="003B71"/>
        </w:rPr>
        <w:t xml:space="preserve">1.1 Establishment. </w:t>
      </w:r>
      <w:r>
        <w:rPr>
          <w:rFonts w:ascii="Arial" w:cs="Arial" w:eastAsia="Arial" w:hAnsi="Arial"/>
          <w:sz w:val="18"/>
          <w:szCs w:val="18"/>
          <w:color w:val="000000"/>
        </w:rPr>
        <w:t>Dave &amp; Buster’s Entertainment, Inc., a Delaware corporation (the “</w:t>
      </w:r>
      <w:r>
        <w:rPr>
          <w:rFonts w:ascii="Arial" w:cs="Arial" w:eastAsia="Arial" w:hAnsi="Arial"/>
          <w:sz w:val="18"/>
          <w:szCs w:val="18"/>
          <w:u w:val="single" w:color="auto"/>
          <w:color w:val="000000"/>
        </w:rPr>
        <w:t>Company</w:t>
      </w:r>
      <w:r>
        <w:rPr>
          <w:rFonts w:ascii="Arial" w:cs="Arial" w:eastAsia="Arial" w:hAnsi="Arial"/>
          <w:sz w:val="18"/>
          <w:szCs w:val="18"/>
          <w:color w:val="000000"/>
        </w:rPr>
        <w:t>”) hereby establishes the Dave &amp;</w:t>
      </w:r>
      <w:r>
        <w:rPr>
          <w:rFonts w:ascii="Arial" w:cs="Arial" w:eastAsia="Arial" w:hAnsi="Arial"/>
          <w:sz w:val="18"/>
          <w:szCs w:val="18"/>
          <w:b w:val="1"/>
          <w:bCs w:val="1"/>
          <w:color w:val="003B71"/>
        </w:rPr>
        <w:t xml:space="preserve"> </w:t>
      </w:r>
      <w:r>
        <w:rPr>
          <w:rFonts w:ascii="Arial" w:cs="Arial" w:eastAsia="Arial" w:hAnsi="Arial"/>
          <w:sz w:val="18"/>
          <w:szCs w:val="18"/>
          <w:color w:val="000000"/>
        </w:rPr>
        <w:t>Buster’s Entertainment, Inc. 2014 Omnibus Incentive Plan, as amended and restated (hereinafter referred to as the “</w:t>
      </w:r>
      <w:r>
        <w:rPr>
          <w:rFonts w:ascii="Arial" w:cs="Arial" w:eastAsia="Arial" w:hAnsi="Arial"/>
          <w:sz w:val="18"/>
          <w:szCs w:val="18"/>
          <w:u w:val="single" w:color="auto"/>
          <w:color w:val="000000"/>
        </w:rPr>
        <w:t>Plan</w:t>
      </w:r>
      <w:r>
        <w:rPr>
          <w:rFonts w:ascii="Arial" w:cs="Arial" w:eastAsia="Arial" w:hAnsi="Arial"/>
          <w:sz w:val="18"/>
          <w:szCs w:val="18"/>
          <w:color w:val="000000"/>
        </w:rPr>
        <w:t>”) as set forth in this document.</w:t>
      </w:r>
    </w:p>
    <w:p>
      <w:pPr>
        <w:spacing w:after="0" w:line="169"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b w:val="1"/>
          <w:bCs w:val="1"/>
          <w:color w:val="003B71"/>
        </w:rPr>
        <w:t xml:space="preserve">1.2 Purpose of the Plan. </w:t>
      </w:r>
      <w:r>
        <w:rPr>
          <w:rFonts w:ascii="Arial" w:cs="Arial" w:eastAsia="Arial" w:hAnsi="Arial"/>
          <w:sz w:val="18"/>
          <w:szCs w:val="18"/>
          <w:color w:val="000000"/>
        </w:rPr>
        <w:t>The purpose of the Plan is to attract, retain and motivate officers, employees, non-employee directors and</w:t>
      </w:r>
      <w:r>
        <w:rPr>
          <w:rFonts w:ascii="Arial" w:cs="Arial" w:eastAsia="Arial" w:hAnsi="Arial"/>
          <w:sz w:val="18"/>
          <w:szCs w:val="18"/>
          <w:b w:val="1"/>
          <w:bCs w:val="1"/>
          <w:color w:val="003B71"/>
        </w:rPr>
        <w:t xml:space="preserve"> </w:t>
      </w:r>
      <w:r>
        <w:rPr>
          <w:rFonts w:ascii="Arial" w:cs="Arial" w:eastAsia="Arial" w:hAnsi="Arial"/>
          <w:sz w:val="18"/>
          <w:szCs w:val="18"/>
          <w:color w:val="000000"/>
        </w:rPr>
        <w:t>consultants providing services to the Company and its Subsidiaries and Affiliates and to promote the success of the Company’s business by providing participants with appropriate incentives.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Article 2. Definitions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Whenever capitalized in the Plan, the following terms shall have the meanings set forth below.</w:t>
      </w:r>
    </w:p>
    <w:p>
      <w:pPr>
        <w:spacing w:after="0" w:line="190" w:lineRule="exact"/>
        <w:rPr>
          <w:sz w:val="20"/>
          <w:szCs w:val="20"/>
          <w:color w:val="auto"/>
        </w:rPr>
      </w:pPr>
    </w:p>
    <w:p>
      <w:pPr>
        <w:jc w:val="both"/>
        <w:ind w:left="120" w:firstLine="440"/>
        <w:spacing w:after="0" w:line="247" w:lineRule="auto"/>
        <w:rPr>
          <w:sz w:val="20"/>
          <w:szCs w:val="20"/>
          <w:color w:val="auto"/>
        </w:rPr>
      </w:pPr>
      <w:r>
        <w:rPr>
          <w:rFonts w:ascii="Arial" w:cs="Arial" w:eastAsia="Arial" w:hAnsi="Arial"/>
          <w:sz w:val="18"/>
          <w:szCs w:val="18"/>
          <w:b w:val="1"/>
          <w:bCs w:val="1"/>
          <w:color w:val="003B71"/>
        </w:rPr>
        <w:t>2.1 “</w:t>
      </w:r>
      <w:r>
        <w:rPr>
          <w:rFonts w:ascii="Arial" w:cs="Arial" w:eastAsia="Arial" w:hAnsi="Arial"/>
          <w:sz w:val="18"/>
          <w:szCs w:val="18"/>
          <w:b w:val="1"/>
          <w:bCs w:val="1"/>
          <w:u w:val="single" w:color="auto"/>
          <w:color w:val="003B71"/>
        </w:rPr>
        <w:t>Affiliate</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any entity that the Company, either directly or indirectly, is in common control with, is controlled by or controls,</w:t>
      </w:r>
      <w:r>
        <w:rPr>
          <w:rFonts w:ascii="Arial" w:cs="Arial" w:eastAsia="Arial" w:hAnsi="Arial"/>
          <w:sz w:val="18"/>
          <w:szCs w:val="18"/>
          <w:b w:val="1"/>
          <w:bCs w:val="1"/>
          <w:color w:val="003B71"/>
        </w:rPr>
        <w:t xml:space="preserve"> </w:t>
      </w:r>
      <w:r>
        <w:rPr>
          <w:rFonts w:ascii="Arial" w:cs="Arial" w:eastAsia="Arial" w:hAnsi="Arial"/>
          <w:sz w:val="18"/>
          <w:szCs w:val="18"/>
          <w:color w:val="000000"/>
        </w:rPr>
        <w:t xml:space="preserve">or any entity in which the Company has a substantial equity interest, direct or indirect;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to the extent that Awards must cover “service recipient stock” in order to comply with Section 409A of the Code, “Affiliate” shall be limited to those entities which could qualify as an “eligible issuer” under Section 409A of the Code.</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3B71"/>
        </w:rPr>
        <w:t>2.2 “</w:t>
      </w:r>
      <w:r>
        <w:rPr>
          <w:rFonts w:ascii="Arial" w:cs="Arial" w:eastAsia="Arial" w:hAnsi="Arial"/>
          <w:sz w:val="18"/>
          <w:szCs w:val="18"/>
          <w:b w:val="1"/>
          <w:bCs w:val="1"/>
          <w:u w:val="single" w:color="auto"/>
          <w:color w:val="003B71"/>
        </w:rPr>
        <w:t>Annual Award Limit</w:t>
      </w:r>
      <w:r>
        <w:rPr>
          <w:rFonts w:ascii="Arial" w:cs="Arial" w:eastAsia="Arial" w:hAnsi="Arial"/>
          <w:sz w:val="18"/>
          <w:szCs w:val="18"/>
          <w:b w:val="1"/>
          <w:bCs w:val="1"/>
          <w:color w:val="003B71"/>
        </w:rPr>
        <w:t xml:space="preserve">” </w:t>
      </w:r>
      <w:r>
        <w:rPr>
          <w:rFonts w:ascii="Arial" w:cs="Arial" w:eastAsia="Arial" w:hAnsi="Arial"/>
          <w:sz w:val="18"/>
          <w:szCs w:val="18"/>
          <w:color w:val="000000"/>
        </w:rPr>
        <w:t>shall have the meaning set forth in Section 5.2.</w:t>
      </w:r>
    </w:p>
    <w:p>
      <w:pPr>
        <w:spacing w:after="0" w:line="212"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8"/>
          <w:szCs w:val="18"/>
          <w:b w:val="1"/>
          <w:bCs w:val="1"/>
          <w:color w:val="003B71"/>
        </w:rPr>
        <w:t>2.3 “</w:t>
      </w:r>
      <w:r>
        <w:rPr>
          <w:rFonts w:ascii="Arial" w:cs="Arial" w:eastAsia="Arial" w:hAnsi="Arial"/>
          <w:sz w:val="18"/>
          <w:szCs w:val="18"/>
          <w:b w:val="1"/>
          <w:bCs w:val="1"/>
          <w:u w:val="single" w:color="auto"/>
          <w:color w:val="003B71"/>
        </w:rPr>
        <w:t>Award</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any Option, Stock Appreciation Right, Restricted Stock, Other Stock-Based Award or Cash-Based Award that is</w:t>
      </w:r>
      <w:r>
        <w:rPr>
          <w:rFonts w:ascii="Arial" w:cs="Arial" w:eastAsia="Arial" w:hAnsi="Arial"/>
          <w:sz w:val="18"/>
          <w:szCs w:val="18"/>
          <w:b w:val="1"/>
          <w:bCs w:val="1"/>
          <w:color w:val="003B71"/>
        </w:rPr>
        <w:t xml:space="preserve"> </w:t>
      </w:r>
      <w:r>
        <w:rPr>
          <w:rFonts w:ascii="Arial" w:cs="Arial" w:eastAsia="Arial" w:hAnsi="Arial"/>
          <w:sz w:val="18"/>
          <w:szCs w:val="18"/>
          <w:color w:val="000000"/>
        </w:rPr>
        <w:t>granted under the Plan.</w:t>
      </w:r>
    </w:p>
    <w:p>
      <w:pPr>
        <w:spacing w:after="0" w:line="154"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b w:val="1"/>
          <w:bCs w:val="1"/>
          <w:color w:val="003B71"/>
        </w:rPr>
        <w:t>2.4 “</w:t>
      </w:r>
      <w:r>
        <w:rPr>
          <w:rFonts w:ascii="Arial" w:cs="Arial" w:eastAsia="Arial" w:hAnsi="Arial"/>
          <w:sz w:val="18"/>
          <w:szCs w:val="18"/>
          <w:b w:val="1"/>
          <w:bCs w:val="1"/>
          <w:u w:val="single" w:color="auto"/>
          <w:color w:val="003B71"/>
        </w:rPr>
        <w:t>Award Agreement</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either (a) a written agreement entered into by the Company and a Participant setting forth the terms</w:t>
      </w:r>
      <w:r>
        <w:rPr>
          <w:rFonts w:ascii="Arial" w:cs="Arial" w:eastAsia="Arial" w:hAnsi="Arial"/>
          <w:sz w:val="18"/>
          <w:szCs w:val="18"/>
          <w:b w:val="1"/>
          <w:bCs w:val="1"/>
          <w:color w:val="003B71"/>
        </w:rPr>
        <w:t xml:space="preserve"> </w:t>
      </w:r>
      <w:r>
        <w:rPr>
          <w:rFonts w:ascii="Arial" w:cs="Arial" w:eastAsia="Arial" w:hAnsi="Arial"/>
          <w:sz w:val="18"/>
          <w:szCs w:val="18"/>
          <w:color w:val="000000"/>
        </w:rPr>
        <w:t>and conditions applicable to an Award, or (b) a written statement issued by the Company to a Participant describing the terms and conditions applicable to an Award, in either case which can be delivered in electronic form.</w:t>
      </w:r>
    </w:p>
    <w:p>
      <w:pPr>
        <w:spacing w:after="0" w:line="169"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8"/>
          <w:szCs w:val="18"/>
          <w:b w:val="1"/>
          <w:bCs w:val="1"/>
          <w:color w:val="003B71"/>
        </w:rPr>
        <w:t>2.5 “</w:t>
      </w:r>
      <w:r>
        <w:rPr>
          <w:rFonts w:ascii="Arial" w:cs="Arial" w:eastAsia="Arial" w:hAnsi="Arial"/>
          <w:sz w:val="18"/>
          <w:szCs w:val="18"/>
          <w:b w:val="1"/>
          <w:bCs w:val="1"/>
          <w:u w:val="single" w:color="auto"/>
          <w:color w:val="003B71"/>
        </w:rPr>
        <w:t>Beneficial Owner</w:t>
      </w:r>
      <w:r>
        <w:rPr>
          <w:rFonts w:ascii="Arial" w:cs="Arial" w:eastAsia="Arial" w:hAnsi="Arial"/>
          <w:sz w:val="18"/>
          <w:szCs w:val="18"/>
          <w:b w:val="1"/>
          <w:bCs w:val="1"/>
          <w:color w:val="003B71"/>
        </w:rPr>
        <w:t xml:space="preserve">” </w:t>
      </w:r>
      <w:r>
        <w:rPr>
          <w:rFonts w:ascii="Arial" w:cs="Arial" w:eastAsia="Arial" w:hAnsi="Arial"/>
          <w:sz w:val="18"/>
          <w:szCs w:val="18"/>
          <w:color w:val="000000"/>
        </w:rPr>
        <w:t>or</w:t>
      </w:r>
      <w:r>
        <w:rPr>
          <w:rFonts w:ascii="Arial" w:cs="Arial" w:eastAsia="Arial" w:hAnsi="Arial"/>
          <w:sz w:val="18"/>
          <w:szCs w:val="18"/>
          <w:b w:val="1"/>
          <w:bCs w:val="1"/>
          <w:color w:val="003B71"/>
        </w:rPr>
        <w:t xml:space="preserve"> “</w:t>
      </w:r>
      <w:r>
        <w:rPr>
          <w:rFonts w:ascii="Arial" w:cs="Arial" w:eastAsia="Arial" w:hAnsi="Arial"/>
          <w:sz w:val="18"/>
          <w:szCs w:val="18"/>
          <w:b w:val="1"/>
          <w:bCs w:val="1"/>
          <w:u w:val="single" w:color="auto"/>
          <w:color w:val="003B71"/>
        </w:rPr>
        <w:t>Beneficial Ownership</w:t>
      </w:r>
      <w:r>
        <w:rPr>
          <w:rFonts w:ascii="Arial" w:cs="Arial" w:eastAsia="Arial" w:hAnsi="Arial"/>
          <w:sz w:val="18"/>
          <w:szCs w:val="18"/>
          <w:b w:val="1"/>
          <w:bCs w:val="1"/>
          <w:color w:val="003B71"/>
        </w:rPr>
        <w:t xml:space="preserve">” </w:t>
      </w:r>
      <w:r>
        <w:rPr>
          <w:rFonts w:ascii="Arial" w:cs="Arial" w:eastAsia="Arial" w:hAnsi="Arial"/>
          <w:sz w:val="18"/>
          <w:szCs w:val="18"/>
          <w:color w:val="000000"/>
        </w:rPr>
        <w:t>shall have the meaning ascribed to such term in Rule 13d-3 of the General</w:t>
      </w:r>
      <w:r>
        <w:rPr>
          <w:rFonts w:ascii="Arial" w:cs="Arial" w:eastAsia="Arial" w:hAnsi="Arial"/>
          <w:sz w:val="18"/>
          <w:szCs w:val="18"/>
          <w:b w:val="1"/>
          <w:bCs w:val="1"/>
          <w:color w:val="003B71"/>
        </w:rPr>
        <w:t xml:space="preserve"> </w:t>
      </w:r>
      <w:r>
        <w:rPr>
          <w:rFonts w:ascii="Arial" w:cs="Arial" w:eastAsia="Arial" w:hAnsi="Arial"/>
          <w:sz w:val="18"/>
          <w:szCs w:val="18"/>
          <w:color w:val="000000"/>
        </w:rPr>
        <w:t>Rules and Regulations under the Exchange Act.</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3B71"/>
        </w:rPr>
        <w:t>2.6 “</w:t>
      </w:r>
      <w:r>
        <w:rPr>
          <w:rFonts w:ascii="Arial" w:cs="Arial" w:eastAsia="Arial" w:hAnsi="Arial"/>
          <w:sz w:val="18"/>
          <w:szCs w:val="18"/>
          <w:b w:val="1"/>
          <w:bCs w:val="1"/>
          <w:u w:val="single" w:color="auto"/>
          <w:color w:val="003B71"/>
        </w:rPr>
        <w:t>Board</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the Board of Directors of the Company.</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3B71"/>
        </w:rPr>
        <w:t>2.7 “</w:t>
      </w:r>
      <w:r>
        <w:rPr>
          <w:rFonts w:ascii="Arial" w:cs="Arial" w:eastAsia="Arial" w:hAnsi="Arial"/>
          <w:sz w:val="18"/>
          <w:szCs w:val="18"/>
          <w:b w:val="1"/>
          <w:bCs w:val="1"/>
          <w:u w:val="single" w:color="auto"/>
          <w:color w:val="003B71"/>
        </w:rPr>
        <w:t>Cash-Based Award</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any right granted under Section 9.2 of the Plan.</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3B71"/>
        </w:rPr>
        <w:t>2.8 “</w:t>
      </w:r>
      <w:r>
        <w:rPr>
          <w:rFonts w:ascii="Arial" w:cs="Arial" w:eastAsia="Arial" w:hAnsi="Arial"/>
          <w:sz w:val="18"/>
          <w:szCs w:val="18"/>
          <w:b w:val="1"/>
          <w:bCs w:val="1"/>
          <w:u w:val="single" w:color="auto"/>
          <w:color w:val="003B71"/>
        </w:rPr>
        <w:t>Change of Control</w:t>
      </w:r>
      <w:r>
        <w:rPr>
          <w:rFonts w:ascii="Arial" w:cs="Arial" w:eastAsia="Arial" w:hAnsi="Arial"/>
          <w:sz w:val="18"/>
          <w:szCs w:val="18"/>
          <w:b w:val="1"/>
          <w:bCs w:val="1"/>
          <w:color w:val="003B71"/>
        </w:rPr>
        <w:t xml:space="preserve">” </w:t>
      </w:r>
      <w:r>
        <w:rPr>
          <w:rFonts w:ascii="Arial" w:cs="Arial" w:eastAsia="Arial" w:hAnsi="Arial"/>
          <w:sz w:val="18"/>
          <w:szCs w:val="18"/>
          <w:color w:val="000000"/>
        </w:rPr>
        <w:t>unless otherwise specified in the Award Agreement, means the occurrence of any of the following events:</w:t>
      </w:r>
    </w:p>
    <w:p>
      <w:pPr>
        <w:spacing w:after="0" w:line="234" w:lineRule="exact"/>
        <w:rPr>
          <w:sz w:val="20"/>
          <w:szCs w:val="20"/>
          <w:color w:val="auto"/>
        </w:rPr>
      </w:pPr>
    </w:p>
    <w:p>
      <w:pPr>
        <w:jc w:val="both"/>
        <w:ind w:left="120" w:right="20" w:firstLine="436"/>
        <w:spacing w:after="0" w:line="234" w:lineRule="auto"/>
        <w:tabs>
          <w:tab w:leader="none" w:pos="83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Person becomes the Beneficial Owner of thirty percent (30%) or more of the combined voting power of the then outstanding voting securities of the Company entitled to vote generally in the election of the members of the Board (the “</w:t>
      </w:r>
      <w:r>
        <w:rPr>
          <w:rFonts w:ascii="Arial" w:cs="Arial" w:eastAsia="Arial" w:hAnsi="Arial"/>
          <w:sz w:val="18"/>
          <w:szCs w:val="18"/>
          <w:u w:val="single" w:color="auto"/>
          <w:color w:val="auto"/>
        </w:rPr>
        <w:t>Outstanding Company Voting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this Section 2.8, the following acquisitions shall not constitute a Change of Control:</w:t>
      </w:r>
    </w:p>
    <w:p>
      <w:pPr>
        <w:spacing w:after="0" w:line="2" w:lineRule="exact"/>
        <w:rPr>
          <w:rFonts w:ascii="Arial" w:cs="Arial" w:eastAsia="Arial" w:hAnsi="Arial"/>
          <w:sz w:val="18"/>
          <w:szCs w:val="18"/>
          <w:color w:val="auto"/>
        </w:rPr>
      </w:pPr>
    </w:p>
    <w:p>
      <w:pPr>
        <w:jc w:val="both"/>
        <w:ind w:left="120" w:right="20" w:hanging="4"/>
        <w:spacing w:after="0" w:line="238" w:lineRule="auto"/>
        <w:tabs>
          <w:tab w:leader="none" w:pos="33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acquisition directly from the Company, including without limitation, a public offering of securities; (ii) any acquisition by the Company or any of its Subsidiaries or Affiliates; (iii) any acquisition by any employee benefit plan or related trust sponsored or maintained by the Company or any of its Subsidiaries or Affiliates; or (iv) any acquisition by any Person pursuant to a transaction which complies with clauses (i), (ii), and (iii) of Section 2.8(c).</w:t>
      </w:r>
    </w:p>
    <w:p>
      <w:pPr>
        <w:spacing w:after="0" w:line="204" w:lineRule="exact"/>
        <w:rPr>
          <w:rFonts w:ascii="Arial" w:cs="Arial" w:eastAsia="Arial" w:hAnsi="Arial"/>
          <w:sz w:val="18"/>
          <w:szCs w:val="18"/>
          <w:color w:val="auto"/>
        </w:rPr>
      </w:pPr>
    </w:p>
    <w:p>
      <w:pPr>
        <w:jc w:val="both"/>
        <w:ind w:left="120" w:firstLine="436"/>
        <w:spacing w:after="0" w:line="238" w:lineRule="auto"/>
        <w:tabs>
          <w:tab w:leader="none" w:pos="83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Individuals who constitute the Board as of the Effective Date (the “</w:t>
      </w:r>
      <w:r>
        <w:rPr>
          <w:rFonts w:ascii="Arial" w:cs="Arial" w:eastAsia="Arial" w:hAnsi="Arial"/>
          <w:sz w:val="18"/>
          <w:szCs w:val="18"/>
          <w:u w:val="single" w:color="auto"/>
          <w:color w:val="auto"/>
        </w:rPr>
        <w:t>Incumbent Board</w:t>
      </w:r>
      <w:r>
        <w:rPr>
          <w:rFonts w:ascii="Arial" w:cs="Arial" w:eastAsia="Arial" w:hAnsi="Arial"/>
          <w:sz w:val="18"/>
          <w:szCs w:val="18"/>
          <w:color w:val="auto"/>
        </w:rPr>
        <w:t xml:space="preserve">”) cease for any reason to constitute at least a majority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that any individual becoming a member of the Board subsequent to the Effective Date whose election to the Board, or nomination for election by one or more of the Company’s shareholders, was approved by a vote of at least a majority of the members of the Board then comprising the</w:t>
      </w:r>
    </w:p>
    <w:p>
      <w:pPr>
        <w:spacing w:after="0" w:line="129"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A-3</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Incumbent Board, shall be considered as though such individual were a member of the Incumbent Board, but excluding, for this purpose, any such individual whose initial assumption of office is in connection with an actual or threatened election contest relating to the election or removal of any members of the Board or other actual or threatened solicitation of proxies or consents by or on behalf of a Person other than the Board.</w:t>
      </w:r>
    </w:p>
    <w:p>
      <w:pPr>
        <w:spacing w:after="0" w:line="205" w:lineRule="exact"/>
        <w:rPr>
          <w:sz w:val="20"/>
          <w:szCs w:val="20"/>
          <w:color w:val="auto"/>
        </w:rPr>
      </w:pPr>
    </w:p>
    <w:p>
      <w:pPr>
        <w:jc w:val="both"/>
        <w:ind w:left="120" w:firstLine="436"/>
        <w:spacing w:after="0" w:line="235" w:lineRule="auto"/>
        <w:tabs>
          <w:tab w:leader="none" w:pos="84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Consummation of a reorganization, merger, amalgamation, statutory share exchange, consolidation or like event to which the Company is a party or a sale or other disposition of all or substantially all of the assets of the Company (a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unless, following such Business Combination: (i) all or substantially all of the individuals and entities who were the Beneficial Owners of Outstanding Company Voting Securities immediately prior to such Business Combination are the Beneficial Owners, directly or indirectly, of more than fifty percent (50%) of the combined voting power of the outstanding voting securities entitled to vote generally in the election of directors (or election of members of a comparable governing body) of the entity resulting from the Business Combination (including, without limitation, an entity which as a result of such transaction owns all or substantially all of the Company or all or substantially all of the Company’s assets either directly or through one or more Subsidiaries) (the “</w:t>
      </w:r>
      <w:r>
        <w:rPr>
          <w:rFonts w:ascii="Arial" w:cs="Arial" w:eastAsia="Arial" w:hAnsi="Arial"/>
          <w:sz w:val="18"/>
          <w:szCs w:val="18"/>
          <w:u w:val="single" w:color="auto"/>
          <w:color w:val="auto"/>
        </w:rPr>
        <w:t>Successor Entity</w:t>
      </w:r>
      <w:r>
        <w:rPr>
          <w:rFonts w:ascii="Arial" w:cs="Arial" w:eastAsia="Arial" w:hAnsi="Arial"/>
          <w:sz w:val="18"/>
          <w:szCs w:val="18"/>
          <w:color w:val="auto"/>
        </w:rPr>
        <w:t>”) in substantially the same proportions as their ownership immediately prior to such Business Combination of the Outstanding Company Voting Securities; (ii) no Person (excluding any Successor Entity or any employee benefit plan or related trust of the Company, such Successor Entity, or any of their Subsidiaries) is the Beneficial Owner, directly or indirectly, of thirty percent (30%) or more of the combined voting power of the then outstanding voting securities entitled to vote generally in the election of directors (or comparable governing body) of the Successor Entity, except to the extent that such ownership existed prior to the Business Combination; and (iii) at least a majority of the members of the board of directors (or comparable governing body) of the Successor Entity were members of the Incumbent Board (including persons deemed to be members of the Incumbent Board by reason of the proviso of Section 2.8(b)) at the time of the execution of the initial agreement or of the action of the Board providing for such Business Combination; or</w:t>
      </w:r>
    </w:p>
    <w:p>
      <w:pPr>
        <w:spacing w:after="0" w:line="213" w:lineRule="exact"/>
        <w:rPr>
          <w:rFonts w:ascii="Arial" w:cs="Arial" w:eastAsia="Arial" w:hAnsi="Arial"/>
          <w:sz w:val="18"/>
          <w:szCs w:val="18"/>
          <w:color w:val="auto"/>
        </w:rPr>
      </w:pPr>
    </w:p>
    <w:p>
      <w:pPr>
        <w:ind w:left="820" w:hanging="264"/>
        <w:spacing w:after="0"/>
        <w:tabs>
          <w:tab w:leader="none" w:pos="8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212" w:lineRule="exact"/>
        <w:rPr>
          <w:sz w:val="20"/>
          <w:szCs w:val="20"/>
          <w:color w:val="auto"/>
        </w:rPr>
      </w:pPr>
    </w:p>
    <w:p>
      <w:pPr>
        <w:jc w:val="both"/>
        <w:ind w:left="120" w:right="20" w:firstLine="440"/>
        <w:spacing w:after="0" w:line="246" w:lineRule="auto"/>
        <w:rPr>
          <w:sz w:val="20"/>
          <w:szCs w:val="20"/>
          <w:color w:val="auto"/>
        </w:rPr>
      </w:pPr>
      <w:r>
        <w:rPr>
          <w:rFonts w:ascii="Arial" w:cs="Arial" w:eastAsia="Arial" w:hAnsi="Arial"/>
          <w:sz w:val="18"/>
          <w:szCs w:val="18"/>
          <w:color w:val="auto"/>
        </w:rPr>
        <w:t>To the extent necessary to comply with Section 409A of the Code with respect to the payment of deferred compensation, “Change of Control” shall be limited to a “change in control event” as defined under Section 409A of the Code.</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3B71"/>
        </w:rPr>
        <w:t>2.9 “</w:t>
      </w:r>
      <w:r>
        <w:rPr>
          <w:rFonts w:ascii="Arial" w:cs="Arial" w:eastAsia="Arial" w:hAnsi="Arial"/>
          <w:sz w:val="18"/>
          <w:szCs w:val="18"/>
          <w:b w:val="1"/>
          <w:bCs w:val="1"/>
          <w:u w:val="single" w:color="auto"/>
          <w:color w:val="003B71"/>
        </w:rPr>
        <w:t>Code</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the U.S. Internal Revenue Code of 1986, as amended from time to time.</w:t>
      </w:r>
    </w:p>
    <w:p>
      <w:pPr>
        <w:spacing w:after="0" w:line="212" w:lineRule="exact"/>
        <w:rPr>
          <w:sz w:val="20"/>
          <w:szCs w:val="20"/>
          <w:color w:val="auto"/>
        </w:rPr>
      </w:pPr>
    </w:p>
    <w:p>
      <w:pPr>
        <w:jc w:val="both"/>
        <w:ind w:left="120" w:right="20" w:firstLine="440"/>
        <w:spacing w:after="0" w:line="244" w:lineRule="auto"/>
        <w:rPr>
          <w:sz w:val="20"/>
          <w:szCs w:val="20"/>
          <w:color w:val="auto"/>
        </w:rPr>
      </w:pPr>
      <w:r>
        <w:rPr>
          <w:rFonts w:ascii="Arial" w:cs="Arial" w:eastAsia="Arial" w:hAnsi="Arial"/>
          <w:sz w:val="18"/>
          <w:szCs w:val="18"/>
          <w:b w:val="1"/>
          <w:bCs w:val="1"/>
          <w:color w:val="003B71"/>
        </w:rPr>
        <w:t>2.10 “</w:t>
      </w:r>
      <w:r>
        <w:rPr>
          <w:rFonts w:ascii="Arial" w:cs="Arial" w:eastAsia="Arial" w:hAnsi="Arial"/>
          <w:sz w:val="18"/>
          <w:szCs w:val="18"/>
          <w:b w:val="1"/>
          <w:bCs w:val="1"/>
          <w:u w:val="single" w:color="auto"/>
          <w:color w:val="003B71"/>
        </w:rPr>
        <w:t>Committee</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the Compensation Committee of the Board, the Plan Subcommittee of the Compensation Committee of</w:t>
      </w:r>
      <w:r>
        <w:rPr>
          <w:rFonts w:ascii="Arial" w:cs="Arial" w:eastAsia="Arial" w:hAnsi="Arial"/>
          <w:sz w:val="18"/>
          <w:szCs w:val="18"/>
          <w:b w:val="1"/>
          <w:bCs w:val="1"/>
          <w:color w:val="003B71"/>
        </w:rPr>
        <w:t xml:space="preserve"> </w:t>
      </w:r>
      <w:r>
        <w:rPr>
          <w:rFonts w:ascii="Arial" w:cs="Arial" w:eastAsia="Arial" w:hAnsi="Arial"/>
          <w:sz w:val="18"/>
          <w:szCs w:val="18"/>
          <w:color w:val="000000"/>
        </w:rPr>
        <w:t>the Board or any other committee or subcommittee designated by the Board to administer the Plan. To the extent applicable, the Committee shall have at least two members, each of whom shall be (a) a Non-Employee Director, (b) an Outside Director (solely to the extent necessary under applicable regulations), and (c) an “independent director” within the meaning of the listing requirements of any exchange on which the Company is listed.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3B71"/>
        </w:rPr>
        <w:t>2.11 “</w:t>
      </w:r>
      <w:r>
        <w:rPr>
          <w:rFonts w:ascii="Arial" w:cs="Arial" w:eastAsia="Arial" w:hAnsi="Arial"/>
          <w:sz w:val="18"/>
          <w:szCs w:val="18"/>
          <w:b w:val="1"/>
          <w:bCs w:val="1"/>
          <w:u w:val="single" w:color="auto"/>
          <w:color w:val="003B71"/>
        </w:rPr>
        <w:t>Company</w:t>
      </w:r>
      <w:r>
        <w:rPr>
          <w:rFonts w:ascii="Arial" w:cs="Arial" w:eastAsia="Arial" w:hAnsi="Arial"/>
          <w:sz w:val="18"/>
          <w:szCs w:val="18"/>
          <w:b w:val="1"/>
          <w:bCs w:val="1"/>
          <w:color w:val="003B71"/>
        </w:rPr>
        <w:t xml:space="preserve">” </w:t>
      </w:r>
      <w:r>
        <w:rPr>
          <w:rFonts w:ascii="Arial" w:cs="Arial" w:eastAsia="Arial" w:hAnsi="Arial"/>
          <w:sz w:val="18"/>
          <w:szCs w:val="18"/>
          <w:color w:val="000000"/>
        </w:rPr>
        <w:t>shall have the meaning set forth in Section 1.1.</w:t>
      </w:r>
    </w:p>
    <w:p>
      <w:pPr>
        <w:spacing w:after="0" w:line="212"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8"/>
          <w:szCs w:val="18"/>
          <w:b w:val="1"/>
          <w:bCs w:val="1"/>
          <w:color w:val="003B71"/>
        </w:rPr>
        <w:t>2.12 “</w:t>
      </w:r>
      <w:r>
        <w:rPr>
          <w:rFonts w:ascii="Arial" w:cs="Arial" w:eastAsia="Arial" w:hAnsi="Arial"/>
          <w:sz w:val="18"/>
          <w:szCs w:val="18"/>
          <w:b w:val="1"/>
          <w:bCs w:val="1"/>
          <w:u w:val="single" w:color="auto"/>
          <w:color w:val="003B71"/>
        </w:rPr>
        <w:t>Consultant</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any person who provides bona fide services to the Company or any Subsidiary or Affiliate as a consultant</w:t>
      </w:r>
      <w:r>
        <w:rPr>
          <w:rFonts w:ascii="Arial" w:cs="Arial" w:eastAsia="Arial" w:hAnsi="Arial"/>
          <w:sz w:val="18"/>
          <w:szCs w:val="18"/>
          <w:b w:val="1"/>
          <w:bCs w:val="1"/>
          <w:color w:val="003B71"/>
        </w:rPr>
        <w:t xml:space="preserve"> </w:t>
      </w:r>
      <w:r>
        <w:rPr>
          <w:rFonts w:ascii="Arial" w:cs="Arial" w:eastAsia="Arial" w:hAnsi="Arial"/>
          <w:sz w:val="18"/>
          <w:szCs w:val="18"/>
          <w:color w:val="000000"/>
        </w:rPr>
        <w:t>or advisor, excluding any Employee or Director.</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3B71"/>
        </w:rPr>
        <w:t>2.13 Intentionally Omitted.</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3B71"/>
        </w:rPr>
        <w:t>2.14 “</w:t>
      </w:r>
      <w:r>
        <w:rPr>
          <w:rFonts w:ascii="Arial" w:cs="Arial" w:eastAsia="Arial" w:hAnsi="Arial"/>
          <w:sz w:val="18"/>
          <w:szCs w:val="18"/>
          <w:b w:val="1"/>
          <w:bCs w:val="1"/>
          <w:u w:val="single" w:color="auto"/>
          <w:color w:val="003B71"/>
        </w:rPr>
        <w:t>Director</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a member of the Board who is not an Employee.</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3B71"/>
        </w:rPr>
        <w:t>2.15 “</w:t>
      </w:r>
      <w:r>
        <w:rPr>
          <w:rFonts w:ascii="Arial" w:cs="Arial" w:eastAsia="Arial" w:hAnsi="Arial"/>
          <w:sz w:val="18"/>
          <w:szCs w:val="18"/>
          <w:b w:val="1"/>
          <w:bCs w:val="1"/>
          <w:u w:val="single" w:color="auto"/>
          <w:color w:val="003B71"/>
        </w:rPr>
        <w:t>Effective Date</w:t>
      </w:r>
      <w:r>
        <w:rPr>
          <w:rFonts w:ascii="Arial" w:cs="Arial" w:eastAsia="Arial" w:hAnsi="Arial"/>
          <w:sz w:val="18"/>
          <w:szCs w:val="18"/>
          <w:b w:val="1"/>
          <w:bCs w:val="1"/>
          <w:color w:val="003B71"/>
        </w:rPr>
        <w:t xml:space="preserve">” </w:t>
      </w:r>
      <w:r>
        <w:rPr>
          <w:rFonts w:ascii="Arial" w:cs="Arial" w:eastAsia="Arial" w:hAnsi="Arial"/>
          <w:sz w:val="18"/>
          <w:szCs w:val="18"/>
          <w:color w:val="000000"/>
        </w:rPr>
        <w:t>shall have the meaning set forth in Section 14.17.</w:t>
      </w:r>
    </w:p>
    <w:p>
      <w:pPr>
        <w:spacing w:after="0" w:line="212"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b w:val="1"/>
          <w:bCs w:val="1"/>
          <w:color w:val="003B71"/>
        </w:rPr>
        <w:t>2.16 “</w:t>
      </w:r>
      <w:r>
        <w:rPr>
          <w:rFonts w:ascii="Arial" w:cs="Arial" w:eastAsia="Arial" w:hAnsi="Arial"/>
          <w:sz w:val="18"/>
          <w:szCs w:val="18"/>
          <w:b w:val="1"/>
          <w:bCs w:val="1"/>
          <w:u w:val="single" w:color="auto"/>
          <w:color w:val="003B71"/>
        </w:rPr>
        <w:t>Employee</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an officer or other employee of the Company, a Subsidiary or Affiliate, including a member of the Board</w:t>
      </w:r>
      <w:r>
        <w:rPr>
          <w:rFonts w:ascii="Arial" w:cs="Arial" w:eastAsia="Arial" w:hAnsi="Arial"/>
          <w:sz w:val="18"/>
          <w:szCs w:val="18"/>
          <w:b w:val="1"/>
          <w:bCs w:val="1"/>
          <w:color w:val="003B71"/>
        </w:rPr>
        <w:t xml:space="preserve"> </w:t>
      </w:r>
      <w:r>
        <w:rPr>
          <w:rFonts w:ascii="Arial" w:cs="Arial" w:eastAsia="Arial" w:hAnsi="Arial"/>
          <w:sz w:val="18"/>
          <w:szCs w:val="18"/>
          <w:color w:val="000000"/>
        </w:rPr>
        <w:t>who is an employee of the Company, a Subsidiary or Affiliate and individuals who have accepted a written offer of employment with the Company, a Subsidiary or Affiliate.</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3B71"/>
        </w:rPr>
        <w:t>2.17 “</w:t>
      </w:r>
      <w:r>
        <w:rPr>
          <w:rFonts w:ascii="Arial" w:cs="Arial" w:eastAsia="Arial" w:hAnsi="Arial"/>
          <w:sz w:val="18"/>
          <w:szCs w:val="18"/>
          <w:b w:val="1"/>
          <w:bCs w:val="1"/>
          <w:u w:val="single" w:color="auto"/>
          <w:color w:val="003B71"/>
        </w:rPr>
        <w:t>Exchange Act</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the Securities Exchange Act of 1934, as amended from time to time.</w:t>
      </w:r>
    </w:p>
    <w:p>
      <w:pPr>
        <w:spacing w:after="0" w:line="158"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A-4</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b w:val="1"/>
          <w:bCs w:val="1"/>
          <w:color w:val="003B71"/>
        </w:rPr>
        <w:t>2.18 “</w:t>
      </w:r>
      <w:r>
        <w:rPr>
          <w:rFonts w:ascii="Arial" w:cs="Arial" w:eastAsia="Arial" w:hAnsi="Arial"/>
          <w:sz w:val="18"/>
          <w:szCs w:val="18"/>
          <w:b w:val="1"/>
          <w:bCs w:val="1"/>
          <w:u w:val="single" w:color="auto"/>
          <w:color w:val="003B71"/>
        </w:rPr>
        <w:t>Fair Market Value</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as of any date, the per Share value determined as follows, in accordance with applicable</w:t>
      </w:r>
      <w:r>
        <w:rPr>
          <w:rFonts w:ascii="Arial" w:cs="Arial" w:eastAsia="Arial" w:hAnsi="Arial"/>
          <w:sz w:val="18"/>
          <w:szCs w:val="18"/>
          <w:b w:val="1"/>
          <w:bCs w:val="1"/>
          <w:color w:val="003B71"/>
        </w:rPr>
        <w:t xml:space="preserve"> </w:t>
      </w:r>
      <w:r>
        <w:rPr>
          <w:rFonts w:ascii="Arial" w:cs="Arial" w:eastAsia="Arial" w:hAnsi="Arial"/>
          <w:sz w:val="18"/>
          <w:szCs w:val="18"/>
          <w:color w:val="000000"/>
        </w:rPr>
        <w:t>provisions of Section 409A of the Code:</w:t>
      </w:r>
    </w:p>
    <w:p>
      <w:pPr>
        <w:spacing w:after="0" w:line="176" w:lineRule="exact"/>
        <w:rPr>
          <w:sz w:val="20"/>
          <w:szCs w:val="20"/>
          <w:color w:val="auto"/>
        </w:rPr>
      </w:pPr>
    </w:p>
    <w:p>
      <w:pPr>
        <w:jc w:val="both"/>
        <w:ind w:left="120" w:firstLine="436"/>
        <w:spacing w:after="0" w:line="238" w:lineRule="auto"/>
        <w:tabs>
          <w:tab w:leader="none" w:pos="83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At the Committee’s discretion, any of (i) the average of the high and low trading price, (ii) the average of the high and low trading price for the preceding 30 days, (iii) the closing price, in each case, as reported on NASDAQ or any other recognized national exchange or any established over-the-counter trading system on which dealings take place, or, if no trades were made on any such day, the immediately preceding day on which trades were made or (iv) as otherwise reasonably determined by the Committee in good faith based on actual transactions in Shares; or</w:t>
      </w:r>
    </w:p>
    <w:p>
      <w:pPr>
        <w:spacing w:after="0" w:line="202" w:lineRule="exact"/>
        <w:rPr>
          <w:rFonts w:ascii="Arial" w:cs="Arial" w:eastAsia="Arial" w:hAnsi="Arial"/>
          <w:sz w:val="18"/>
          <w:szCs w:val="18"/>
          <w:color w:val="auto"/>
        </w:rPr>
      </w:pPr>
    </w:p>
    <w:p>
      <w:pPr>
        <w:ind w:left="120" w:firstLine="436"/>
        <w:spacing w:after="0" w:line="246" w:lineRule="auto"/>
        <w:tabs>
          <w:tab w:leader="none" w:pos="8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the absence of an established market for the Shares of the type described in (a) above, the per Share Fair Market Value thereof shall be determined by the Committee in good faith.</w:t>
      </w:r>
    </w:p>
    <w:p>
      <w:pPr>
        <w:spacing w:after="0" w:line="17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b w:val="1"/>
          <w:bCs w:val="1"/>
          <w:color w:val="003B71"/>
        </w:rPr>
        <w:t>2.19 “</w:t>
      </w:r>
      <w:r>
        <w:rPr>
          <w:rFonts w:ascii="Arial" w:cs="Arial" w:eastAsia="Arial" w:hAnsi="Arial"/>
          <w:sz w:val="18"/>
          <w:szCs w:val="18"/>
          <w:b w:val="1"/>
          <w:bCs w:val="1"/>
          <w:u w:val="single" w:color="auto"/>
          <w:color w:val="003B71"/>
        </w:rPr>
        <w:t>Incentive Stock Option</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an Option intended to meet the requirements of an incentive stock option as defined in</w:t>
      </w:r>
      <w:r>
        <w:rPr>
          <w:rFonts w:ascii="Arial" w:cs="Arial" w:eastAsia="Arial" w:hAnsi="Arial"/>
          <w:sz w:val="18"/>
          <w:szCs w:val="18"/>
          <w:b w:val="1"/>
          <w:bCs w:val="1"/>
          <w:color w:val="003B71"/>
        </w:rPr>
        <w:t xml:space="preserve"> </w:t>
      </w:r>
      <w:r>
        <w:rPr>
          <w:rFonts w:ascii="Arial" w:cs="Arial" w:eastAsia="Arial" w:hAnsi="Arial"/>
          <w:sz w:val="18"/>
          <w:szCs w:val="18"/>
          <w:color w:val="000000"/>
        </w:rPr>
        <w:t>Section 422 of the Code and designated as an Incentive Stock Option.</w:t>
      </w:r>
    </w:p>
    <w:p>
      <w:pPr>
        <w:spacing w:after="0" w:line="154"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b w:val="1"/>
          <w:bCs w:val="1"/>
          <w:color w:val="003B71"/>
        </w:rPr>
        <w:t>2.20 “</w:t>
      </w:r>
      <w:r>
        <w:rPr>
          <w:rFonts w:ascii="Arial" w:cs="Arial" w:eastAsia="Arial" w:hAnsi="Arial"/>
          <w:sz w:val="18"/>
          <w:szCs w:val="18"/>
          <w:b w:val="1"/>
          <w:bCs w:val="1"/>
          <w:u w:val="single" w:color="auto"/>
          <w:color w:val="003B71"/>
        </w:rPr>
        <w:t>Non-Employee Director</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a person defined in Rule 16b-3(b)(3) promulgated by the Securities and Exchange</w:t>
      </w:r>
      <w:r>
        <w:rPr>
          <w:rFonts w:ascii="Arial" w:cs="Arial" w:eastAsia="Arial" w:hAnsi="Arial"/>
          <w:sz w:val="18"/>
          <w:szCs w:val="18"/>
          <w:b w:val="1"/>
          <w:bCs w:val="1"/>
          <w:color w:val="003B71"/>
        </w:rPr>
        <w:t xml:space="preserve"> </w:t>
      </w:r>
      <w:r>
        <w:rPr>
          <w:rFonts w:ascii="Arial" w:cs="Arial" w:eastAsia="Arial" w:hAnsi="Arial"/>
          <w:sz w:val="18"/>
          <w:szCs w:val="18"/>
          <w:color w:val="000000"/>
        </w:rPr>
        <w:t>Commission under the Exchange Act, or any successor definition adopted by the Securities and Exchange Commission.</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3B71"/>
        </w:rPr>
        <w:t>2.21 “</w:t>
      </w:r>
      <w:r>
        <w:rPr>
          <w:rFonts w:ascii="Arial" w:cs="Arial" w:eastAsia="Arial" w:hAnsi="Arial"/>
          <w:sz w:val="18"/>
          <w:szCs w:val="18"/>
          <w:b w:val="1"/>
          <w:bCs w:val="1"/>
          <w:u w:val="single" w:color="auto"/>
          <w:color w:val="003B71"/>
        </w:rPr>
        <w:t>Nonqualified Stock Option</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an Option that is not an Incentive Stock Option.</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3B71"/>
        </w:rPr>
        <w:t>2.22 Intentionally Omitted.</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3B71"/>
        </w:rPr>
        <w:t>2.23 “</w:t>
      </w:r>
      <w:r>
        <w:rPr>
          <w:rFonts w:ascii="Arial" w:cs="Arial" w:eastAsia="Arial" w:hAnsi="Arial"/>
          <w:sz w:val="18"/>
          <w:szCs w:val="18"/>
          <w:b w:val="1"/>
          <w:bCs w:val="1"/>
          <w:u w:val="single" w:color="auto"/>
          <w:color w:val="003B71"/>
        </w:rPr>
        <w:t>Other Stock-Based Award</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any right granted under Section 9.1 of the Plan.</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3B71"/>
        </w:rPr>
        <w:t>2.24 “</w:t>
      </w:r>
      <w:r>
        <w:rPr>
          <w:rFonts w:ascii="Arial" w:cs="Arial" w:eastAsia="Arial" w:hAnsi="Arial"/>
          <w:sz w:val="18"/>
          <w:szCs w:val="18"/>
          <w:b w:val="1"/>
          <w:bCs w:val="1"/>
          <w:u w:val="single" w:color="auto"/>
          <w:color w:val="003B71"/>
        </w:rPr>
        <w:t>Option</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any stock option granted under Article 6 of the Plan.</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3B71"/>
        </w:rPr>
        <w:t>2.25 “</w:t>
      </w:r>
      <w:r>
        <w:rPr>
          <w:rFonts w:ascii="Arial" w:cs="Arial" w:eastAsia="Arial" w:hAnsi="Arial"/>
          <w:sz w:val="18"/>
          <w:szCs w:val="18"/>
          <w:b w:val="1"/>
          <w:bCs w:val="1"/>
          <w:u w:val="single" w:color="auto"/>
          <w:color w:val="003B71"/>
        </w:rPr>
        <w:t>Option Price</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the purchase price per Share subject to an Option, as determined pursuant to Section 6.2 of the Plan.</w:t>
      </w:r>
    </w:p>
    <w:p>
      <w:pPr>
        <w:spacing w:after="0" w:line="21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b w:val="1"/>
          <w:bCs w:val="1"/>
          <w:color w:val="003B71"/>
        </w:rPr>
        <w:t>2.26 “</w:t>
      </w:r>
      <w:r>
        <w:rPr>
          <w:rFonts w:ascii="Arial" w:cs="Arial" w:eastAsia="Arial" w:hAnsi="Arial"/>
          <w:sz w:val="18"/>
          <w:szCs w:val="18"/>
          <w:b w:val="1"/>
          <w:bCs w:val="1"/>
          <w:u w:val="single" w:color="auto"/>
          <w:color w:val="003B71"/>
        </w:rPr>
        <w:t>Outside Director</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a member of the Board who is an “outside director” within the meaning of Section 162(m) of the</w:t>
      </w:r>
      <w:r>
        <w:rPr>
          <w:rFonts w:ascii="Arial" w:cs="Arial" w:eastAsia="Arial" w:hAnsi="Arial"/>
          <w:sz w:val="18"/>
          <w:szCs w:val="18"/>
          <w:b w:val="1"/>
          <w:bCs w:val="1"/>
          <w:color w:val="003B71"/>
        </w:rPr>
        <w:t xml:space="preserve"> </w:t>
      </w:r>
      <w:r>
        <w:rPr>
          <w:rFonts w:ascii="Arial" w:cs="Arial" w:eastAsia="Arial" w:hAnsi="Arial"/>
          <w:sz w:val="18"/>
          <w:szCs w:val="18"/>
          <w:color w:val="000000"/>
        </w:rPr>
        <w:t>Code and the regulations promulgated thereunder.</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3B71"/>
        </w:rPr>
        <w:t>2.27 “</w:t>
      </w:r>
      <w:r>
        <w:rPr>
          <w:rFonts w:ascii="Arial" w:cs="Arial" w:eastAsia="Arial" w:hAnsi="Arial"/>
          <w:sz w:val="18"/>
          <w:szCs w:val="18"/>
          <w:b w:val="1"/>
          <w:bCs w:val="1"/>
          <w:u w:val="single" w:color="auto"/>
          <w:color w:val="003B71"/>
        </w:rPr>
        <w:t>Participant</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any eligible person as set forth in Section 4.1 to whom an Award is granted.</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3B71"/>
        </w:rPr>
        <w:t>2.28 Intentionally Omitted.</w:t>
      </w:r>
    </w:p>
    <w:p>
      <w:pPr>
        <w:spacing w:after="0" w:line="21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b w:val="1"/>
          <w:bCs w:val="1"/>
          <w:color w:val="003B71"/>
        </w:rPr>
        <w:t>2.29 “</w:t>
      </w:r>
      <w:r>
        <w:rPr>
          <w:rFonts w:ascii="Arial" w:cs="Arial" w:eastAsia="Arial" w:hAnsi="Arial"/>
          <w:sz w:val="18"/>
          <w:szCs w:val="18"/>
          <w:b w:val="1"/>
          <w:bCs w:val="1"/>
          <w:u w:val="single" w:color="auto"/>
          <w:color w:val="003B71"/>
        </w:rPr>
        <w:t>Performance Measures</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measures as described in Section 10.2 on which the performance goals are based for</w:t>
      </w:r>
      <w:r>
        <w:rPr>
          <w:rFonts w:ascii="Arial" w:cs="Arial" w:eastAsia="Arial" w:hAnsi="Arial"/>
          <w:sz w:val="18"/>
          <w:szCs w:val="18"/>
          <w:b w:val="1"/>
          <w:bCs w:val="1"/>
          <w:color w:val="003B71"/>
        </w:rPr>
        <w:t xml:space="preserve"> </w:t>
      </w:r>
      <w:r>
        <w:rPr>
          <w:rFonts w:ascii="Arial" w:cs="Arial" w:eastAsia="Arial" w:hAnsi="Arial"/>
          <w:sz w:val="18"/>
          <w:szCs w:val="18"/>
          <w:color w:val="000000"/>
        </w:rPr>
        <w:t>certain performance-based Awards.</w:t>
      </w:r>
    </w:p>
    <w:p>
      <w:pPr>
        <w:spacing w:after="0" w:line="15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b w:val="1"/>
          <w:bCs w:val="1"/>
          <w:color w:val="003B71"/>
        </w:rPr>
        <w:t>2.30 “</w:t>
      </w:r>
      <w:r>
        <w:rPr>
          <w:rFonts w:ascii="Arial" w:cs="Arial" w:eastAsia="Arial" w:hAnsi="Arial"/>
          <w:sz w:val="18"/>
          <w:szCs w:val="18"/>
          <w:b w:val="1"/>
          <w:bCs w:val="1"/>
          <w:u w:val="single" w:color="auto"/>
          <w:color w:val="003B71"/>
        </w:rPr>
        <w:t>Performance Period</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the period of time during which the performance goals must be met in order to determine the</w:t>
      </w:r>
      <w:r>
        <w:rPr>
          <w:rFonts w:ascii="Arial" w:cs="Arial" w:eastAsia="Arial" w:hAnsi="Arial"/>
          <w:sz w:val="18"/>
          <w:szCs w:val="18"/>
          <w:b w:val="1"/>
          <w:bCs w:val="1"/>
          <w:color w:val="003B71"/>
        </w:rPr>
        <w:t xml:space="preserve"> </w:t>
      </w:r>
      <w:r>
        <w:rPr>
          <w:rFonts w:ascii="Arial" w:cs="Arial" w:eastAsia="Arial" w:hAnsi="Arial"/>
          <w:sz w:val="18"/>
          <w:szCs w:val="18"/>
          <w:color w:val="000000"/>
        </w:rPr>
        <w:t>degree of payout and/or vesting with respect to an Award.</w:t>
      </w:r>
    </w:p>
    <w:p>
      <w:pPr>
        <w:spacing w:after="0" w:line="15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b w:val="1"/>
          <w:bCs w:val="1"/>
          <w:color w:val="003B71"/>
        </w:rPr>
        <w:t>2.31 “</w:t>
      </w:r>
      <w:r>
        <w:rPr>
          <w:rFonts w:ascii="Arial" w:cs="Arial" w:eastAsia="Arial" w:hAnsi="Arial"/>
          <w:sz w:val="18"/>
          <w:szCs w:val="18"/>
          <w:b w:val="1"/>
          <w:bCs w:val="1"/>
          <w:u w:val="single" w:color="auto"/>
          <w:color w:val="003B71"/>
        </w:rPr>
        <w:t>Person</w:t>
      </w:r>
      <w:r>
        <w:rPr>
          <w:rFonts w:ascii="Arial" w:cs="Arial" w:eastAsia="Arial" w:hAnsi="Arial"/>
          <w:sz w:val="18"/>
          <w:szCs w:val="18"/>
          <w:b w:val="1"/>
          <w:bCs w:val="1"/>
          <w:color w:val="003B71"/>
        </w:rPr>
        <w:t xml:space="preserve">” </w:t>
      </w:r>
      <w:r>
        <w:rPr>
          <w:rFonts w:ascii="Arial" w:cs="Arial" w:eastAsia="Arial" w:hAnsi="Arial"/>
          <w:sz w:val="18"/>
          <w:szCs w:val="18"/>
          <w:color w:val="000000"/>
        </w:rPr>
        <w:t>shall have the meaning ascribed to such term in Section 3(a)(9) of the Exchange Act and used in Sections 13(d) and</w:t>
      </w:r>
      <w:r>
        <w:rPr>
          <w:rFonts w:ascii="Arial" w:cs="Arial" w:eastAsia="Arial" w:hAnsi="Arial"/>
          <w:sz w:val="18"/>
          <w:szCs w:val="18"/>
          <w:b w:val="1"/>
          <w:bCs w:val="1"/>
          <w:color w:val="003B71"/>
        </w:rPr>
        <w:t xml:space="preserve"> </w:t>
      </w:r>
      <w:r>
        <w:rPr>
          <w:rFonts w:ascii="Arial" w:cs="Arial" w:eastAsia="Arial" w:hAnsi="Arial"/>
          <w:sz w:val="18"/>
          <w:szCs w:val="18"/>
          <w:color w:val="000000"/>
        </w:rPr>
        <w:t>14(d) thereof, including a “group” as defined in Section 13(d) thereof.</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3B71"/>
        </w:rPr>
        <w:t>2.32 “</w:t>
      </w:r>
      <w:r>
        <w:rPr>
          <w:rFonts w:ascii="Arial" w:cs="Arial" w:eastAsia="Arial" w:hAnsi="Arial"/>
          <w:sz w:val="18"/>
          <w:szCs w:val="18"/>
          <w:b w:val="1"/>
          <w:bCs w:val="1"/>
          <w:u w:val="single" w:color="auto"/>
          <w:color w:val="003B71"/>
        </w:rPr>
        <w:t>Plan</w:t>
      </w:r>
      <w:r>
        <w:rPr>
          <w:rFonts w:ascii="Arial" w:cs="Arial" w:eastAsia="Arial" w:hAnsi="Arial"/>
          <w:sz w:val="18"/>
          <w:szCs w:val="18"/>
          <w:b w:val="1"/>
          <w:bCs w:val="1"/>
          <w:color w:val="003B71"/>
        </w:rPr>
        <w:t xml:space="preserve">” </w:t>
      </w:r>
      <w:r>
        <w:rPr>
          <w:rFonts w:ascii="Arial" w:cs="Arial" w:eastAsia="Arial" w:hAnsi="Arial"/>
          <w:sz w:val="18"/>
          <w:szCs w:val="18"/>
          <w:color w:val="000000"/>
        </w:rPr>
        <w:t>shall have the meaning set forth in Section 1.1.</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3B71"/>
        </w:rPr>
        <w:t>2.33 “</w:t>
      </w:r>
      <w:r>
        <w:rPr>
          <w:rFonts w:ascii="Arial" w:cs="Arial" w:eastAsia="Arial" w:hAnsi="Arial"/>
          <w:sz w:val="18"/>
          <w:szCs w:val="18"/>
          <w:b w:val="1"/>
          <w:bCs w:val="1"/>
          <w:u w:val="single" w:color="auto"/>
          <w:color w:val="003B71"/>
        </w:rPr>
        <w:t>Plan Year</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the applicable fiscal year of the Company.</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3B71"/>
        </w:rPr>
        <w:t>2.34 “</w:t>
      </w:r>
      <w:r>
        <w:rPr>
          <w:rFonts w:ascii="Arial" w:cs="Arial" w:eastAsia="Arial" w:hAnsi="Arial"/>
          <w:sz w:val="18"/>
          <w:szCs w:val="18"/>
          <w:b w:val="1"/>
          <w:bCs w:val="1"/>
          <w:u w:val="single" w:color="auto"/>
          <w:color w:val="003B71"/>
        </w:rPr>
        <w:t>Restricted Stock</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any Award granted under Article 8 of the Plan.</w:t>
      </w:r>
    </w:p>
    <w:p>
      <w:pPr>
        <w:spacing w:after="0" w:line="21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b w:val="1"/>
          <w:bCs w:val="1"/>
          <w:color w:val="003B71"/>
        </w:rPr>
        <w:t>2.35 “</w:t>
      </w:r>
      <w:r>
        <w:rPr>
          <w:rFonts w:ascii="Arial" w:cs="Arial" w:eastAsia="Arial" w:hAnsi="Arial"/>
          <w:sz w:val="18"/>
          <w:szCs w:val="18"/>
          <w:b w:val="1"/>
          <w:bCs w:val="1"/>
          <w:u w:val="single" w:color="auto"/>
          <w:color w:val="003B71"/>
        </w:rPr>
        <w:t>Restriction Period</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the period during which Restricted Stock awarded under Article 8 of the Plan is subject to</w:t>
      </w:r>
      <w:r>
        <w:rPr>
          <w:rFonts w:ascii="Arial" w:cs="Arial" w:eastAsia="Arial" w:hAnsi="Arial"/>
          <w:sz w:val="18"/>
          <w:szCs w:val="18"/>
          <w:b w:val="1"/>
          <w:bCs w:val="1"/>
          <w:color w:val="003B71"/>
        </w:rPr>
        <w:t xml:space="preserve"> </w:t>
      </w:r>
      <w:r>
        <w:rPr>
          <w:rFonts w:ascii="Arial" w:cs="Arial" w:eastAsia="Arial" w:hAnsi="Arial"/>
          <w:sz w:val="18"/>
          <w:szCs w:val="18"/>
          <w:color w:val="000000"/>
        </w:rPr>
        <w:t>forfeiture.</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3B71"/>
        </w:rPr>
        <w:t>2.36 “</w:t>
      </w:r>
      <w:r>
        <w:rPr>
          <w:rFonts w:ascii="Arial" w:cs="Arial" w:eastAsia="Arial" w:hAnsi="Arial"/>
          <w:sz w:val="18"/>
          <w:szCs w:val="18"/>
          <w:b w:val="1"/>
          <w:bCs w:val="1"/>
          <w:u w:val="single" w:color="auto"/>
          <w:color w:val="003B71"/>
        </w:rPr>
        <w:t>Service</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service as an Employee, Director or Consultant.</w:t>
      </w:r>
    </w:p>
    <w:p>
      <w:pPr>
        <w:spacing w:after="0" w:line="158"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A-5</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8"/>
          <w:szCs w:val="18"/>
          <w:b w:val="1"/>
          <w:bCs w:val="1"/>
          <w:color w:val="003B71"/>
        </w:rPr>
        <w:t>2.37 “</w:t>
      </w:r>
      <w:r>
        <w:rPr>
          <w:rFonts w:ascii="Arial" w:cs="Arial" w:eastAsia="Arial" w:hAnsi="Arial"/>
          <w:sz w:val="18"/>
          <w:szCs w:val="18"/>
          <w:b w:val="1"/>
          <w:bCs w:val="1"/>
          <w:u w:val="single" w:color="auto"/>
          <w:color w:val="003B71"/>
        </w:rPr>
        <w:t>Share</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a share of common stock of the Company, par value $0.01 per share, or such other class or kind of shares or</w:t>
      </w:r>
      <w:r>
        <w:rPr>
          <w:rFonts w:ascii="Arial" w:cs="Arial" w:eastAsia="Arial" w:hAnsi="Arial"/>
          <w:sz w:val="18"/>
          <w:szCs w:val="18"/>
          <w:b w:val="1"/>
          <w:bCs w:val="1"/>
          <w:color w:val="003B71"/>
        </w:rPr>
        <w:t xml:space="preserve"> </w:t>
      </w:r>
      <w:r>
        <w:rPr>
          <w:rFonts w:ascii="Arial" w:cs="Arial" w:eastAsia="Arial" w:hAnsi="Arial"/>
          <w:sz w:val="18"/>
          <w:szCs w:val="18"/>
          <w:color w:val="000000"/>
        </w:rPr>
        <w:t>other securities resulting from the application of Article 12 hereof.</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3B71"/>
        </w:rPr>
        <w:t>2.38 “</w:t>
      </w:r>
      <w:r>
        <w:rPr>
          <w:rFonts w:ascii="Arial" w:cs="Arial" w:eastAsia="Arial" w:hAnsi="Arial"/>
          <w:sz w:val="18"/>
          <w:szCs w:val="18"/>
          <w:b w:val="1"/>
          <w:bCs w:val="1"/>
          <w:u w:val="single" w:color="auto"/>
          <w:color w:val="003B71"/>
        </w:rPr>
        <w:t>Stock Appreciation Right</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any right granted under Article 7 of the Plan.</w:t>
      </w:r>
    </w:p>
    <w:p>
      <w:pPr>
        <w:spacing w:after="0" w:line="212"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b w:val="1"/>
          <w:bCs w:val="1"/>
          <w:color w:val="003B71"/>
        </w:rPr>
        <w:t>2.39 “</w:t>
      </w:r>
      <w:r>
        <w:rPr>
          <w:rFonts w:ascii="Arial" w:cs="Arial" w:eastAsia="Arial" w:hAnsi="Arial"/>
          <w:sz w:val="18"/>
          <w:szCs w:val="18"/>
          <w:b w:val="1"/>
          <w:bCs w:val="1"/>
          <w:u w:val="single" w:color="auto"/>
          <w:color w:val="003B71"/>
        </w:rPr>
        <w:t>Subsidiary</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any corporation, partnership, limited liability company or other legal entity of which the Company, directly</w:t>
      </w:r>
      <w:r>
        <w:rPr>
          <w:rFonts w:ascii="Arial" w:cs="Arial" w:eastAsia="Arial" w:hAnsi="Arial"/>
          <w:sz w:val="18"/>
          <w:szCs w:val="18"/>
          <w:b w:val="1"/>
          <w:bCs w:val="1"/>
          <w:color w:val="003B71"/>
        </w:rPr>
        <w:t xml:space="preserve"> </w:t>
      </w:r>
      <w:r>
        <w:rPr>
          <w:rFonts w:ascii="Arial" w:cs="Arial" w:eastAsia="Arial" w:hAnsi="Arial"/>
          <w:sz w:val="18"/>
          <w:szCs w:val="18"/>
          <w:color w:val="000000"/>
        </w:rPr>
        <w:t>or indirectly, owns stock or other equity interests possessing fifty percent (50%) or more of the total combined voting power of all classes of stock or other equity interests (as determined in a manner consistent with Section 409A of the Code, if applicable).</w:t>
      </w:r>
    </w:p>
    <w:p>
      <w:pPr>
        <w:spacing w:after="0" w:line="169"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b w:val="1"/>
          <w:bCs w:val="1"/>
          <w:color w:val="003B71"/>
        </w:rPr>
        <w:t>2.40 “</w:t>
      </w:r>
      <w:r>
        <w:rPr>
          <w:rFonts w:ascii="Arial" w:cs="Arial" w:eastAsia="Arial" w:hAnsi="Arial"/>
          <w:sz w:val="18"/>
          <w:szCs w:val="18"/>
          <w:b w:val="1"/>
          <w:bCs w:val="1"/>
          <w:u w:val="single" w:color="auto"/>
          <w:color w:val="003B71"/>
        </w:rPr>
        <w:t>Ten Percent Shareholder</w:t>
      </w:r>
      <w:r>
        <w:rPr>
          <w:rFonts w:ascii="Arial" w:cs="Arial" w:eastAsia="Arial" w:hAnsi="Arial"/>
          <w:sz w:val="18"/>
          <w:szCs w:val="18"/>
          <w:b w:val="1"/>
          <w:bCs w:val="1"/>
          <w:color w:val="003B71"/>
        </w:rPr>
        <w:t xml:space="preserve">” </w:t>
      </w:r>
      <w:r>
        <w:rPr>
          <w:rFonts w:ascii="Arial" w:cs="Arial" w:eastAsia="Arial" w:hAnsi="Arial"/>
          <w:sz w:val="18"/>
          <w:szCs w:val="18"/>
          <w:color w:val="000000"/>
        </w:rPr>
        <w:t>means a person who on any given date owns, either directly or indirectly (taking into account the</w:t>
      </w:r>
      <w:r>
        <w:rPr>
          <w:rFonts w:ascii="Arial" w:cs="Arial" w:eastAsia="Arial" w:hAnsi="Arial"/>
          <w:sz w:val="18"/>
          <w:szCs w:val="18"/>
          <w:b w:val="1"/>
          <w:bCs w:val="1"/>
          <w:color w:val="003B71"/>
        </w:rPr>
        <w:t xml:space="preserve"> </w:t>
      </w:r>
      <w:r>
        <w:rPr>
          <w:rFonts w:ascii="Arial" w:cs="Arial" w:eastAsia="Arial" w:hAnsi="Arial"/>
          <w:sz w:val="18"/>
          <w:szCs w:val="18"/>
          <w:color w:val="000000"/>
        </w:rPr>
        <w:t>attribution rules contained in Section 424(d) of the Code), stock possessing more than ten percent (10%) of the total combined voting power of all classes of stock of the Company or a Subsidiary or Affiliate.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Article 3. Administration</w:t>
      </w:r>
    </w:p>
    <w:p>
      <w:pPr>
        <w:spacing w:after="0" w:line="104" w:lineRule="exact"/>
        <w:rPr>
          <w:sz w:val="20"/>
          <w:szCs w:val="20"/>
          <w:color w:val="auto"/>
        </w:rPr>
      </w:pPr>
    </w:p>
    <w:p>
      <w:pPr>
        <w:jc w:val="both"/>
        <w:ind w:left="120" w:firstLine="440"/>
        <w:spacing w:after="0" w:line="237" w:lineRule="auto"/>
        <w:rPr>
          <w:sz w:val="20"/>
          <w:szCs w:val="20"/>
          <w:color w:val="auto"/>
        </w:rPr>
      </w:pPr>
      <w:r>
        <w:rPr>
          <w:rFonts w:ascii="Arial" w:cs="Arial" w:eastAsia="Arial" w:hAnsi="Arial"/>
          <w:sz w:val="18"/>
          <w:szCs w:val="18"/>
          <w:b w:val="1"/>
          <w:bCs w:val="1"/>
          <w:color w:val="003B71"/>
        </w:rPr>
        <w:t xml:space="preserve">3.1 Authority of the Committee. </w:t>
      </w:r>
      <w:r>
        <w:rPr>
          <w:rFonts w:ascii="Arial" w:cs="Arial" w:eastAsia="Arial" w:hAnsi="Arial"/>
          <w:sz w:val="18"/>
          <w:szCs w:val="18"/>
          <w:color w:val="000000"/>
        </w:rPr>
        <w:t>The Plan shall be administered by the Committee, which shall have full power to interpret and</w:t>
      </w:r>
      <w:r>
        <w:rPr>
          <w:rFonts w:ascii="Arial" w:cs="Arial" w:eastAsia="Arial" w:hAnsi="Arial"/>
          <w:sz w:val="18"/>
          <w:szCs w:val="18"/>
          <w:b w:val="1"/>
          <w:bCs w:val="1"/>
          <w:color w:val="003B71"/>
        </w:rPr>
        <w:t xml:space="preserve"> </w:t>
      </w:r>
      <w:r>
        <w:rPr>
          <w:rFonts w:ascii="Arial" w:cs="Arial" w:eastAsia="Arial" w:hAnsi="Arial"/>
          <w:sz w:val="18"/>
          <w:szCs w:val="18"/>
          <w:color w:val="000000"/>
        </w:rPr>
        <w:t>administer the Plan and Award Agreements and full authority to select the Employees, Directors and Consultants to whom Awards will be granted, and to determine the type and amount of Awards to be granted to each such Employee, Director or Consultant, and the terms and conditions of Awards and Award Agreements. Without limiting the generality of the foregoing, the Committee may, in its sole discretion but subject to the limitations in Article 13, clarify, construe or resolve any ambiguity in any provision of the Plan or any Award Agreement, extend the term or period of exercisability of any Awards, or waive any terms or conditions applicable to any Award. Also subject to the limitations in Article 13, Awards may, in the discretion of the Committee, be made under the Plan in assumption of, or in substitution for, outstanding awards previously granted by the Company or any of its Subsidiaries or Affiliates or a company acquired by the Company or with which the Company combines. The Committee shall have full and exclusive discretionary power to adopt rules, forms, instruments, and guidelines for administering the Plan as the Committee deems necessary or proper. Notwithstanding anything in this Section 3.1 to the contrary, the Board, or any other committee or sub-committee established by the Board, is hereby authorized (in addition to any necessary action by the Committee) to grant or approve Awards as necessary to satisfy the requirements of Section 16 of the Exchange Act and the rules and regulations thereunder and to act in lieu of the Committee with respect to Awards made to Non-Employee Directors under the Plan. All actions taken and all interpretations and determinations made by the Committee or by the Board (or any other committee or sub-committee thereof), as applicable, shall be final and binding upon the Participants, the Company, and all other interested individuals.</w:t>
      </w:r>
    </w:p>
    <w:p>
      <w:pPr>
        <w:spacing w:after="0" w:line="186" w:lineRule="exact"/>
        <w:rPr>
          <w:sz w:val="20"/>
          <w:szCs w:val="20"/>
          <w:color w:val="auto"/>
        </w:rPr>
      </w:pPr>
    </w:p>
    <w:p>
      <w:pPr>
        <w:jc w:val="both"/>
        <w:ind w:left="120" w:firstLine="440"/>
        <w:spacing w:after="0" w:line="244" w:lineRule="auto"/>
        <w:rPr>
          <w:sz w:val="20"/>
          <w:szCs w:val="20"/>
          <w:color w:val="auto"/>
        </w:rPr>
      </w:pPr>
      <w:r>
        <w:rPr>
          <w:rFonts w:ascii="Arial" w:cs="Arial" w:eastAsia="Arial" w:hAnsi="Arial"/>
          <w:sz w:val="18"/>
          <w:szCs w:val="18"/>
          <w:b w:val="1"/>
          <w:bCs w:val="1"/>
          <w:color w:val="003B71"/>
        </w:rPr>
        <w:t xml:space="preserve">3.2 Delegation. </w:t>
      </w:r>
      <w:r>
        <w:rPr>
          <w:rFonts w:ascii="Arial" w:cs="Arial" w:eastAsia="Arial" w:hAnsi="Arial"/>
          <w:sz w:val="18"/>
          <w:szCs w:val="18"/>
          <w:color w:val="000000"/>
        </w:rPr>
        <w:t>The Committee may delegate to one or more of its members, one or more officers of the Company or any of its</w:t>
      </w:r>
      <w:r>
        <w:rPr>
          <w:rFonts w:ascii="Arial" w:cs="Arial" w:eastAsia="Arial" w:hAnsi="Arial"/>
          <w:sz w:val="18"/>
          <w:szCs w:val="18"/>
          <w:b w:val="1"/>
          <w:bCs w:val="1"/>
          <w:color w:val="003B71"/>
        </w:rPr>
        <w:t xml:space="preserve"> </w:t>
      </w:r>
      <w:r>
        <w:rPr>
          <w:rFonts w:ascii="Arial" w:cs="Arial" w:eastAsia="Arial" w:hAnsi="Arial"/>
          <w:sz w:val="18"/>
          <w:szCs w:val="18"/>
          <w:color w:val="000000"/>
        </w:rPr>
        <w:t xml:space="preserve">Subsidiaries or Affiliates, and one or more agents or advisors such administrative duties or powers as it may deem advisable;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 Committee shall not delegate to officers of the Company or any of its Subsidiaries or Affiliates the power to make grants of Awards to officers of the Company or any of its Subsidiaries or Affiliates;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further</w:t>
      </w:r>
      <w:r>
        <w:rPr>
          <w:rFonts w:ascii="Arial" w:cs="Arial" w:eastAsia="Arial" w:hAnsi="Arial"/>
          <w:sz w:val="18"/>
          <w:szCs w:val="18"/>
          <w:color w:val="000000"/>
        </w:rPr>
        <w:t>, that no delegation shall be permitted under the Plan that is prohibited by applicable law.</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Article 4. Eligibility and Participation</w:t>
      </w:r>
    </w:p>
    <w:p>
      <w:pPr>
        <w:spacing w:after="0" w:line="104" w:lineRule="exact"/>
        <w:rPr>
          <w:sz w:val="20"/>
          <w:szCs w:val="20"/>
          <w:color w:val="auto"/>
        </w:rPr>
      </w:pPr>
    </w:p>
    <w:p>
      <w:pPr>
        <w:jc w:val="both"/>
        <w:ind w:left="120" w:right="20" w:firstLine="440"/>
        <w:spacing w:after="0" w:line="247" w:lineRule="auto"/>
        <w:rPr>
          <w:sz w:val="20"/>
          <w:szCs w:val="20"/>
          <w:color w:val="auto"/>
        </w:rPr>
      </w:pPr>
      <w:r>
        <w:rPr>
          <w:rFonts w:ascii="Arial" w:cs="Arial" w:eastAsia="Arial" w:hAnsi="Arial"/>
          <w:sz w:val="18"/>
          <w:szCs w:val="18"/>
          <w:b w:val="1"/>
          <w:bCs w:val="1"/>
          <w:color w:val="003B71"/>
        </w:rPr>
        <w:t xml:space="preserve">4.1 Eligibility. </w:t>
      </w:r>
      <w:r>
        <w:rPr>
          <w:rFonts w:ascii="Arial" w:cs="Arial" w:eastAsia="Arial" w:hAnsi="Arial"/>
          <w:sz w:val="18"/>
          <w:szCs w:val="18"/>
          <w:color w:val="000000"/>
        </w:rPr>
        <w:t>Participants will consist of such Employees, Directors and Consultants as the Committee in its sole discretion</w:t>
      </w:r>
      <w:r>
        <w:rPr>
          <w:rFonts w:ascii="Arial" w:cs="Arial" w:eastAsia="Arial" w:hAnsi="Arial"/>
          <w:sz w:val="18"/>
          <w:szCs w:val="18"/>
          <w:b w:val="1"/>
          <w:bCs w:val="1"/>
          <w:color w:val="003B71"/>
        </w:rPr>
        <w:t xml:space="preserve"> </w:t>
      </w:r>
      <w:r>
        <w:rPr>
          <w:rFonts w:ascii="Arial" w:cs="Arial" w:eastAsia="Arial" w:hAnsi="Arial"/>
          <w:sz w:val="18"/>
          <w:szCs w:val="18"/>
          <w:color w:val="000000"/>
        </w:rPr>
        <w:t>determines and whom the Committee may designate from time to time to receive Awards. Designation of a Participant in any year shall not require the Committee to designate such person to receive an Award in any other year or, once designated, to receive the same type or amount of Award as granted to the Participant in any other year.</w:t>
      </w:r>
    </w:p>
    <w:p>
      <w:pPr>
        <w:spacing w:after="0" w:line="174" w:lineRule="exact"/>
        <w:rPr>
          <w:sz w:val="20"/>
          <w:szCs w:val="20"/>
          <w:color w:val="auto"/>
        </w:rPr>
      </w:pPr>
    </w:p>
    <w:p>
      <w:pPr>
        <w:jc w:val="both"/>
        <w:ind w:left="120" w:firstLine="440"/>
        <w:spacing w:after="0" w:line="242" w:lineRule="auto"/>
        <w:rPr>
          <w:sz w:val="20"/>
          <w:szCs w:val="20"/>
          <w:color w:val="auto"/>
        </w:rPr>
      </w:pPr>
      <w:r>
        <w:rPr>
          <w:rFonts w:ascii="Arial" w:cs="Arial" w:eastAsia="Arial" w:hAnsi="Arial"/>
          <w:sz w:val="18"/>
          <w:szCs w:val="18"/>
          <w:b w:val="1"/>
          <w:bCs w:val="1"/>
          <w:color w:val="003B71"/>
        </w:rPr>
        <w:t xml:space="preserve">4.2 Type of Awards. </w:t>
      </w:r>
      <w:r>
        <w:rPr>
          <w:rFonts w:ascii="Arial" w:cs="Arial" w:eastAsia="Arial" w:hAnsi="Arial"/>
          <w:sz w:val="18"/>
          <w:szCs w:val="18"/>
          <w:color w:val="000000"/>
        </w:rPr>
        <w:t>Awards under the Plan may be granted in any one or a combination of: (a) Options, (b) Stock Appreciation</w:t>
      </w:r>
      <w:r>
        <w:rPr>
          <w:rFonts w:ascii="Arial" w:cs="Arial" w:eastAsia="Arial" w:hAnsi="Arial"/>
          <w:sz w:val="18"/>
          <w:szCs w:val="18"/>
          <w:b w:val="1"/>
          <w:bCs w:val="1"/>
          <w:color w:val="003B71"/>
        </w:rPr>
        <w:t xml:space="preserve"> </w:t>
      </w:r>
      <w:r>
        <w:rPr>
          <w:rFonts w:ascii="Arial" w:cs="Arial" w:eastAsia="Arial" w:hAnsi="Arial"/>
          <w:sz w:val="18"/>
          <w:szCs w:val="18"/>
          <w:color w:val="000000"/>
        </w:rPr>
        <w:t xml:space="preserve">Rights, (c) Restricted Stock, (d) Other Stock-Based Awards, and (e) Cash-Based Awards. The Plan sets forth the types of performance goals and sets forth procedural requirements to permit the Company to design performance-based Awards, as described in Article 10 hereof. Awards granted under the Plan shall be evidenced by Award Agreements (which need not be identical) that provide additional terms and conditions associated with such Awards, as determined by the Committee in its sole discretion;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in the event of any conflict between the provisions of the Plan and any such Award Agreement, the provisions of the Plan shall prevail.</w:t>
      </w:r>
    </w:p>
    <w:p>
      <w:pPr>
        <w:spacing w:after="0" w:line="125"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A-6</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Article 5. Shares Subject to the Plan and Maximum Awards</w:t>
      </w:r>
    </w:p>
    <w:p>
      <w:pPr>
        <w:spacing w:after="0" w:line="104"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b w:val="1"/>
          <w:bCs w:val="1"/>
          <w:color w:val="003B71"/>
        </w:rPr>
        <w:t xml:space="preserve">5.1 General. </w:t>
      </w:r>
      <w:r>
        <w:rPr>
          <w:rFonts w:ascii="Arial" w:cs="Arial" w:eastAsia="Arial" w:hAnsi="Arial"/>
          <w:sz w:val="18"/>
          <w:szCs w:val="18"/>
          <w:color w:val="000000"/>
        </w:rPr>
        <w:t>Subject to adjustment as provided in Article 12 hereof, the maximum number of Shares available for issuance to</w:t>
      </w:r>
      <w:r>
        <w:rPr>
          <w:rFonts w:ascii="Arial" w:cs="Arial" w:eastAsia="Arial" w:hAnsi="Arial"/>
          <w:sz w:val="18"/>
          <w:szCs w:val="18"/>
          <w:b w:val="1"/>
          <w:bCs w:val="1"/>
          <w:color w:val="003B71"/>
        </w:rPr>
        <w:t xml:space="preserve"> </w:t>
      </w:r>
      <w:r>
        <w:rPr>
          <w:rFonts w:ascii="Arial" w:cs="Arial" w:eastAsia="Arial" w:hAnsi="Arial"/>
          <w:sz w:val="18"/>
          <w:szCs w:val="18"/>
          <w:color w:val="000000"/>
        </w:rPr>
        <w:t xml:space="preserve">Participants pursuant to Awards under the Plan shall be 6,100,000 Shares. The number of Shares available for granting Incentive Stock Options under the Plan shall not exceed 6,100,000 Shares, subject to Article 12 hereof and the provisions of Sections 422 or 424 of the Code and any successor provisions. The Shares available for issuance under the Plan may consist, in whole or in part, of authorized and unissued Shares or treasury Shares. Any Shares delivered to or withheld by the Company as part or full payment for the purchase price of an Award, or to the extent the Committee determines that the availability of Incentive Stock Options will not be compromised, or to satisfy the Company’s withholding obligation with respect to an Award, shall again be available for Awards;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such Shares shall continue to be counted as outstanding for purposes of determining whether an Annual Award Limit has been attained.</w:t>
      </w:r>
    </w:p>
    <w:p>
      <w:pPr>
        <w:spacing w:after="0" w:line="180" w:lineRule="exact"/>
        <w:rPr>
          <w:sz w:val="20"/>
          <w:szCs w:val="20"/>
          <w:color w:val="auto"/>
        </w:rPr>
      </w:pPr>
    </w:p>
    <w:p>
      <w:pPr>
        <w:jc w:val="both"/>
        <w:ind w:left="120" w:firstLine="440"/>
        <w:spacing w:after="0" w:line="242" w:lineRule="auto"/>
        <w:rPr>
          <w:sz w:val="20"/>
          <w:szCs w:val="20"/>
          <w:color w:val="auto"/>
        </w:rPr>
      </w:pPr>
      <w:r>
        <w:rPr>
          <w:rFonts w:ascii="Arial" w:cs="Arial" w:eastAsia="Arial" w:hAnsi="Arial"/>
          <w:sz w:val="18"/>
          <w:szCs w:val="18"/>
          <w:b w:val="1"/>
          <w:bCs w:val="1"/>
          <w:color w:val="003B71"/>
        </w:rPr>
        <w:t xml:space="preserve">5.2 Annual Award Limits. </w:t>
      </w:r>
      <w:r>
        <w:rPr>
          <w:rFonts w:ascii="Arial" w:cs="Arial" w:eastAsia="Arial" w:hAnsi="Arial"/>
          <w:sz w:val="18"/>
          <w:szCs w:val="18"/>
          <w:color w:val="000000"/>
        </w:rPr>
        <w:t>The maximum number of Shares with respect to Awards denominated in Shares that may be granted to</w:t>
      </w:r>
      <w:r>
        <w:rPr>
          <w:rFonts w:ascii="Arial" w:cs="Arial" w:eastAsia="Arial" w:hAnsi="Arial"/>
          <w:sz w:val="18"/>
          <w:szCs w:val="18"/>
          <w:b w:val="1"/>
          <w:bCs w:val="1"/>
          <w:color w:val="003B71"/>
        </w:rPr>
        <w:t xml:space="preserve"> </w:t>
      </w:r>
      <w:r>
        <w:rPr>
          <w:rFonts w:ascii="Arial" w:cs="Arial" w:eastAsia="Arial" w:hAnsi="Arial"/>
          <w:sz w:val="18"/>
          <w:szCs w:val="18"/>
          <w:color w:val="000000"/>
        </w:rPr>
        <w:t>any Participant in any Plan Year shall be 500,000 Shares, subject to adjustments made in accordance with Article 12 hereof, and the maximum value of cash payable with respect to Awards denominated in cash or property that may be granted to any Participant in any Plan Year shall be $5,000,000, subject to adjustments made in accordance with Article 12 hereof (the “</w:t>
      </w:r>
      <w:r>
        <w:rPr>
          <w:rFonts w:ascii="Arial" w:cs="Arial" w:eastAsia="Arial" w:hAnsi="Arial"/>
          <w:sz w:val="18"/>
          <w:szCs w:val="18"/>
          <w:u w:val="single" w:color="auto"/>
          <w:color w:val="000000"/>
        </w:rPr>
        <w:t>Annual Award Limit</w:t>
      </w:r>
      <w:r>
        <w:rPr>
          <w:rFonts w:ascii="Arial" w:cs="Arial" w:eastAsia="Arial" w:hAnsi="Arial"/>
          <w:sz w:val="18"/>
          <w:szCs w:val="18"/>
          <w:color w:val="000000"/>
        </w:rPr>
        <w:t>”). Each of the limitations in this section shall be multiplied by two (2) with respect to Awards granted to a Participant during the first calendar year in which the Participant commences employment with the Company and its Subsidiaries.</w:t>
      </w:r>
    </w:p>
    <w:p>
      <w:pPr>
        <w:spacing w:after="0" w:line="201" w:lineRule="exact"/>
        <w:rPr>
          <w:sz w:val="20"/>
          <w:szCs w:val="20"/>
          <w:color w:val="auto"/>
        </w:rPr>
      </w:pPr>
    </w:p>
    <w:p>
      <w:pPr>
        <w:jc w:val="both"/>
        <w:ind w:left="120" w:firstLine="440"/>
        <w:spacing w:after="0" w:line="236" w:lineRule="auto"/>
        <w:rPr>
          <w:sz w:val="20"/>
          <w:szCs w:val="20"/>
          <w:color w:val="auto"/>
        </w:rPr>
      </w:pPr>
      <w:r>
        <w:rPr>
          <w:rFonts w:ascii="Arial" w:cs="Arial" w:eastAsia="Arial" w:hAnsi="Arial"/>
          <w:sz w:val="18"/>
          <w:szCs w:val="18"/>
          <w:color w:val="auto"/>
        </w:rPr>
        <w:t>Notwithstanding any other provision of the Plan to the contrary, the aggregate grant date fair value (computed as of the date of grant in accordance with applicable financial accounting rules) of all Awards granted to any Non-Employee Director during any single calendar year, plus the total cash compensation paid to such director for services rendered for such calendar year, shall not exceed $500,000; provided, however, that the limitation described in this Section shall be determined without regard to amounts paid to a non-employee director during any period in which such individual was an employee or consultant (other than grants of awards paid for service in their capacity as a non-employee director), and any severance and other payments such as consulting fees paid to a non-employee director for such director’s prior or current service to the Company or any Subsidiary other than serving as a director shall not be taken into account in applying the limit provided above. For the avoidance of doubt, any compensation that is deferred shall be counted toward this limit for the year in which it was first earned, and not when paid or settled if later.</w:t>
      </w:r>
    </w:p>
    <w:p>
      <w:pPr>
        <w:spacing w:after="0" w:line="185" w:lineRule="exact"/>
        <w:rPr>
          <w:sz w:val="20"/>
          <w:szCs w:val="20"/>
          <w:color w:val="auto"/>
        </w:rPr>
      </w:pPr>
    </w:p>
    <w:p>
      <w:pPr>
        <w:jc w:val="both"/>
        <w:ind w:left="120" w:firstLine="440"/>
        <w:spacing w:after="0" w:line="242" w:lineRule="auto"/>
        <w:rPr>
          <w:sz w:val="20"/>
          <w:szCs w:val="20"/>
          <w:color w:val="auto"/>
        </w:rPr>
      </w:pPr>
      <w:r>
        <w:rPr>
          <w:rFonts w:ascii="Arial" w:cs="Arial" w:eastAsia="Arial" w:hAnsi="Arial"/>
          <w:sz w:val="18"/>
          <w:szCs w:val="18"/>
          <w:b w:val="1"/>
          <w:bCs w:val="1"/>
          <w:color w:val="003B71"/>
        </w:rPr>
        <w:t xml:space="preserve">5.3 Additional Shares. </w:t>
      </w:r>
      <w:r>
        <w:rPr>
          <w:rFonts w:ascii="Arial" w:cs="Arial" w:eastAsia="Arial" w:hAnsi="Arial"/>
          <w:sz w:val="18"/>
          <w:szCs w:val="18"/>
          <w:color w:val="000000"/>
        </w:rPr>
        <w:t>In the event that any outstanding Award expires, is forfeited, cancelled or otherwise terminated without the</w:t>
      </w:r>
      <w:r>
        <w:rPr>
          <w:rFonts w:ascii="Arial" w:cs="Arial" w:eastAsia="Arial" w:hAnsi="Arial"/>
          <w:sz w:val="18"/>
          <w:szCs w:val="18"/>
          <w:b w:val="1"/>
          <w:bCs w:val="1"/>
          <w:color w:val="003B71"/>
        </w:rPr>
        <w:t xml:space="preserve"> </w:t>
      </w:r>
      <w:r>
        <w:rPr>
          <w:rFonts w:ascii="Arial" w:cs="Arial" w:eastAsia="Arial" w:hAnsi="Arial"/>
          <w:sz w:val="18"/>
          <w:szCs w:val="18"/>
          <w:color w:val="000000"/>
        </w:rPr>
        <w:t>issuance of Shares or is otherwise settled for cash, the Shares subject to such Award, to the extent of any such forfeiture, cancellation, expiration, termination or settlement for cash, shall again be available for Awards. If the Committee authorizes the assumption under the Plan, in connection with any merger, consolidation, acquisition of property or stock, or reorganization, of awards granted under another plan, such assumption shall not (a) reduce the maximum number of Shares available for issuance under the Plan or (b) be subject to or counted against a Participant’s Annual Award Limit.</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Article 6. Stock Options</w:t>
      </w:r>
    </w:p>
    <w:p>
      <w:pPr>
        <w:spacing w:after="0" w:line="104" w:lineRule="exact"/>
        <w:rPr>
          <w:sz w:val="20"/>
          <w:szCs w:val="20"/>
          <w:color w:val="auto"/>
        </w:rPr>
      </w:pPr>
    </w:p>
    <w:p>
      <w:pPr>
        <w:jc w:val="both"/>
        <w:ind w:left="120" w:firstLine="440"/>
        <w:spacing w:after="0" w:line="239" w:lineRule="auto"/>
        <w:rPr>
          <w:sz w:val="20"/>
          <w:szCs w:val="20"/>
          <w:color w:val="auto"/>
        </w:rPr>
      </w:pPr>
      <w:r>
        <w:rPr>
          <w:rFonts w:ascii="Arial" w:cs="Arial" w:eastAsia="Arial" w:hAnsi="Arial"/>
          <w:sz w:val="18"/>
          <w:szCs w:val="18"/>
          <w:b w:val="1"/>
          <w:bCs w:val="1"/>
          <w:color w:val="003B71"/>
        </w:rPr>
        <w:t xml:space="preserve">6.1 Grant of Options. </w:t>
      </w:r>
      <w:r>
        <w:rPr>
          <w:rFonts w:ascii="Arial" w:cs="Arial" w:eastAsia="Arial" w:hAnsi="Arial"/>
          <w:sz w:val="18"/>
          <w:szCs w:val="18"/>
          <w:color w:val="000000"/>
        </w:rPr>
        <w:t>The Committee is hereby authorized to grant Options to Participants. Each Option shall permit a Participant to</w:t>
      </w:r>
      <w:r>
        <w:rPr>
          <w:rFonts w:ascii="Arial" w:cs="Arial" w:eastAsia="Arial" w:hAnsi="Arial"/>
          <w:sz w:val="18"/>
          <w:szCs w:val="18"/>
          <w:b w:val="1"/>
          <w:bCs w:val="1"/>
          <w:color w:val="003B71"/>
        </w:rPr>
        <w:t xml:space="preserve"> </w:t>
      </w:r>
      <w:r>
        <w:rPr>
          <w:rFonts w:ascii="Arial" w:cs="Arial" w:eastAsia="Arial" w:hAnsi="Arial"/>
          <w:sz w:val="18"/>
          <w:szCs w:val="18"/>
          <w:color w:val="000000"/>
        </w:rPr>
        <w:t xml:space="preserve">purchase from the Company a stated number of Shares at an Option Price established by the Committee, subject to the terms and conditions described in this Article 6 and to such additional terms and conditions, as established by the Committee, in its sole discretion, that are consistent with the provisions of the Plan. Options shall be designated as either Incentive Stock Options or Nonqualified Stock Options;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 that Options granted to Directors and Consultants shall be Nonqualified Stock Options. None of the Committee, the Company, any of its Subsidiaries or Affiliates, or any of their employees and representatives shall be liable to any Participant or to any other Person if it is determined that an Option intended to be an Incentive Stock Option does not qualify as an Incentive Stock Option. Each Option shall be evidenced by an Award Agreement which shall state the number of Shares covered by such Option. Such Award Agreement shall conform to the requirements of the Plan, and may contain such other provisions, as the Committee shall deem advisable.</w:t>
      </w:r>
    </w:p>
    <w:p>
      <w:pPr>
        <w:spacing w:after="0" w:line="183"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8"/>
          <w:szCs w:val="18"/>
          <w:b w:val="1"/>
          <w:bCs w:val="1"/>
          <w:color w:val="003B71"/>
        </w:rPr>
        <w:t xml:space="preserve">6.2 Terms of Option Grant. </w:t>
      </w:r>
      <w:r>
        <w:rPr>
          <w:rFonts w:ascii="Arial" w:cs="Arial" w:eastAsia="Arial" w:hAnsi="Arial"/>
          <w:sz w:val="18"/>
          <w:szCs w:val="18"/>
          <w:color w:val="000000"/>
        </w:rPr>
        <w:t>The Option Price shall be determined by the Committee at the time of grant but shall not be less than</w:t>
      </w:r>
      <w:r>
        <w:rPr>
          <w:rFonts w:ascii="Arial" w:cs="Arial" w:eastAsia="Arial" w:hAnsi="Arial"/>
          <w:sz w:val="18"/>
          <w:szCs w:val="18"/>
          <w:b w:val="1"/>
          <w:bCs w:val="1"/>
          <w:color w:val="003B71"/>
        </w:rPr>
        <w:t xml:space="preserve"> </w:t>
      </w:r>
      <w:r>
        <w:rPr>
          <w:rFonts w:ascii="Arial" w:cs="Arial" w:eastAsia="Arial" w:hAnsi="Arial"/>
          <w:sz w:val="18"/>
          <w:szCs w:val="18"/>
          <w:color w:val="000000"/>
        </w:rPr>
        <w:t>one-hundred percent (100%) of the Fair Market Value of a Share on the date of grant. In the case of</w:t>
      </w:r>
    </w:p>
    <w:p>
      <w:pPr>
        <w:spacing w:after="0" w:line="100"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A-7</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any Incentive Stock Option granted to a Ten Percent Shareholder, the Option Price shall not be less than one-hundred-ten percent (110%) of the Fair Market Value of a Share on the date of grant.</w:t>
      </w:r>
    </w:p>
    <w:p>
      <w:pPr>
        <w:spacing w:after="0" w:line="175"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b w:val="1"/>
          <w:bCs w:val="1"/>
          <w:color w:val="003B71"/>
        </w:rPr>
        <w:t xml:space="preserve">6.3 Option Term. </w:t>
      </w:r>
      <w:r>
        <w:rPr>
          <w:rFonts w:ascii="Arial" w:cs="Arial" w:eastAsia="Arial" w:hAnsi="Arial"/>
          <w:sz w:val="18"/>
          <w:szCs w:val="18"/>
          <w:color w:val="000000"/>
        </w:rPr>
        <w:t>The term of each Option shall be determined by the Committee at the time of grant and shall be stated in the</w:t>
      </w:r>
      <w:r>
        <w:rPr>
          <w:rFonts w:ascii="Arial" w:cs="Arial" w:eastAsia="Arial" w:hAnsi="Arial"/>
          <w:sz w:val="18"/>
          <w:szCs w:val="18"/>
          <w:b w:val="1"/>
          <w:bCs w:val="1"/>
          <w:color w:val="003B71"/>
        </w:rPr>
        <w:t xml:space="preserve"> </w:t>
      </w:r>
      <w:r>
        <w:rPr>
          <w:rFonts w:ascii="Arial" w:cs="Arial" w:eastAsia="Arial" w:hAnsi="Arial"/>
          <w:sz w:val="18"/>
          <w:szCs w:val="18"/>
          <w:color w:val="000000"/>
        </w:rPr>
        <w:t>Award Agreement, but in no event shall such term be greater than ten (10) years (or, in the case on an Incentive Stock Option granted to a Ten Percent Shareholder, five (5) years).</w:t>
      </w:r>
    </w:p>
    <w:p>
      <w:pPr>
        <w:spacing w:after="0" w:line="169"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8"/>
          <w:szCs w:val="18"/>
          <w:b w:val="1"/>
          <w:bCs w:val="1"/>
          <w:color w:val="003B71"/>
        </w:rPr>
        <w:t xml:space="preserve">6.4 Time of Exercise. </w:t>
      </w:r>
      <w:r>
        <w:rPr>
          <w:rFonts w:ascii="Arial" w:cs="Arial" w:eastAsia="Arial" w:hAnsi="Arial"/>
          <w:sz w:val="18"/>
          <w:szCs w:val="18"/>
          <w:color w:val="000000"/>
        </w:rPr>
        <w:t>Options granted under this Article 6 shall be exercisable based on the terms and conditions as the Committee</w:t>
      </w:r>
      <w:r>
        <w:rPr>
          <w:rFonts w:ascii="Arial" w:cs="Arial" w:eastAsia="Arial" w:hAnsi="Arial"/>
          <w:sz w:val="18"/>
          <w:szCs w:val="18"/>
          <w:b w:val="1"/>
          <w:bCs w:val="1"/>
          <w:color w:val="003B71"/>
        </w:rPr>
        <w:t xml:space="preserve"> </w:t>
      </w:r>
      <w:r>
        <w:rPr>
          <w:rFonts w:ascii="Arial" w:cs="Arial" w:eastAsia="Arial" w:hAnsi="Arial"/>
          <w:sz w:val="18"/>
          <w:szCs w:val="18"/>
          <w:color w:val="000000"/>
        </w:rPr>
        <w:t>shall in each instance approve, which terms and conditions need not be the same for each grant or for each Participant.</w:t>
      </w:r>
    </w:p>
    <w:p>
      <w:pPr>
        <w:spacing w:after="0" w:line="154" w:lineRule="exact"/>
        <w:rPr>
          <w:sz w:val="20"/>
          <w:szCs w:val="20"/>
          <w:color w:val="auto"/>
        </w:rPr>
      </w:pPr>
    </w:p>
    <w:p>
      <w:pPr>
        <w:jc w:val="both"/>
        <w:ind w:left="120" w:right="20" w:firstLine="440"/>
        <w:spacing w:after="0" w:line="239" w:lineRule="auto"/>
        <w:rPr>
          <w:sz w:val="20"/>
          <w:szCs w:val="20"/>
          <w:color w:val="auto"/>
        </w:rPr>
      </w:pPr>
      <w:r>
        <w:rPr>
          <w:rFonts w:ascii="Arial" w:cs="Arial" w:eastAsia="Arial" w:hAnsi="Arial"/>
          <w:sz w:val="18"/>
          <w:szCs w:val="18"/>
          <w:b w:val="1"/>
          <w:bCs w:val="1"/>
          <w:color w:val="003B71"/>
        </w:rPr>
        <w:t xml:space="preserve">6.5 Method of Exercise. </w:t>
      </w:r>
      <w:r>
        <w:rPr>
          <w:rFonts w:ascii="Arial" w:cs="Arial" w:eastAsia="Arial" w:hAnsi="Arial"/>
          <w:sz w:val="18"/>
          <w:szCs w:val="18"/>
          <w:color w:val="000000"/>
        </w:rPr>
        <w:t>Except as otherwise provided in the Plan or in an Award Agreement, an Option may be exercised for all, or</w:t>
      </w:r>
      <w:r>
        <w:rPr>
          <w:rFonts w:ascii="Arial" w:cs="Arial" w:eastAsia="Arial" w:hAnsi="Arial"/>
          <w:sz w:val="18"/>
          <w:szCs w:val="18"/>
          <w:b w:val="1"/>
          <w:bCs w:val="1"/>
          <w:color w:val="003B71"/>
        </w:rPr>
        <w:t xml:space="preserve"> </w:t>
      </w:r>
      <w:r>
        <w:rPr>
          <w:rFonts w:ascii="Arial" w:cs="Arial" w:eastAsia="Arial" w:hAnsi="Arial"/>
          <w:sz w:val="18"/>
          <w:szCs w:val="18"/>
          <w:color w:val="000000"/>
        </w:rPr>
        <w:t>from time to time any part, of the Shares for which it is then exercisable. For purposes of this Article 6, the exercise date of an Option shall be the later of the date a notice of exercise is received by the Company and, if applicable, the date payment is received by the Company pursuant to clauses (a), (b), (c) or (d) of the following sentence and pursuant to Section 14.3 hereof. The aggregate Option Price for the Shares as to which an Option is exercised shall be paid to the Company in full at the time of exercise at the election of the Participant</w:t>
      </w:r>
    </w:p>
    <w:p>
      <w:pPr>
        <w:spacing w:after="0" w:line="4" w:lineRule="exact"/>
        <w:rPr>
          <w:sz w:val="20"/>
          <w:szCs w:val="20"/>
          <w:color w:val="auto"/>
        </w:rPr>
      </w:pPr>
    </w:p>
    <w:p>
      <w:pPr>
        <w:jc w:val="both"/>
        <w:ind w:left="120" w:right="20" w:hanging="4"/>
        <w:spacing w:after="0" w:line="236" w:lineRule="auto"/>
        <w:tabs>
          <w:tab w:leader="none" w:pos="39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cash or its equivalent (e.g., by cashier’s check), (b) to the extent permitted by the Committee, in Shares (whether or not previously owned by the Participant) having a Fair Market Value equal to the aggregate Option Price for the Shares being purchased and satisfying such other requirements as may be imposed by the Committee, (c) partly in cash and, to the extent permitted by the Committee, partly in such Shares (as described in (b) above) or (d) if there is a public market for the Shares at such time, subject to such requirements as may be imposed by the Committee, through the delivery of irrevocable instructions to a broker to sell Shares obtained upon the exercise of the Option and to deliver promptly to the Company an amount out of the proceeds of such sale equal to the aggregate Option Price for the Shares being purchased. The Committee may prescribe any other method of payment that it determines to be consistent with applicable law and the purpose of the Plan.</w:t>
      </w:r>
    </w:p>
    <w:p>
      <w:pPr>
        <w:spacing w:after="0" w:line="186"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b w:val="1"/>
          <w:bCs w:val="1"/>
          <w:color w:val="003B71"/>
        </w:rPr>
        <w:t xml:space="preserve">6.6 Limitations on Incentive Stock Options. </w:t>
      </w:r>
      <w:r>
        <w:rPr>
          <w:rFonts w:ascii="Arial" w:cs="Arial" w:eastAsia="Arial" w:hAnsi="Arial"/>
          <w:sz w:val="18"/>
          <w:szCs w:val="18"/>
          <w:color w:val="000000"/>
        </w:rPr>
        <w:t>Incentive Stock Options may be granted only to employees of the Company or of a</w:t>
      </w:r>
      <w:r>
        <w:rPr>
          <w:rFonts w:ascii="Arial" w:cs="Arial" w:eastAsia="Arial" w:hAnsi="Arial"/>
          <w:sz w:val="18"/>
          <w:szCs w:val="18"/>
          <w:b w:val="1"/>
          <w:bCs w:val="1"/>
          <w:color w:val="003B71"/>
        </w:rPr>
        <w:t xml:space="preserve"> </w:t>
      </w:r>
      <w:r>
        <w:rPr>
          <w:rFonts w:ascii="Arial" w:cs="Arial" w:eastAsia="Arial" w:hAnsi="Arial"/>
          <w:sz w:val="18"/>
          <w:szCs w:val="18"/>
          <w:color w:val="000000"/>
        </w:rPr>
        <w:t xml:space="preserve">“parent corporation” or “subsidiary corporation” (as such terms are defined in Section 424 of the Code) at the date of grant. If the aggregate Fair Market Value (generally determined as of the time the Option is granted) of the Shares with respect to which Incentive Stock Options are exercisable for the first time by a Participant during any calendar year under all plans of the Company and of any “parent corporation” or “subsidiary corporation” exceeds one hundred thousand dollars ($100,000), the portion of such Incentive Stock Options exercisable for such excess value shall be treated as Nonqualified Stock Options. For purposes of the preceding sentence, Incentive Stock Options will be taken into account generally in the order in which they are granted. Each provision of the Plan and each Award Agreement relating to an Incentive Stock Option shall be construed so that each Incentive Stock Option shall be an incentive stock option as defined in Section 422 of the Code, and any provisions of the Award Agreement thereof that cannot be so construed shall be disregarded;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to the extent any Option (or portion thereof) granted as an Incentive Stock Option fails to qualify as an Incentive Stock Option, such Option (or portion thereof) shall be treated as a Nonqualified Stock Option.</w:t>
      </w:r>
    </w:p>
    <w:p>
      <w:pPr>
        <w:spacing w:after="0" w:line="186" w:lineRule="exact"/>
        <w:rPr>
          <w:sz w:val="20"/>
          <w:szCs w:val="20"/>
          <w:color w:val="auto"/>
        </w:rPr>
      </w:pPr>
    </w:p>
    <w:p>
      <w:pPr>
        <w:jc w:val="both"/>
        <w:ind w:left="120" w:firstLine="440"/>
        <w:spacing w:after="0" w:line="247" w:lineRule="auto"/>
        <w:rPr>
          <w:sz w:val="20"/>
          <w:szCs w:val="20"/>
          <w:color w:val="auto"/>
        </w:rPr>
      </w:pPr>
      <w:r>
        <w:rPr>
          <w:rFonts w:ascii="Arial" w:cs="Arial" w:eastAsia="Arial" w:hAnsi="Arial"/>
          <w:sz w:val="18"/>
          <w:szCs w:val="18"/>
          <w:b w:val="1"/>
          <w:bCs w:val="1"/>
          <w:color w:val="003B71"/>
        </w:rPr>
        <w:t xml:space="preserve">6.7 Performance Goals. </w:t>
      </w:r>
      <w:r>
        <w:rPr>
          <w:rFonts w:ascii="Arial" w:cs="Arial" w:eastAsia="Arial" w:hAnsi="Arial"/>
          <w:sz w:val="18"/>
          <w:szCs w:val="18"/>
          <w:color w:val="000000"/>
        </w:rPr>
        <w:t>The Committee may condition the grant of Options or the vesting of Options upon the Participant’s</w:t>
      </w:r>
      <w:r>
        <w:rPr>
          <w:rFonts w:ascii="Arial" w:cs="Arial" w:eastAsia="Arial" w:hAnsi="Arial"/>
          <w:sz w:val="18"/>
          <w:szCs w:val="18"/>
          <w:b w:val="1"/>
          <w:bCs w:val="1"/>
          <w:color w:val="003B71"/>
        </w:rPr>
        <w:t xml:space="preserve"> </w:t>
      </w:r>
      <w:r>
        <w:rPr>
          <w:rFonts w:ascii="Arial" w:cs="Arial" w:eastAsia="Arial" w:hAnsi="Arial"/>
          <w:sz w:val="18"/>
          <w:szCs w:val="18"/>
          <w:color w:val="000000"/>
        </w:rPr>
        <w:t>achievement of one or more performance goal(s) (including the Participant’s provision of Services for a designated time period), as specified in the Award Agreement. If the Participant fails to achieve the specified performance goal(s), the Committee shall not grant the Option to such Participant or the Option shall not vest, as applicable.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Article 7. Stock Appreciation Rights</w:t>
      </w:r>
    </w:p>
    <w:p>
      <w:pPr>
        <w:spacing w:after="0" w:line="104" w:lineRule="exact"/>
        <w:rPr>
          <w:sz w:val="20"/>
          <w:szCs w:val="20"/>
          <w:color w:val="auto"/>
        </w:rPr>
      </w:pPr>
    </w:p>
    <w:p>
      <w:pPr>
        <w:jc w:val="both"/>
        <w:ind w:left="120" w:right="20" w:firstLine="440"/>
        <w:spacing w:after="0" w:line="242" w:lineRule="auto"/>
        <w:rPr>
          <w:sz w:val="20"/>
          <w:szCs w:val="20"/>
          <w:color w:val="auto"/>
        </w:rPr>
      </w:pPr>
      <w:r>
        <w:rPr>
          <w:rFonts w:ascii="Arial" w:cs="Arial" w:eastAsia="Arial" w:hAnsi="Arial"/>
          <w:sz w:val="18"/>
          <w:szCs w:val="18"/>
          <w:b w:val="1"/>
          <w:bCs w:val="1"/>
          <w:color w:val="003B71"/>
        </w:rPr>
        <w:t xml:space="preserve">7.1 Grant of Stock Appreciation Rights. </w:t>
      </w:r>
      <w:r>
        <w:rPr>
          <w:rFonts w:ascii="Arial" w:cs="Arial" w:eastAsia="Arial" w:hAnsi="Arial"/>
          <w:sz w:val="18"/>
          <w:szCs w:val="18"/>
          <w:color w:val="000000"/>
        </w:rPr>
        <w:t>The Committee is hereby authorized to grant Stock Appreciation Rights to Participants,</w:t>
      </w:r>
      <w:r>
        <w:rPr>
          <w:rFonts w:ascii="Arial" w:cs="Arial" w:eastAsia="Arial" w:hAnsi="Arial"/>
          <w:sz w:val="18"/>
          <w:szCs w:val="18"/>
          <w:b w:val="1"/>
          <w:bCs w:val="1"/>
          <w:color w:val="003B71"/>
        </w:rPr>
        <w:t xml:space="preserve"> </w:t>
      </w:r>
      <w:r>
        <w:rPr>
          <w:rFonts w:ascii="Arial" w:cs="Arial" w:eastAsia="Arial" w:hAnsi="Arial"/>
          <w:sz w:val="18"/>
          <w:szCs w:val="18"/>
          <w:color w:val="000000"/>
        </w:rPr>
        <w:t>including a grant of Stock Appreciation Rights in tandem with any Option at the same time such Option is granted (a “</w:t>
      </w:r>
      <w:r>
        <w:rPr>
          <w:rFonts w:ascii="Arial" w:cs="Arial" w:eastAsia="Arial" w:hAnsi="Arial"/>
          <w:sz w:val="18"/>
          <w:szCs w:val="18"/>
          <w:u w:val="single" w:color="auto"/>
          <w:color w:val="000000"/>
        </w:rPr>
        <w:t>Tandem SAR</w:t>
      </w:r>
      <w:r>
        <w:rPr>
          <w:rFonts w:ascii="Arial" w:cs="Arial" w:eastAsia="Arial" w:hAnsi="Arial"/>
          <w:sz w:val="18"/>
          <w:szCs w:val="18"/>
          <w:color w:val="000000"/>
        </w:rPr>
        <w:t>”). Stock Appreciation Rights shall be evidenced by Award Agreements that shall conform to the requirements of the Plan and may contain such other provisions, as the Committee shall deem advisable. Subject to the terms of the Plan and any applicable Award Agreement, a Stock Appreciation Right granted under the Plan shall confer on the holder thereof a right to receive, upon exercise thereof, the excess of (a) the Fair</w:t>
      </w:r>
    </w:p>
    <w:p>
      <w:pPr>
        <w:spacing w:after="0" w:line="125"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A-8</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Market Value of a specified number of Shares on the date of exercise over (b) the grant price of the right as specified by the Committee on the date of the grant. Such payment may be in the form of cash, Shares, other property or any combination thereof, as the Committee shall determine in its sole discretion.</w:t>
      </w:r>
    </w:p>
    <w:p>
      <w:pPr>
        <w:spacing w:after="0" w:line="181" w:lineRule="exact"/>
        <w:rPr>
          <w:sz w:val="20"/>
          <w:szCs w:val="20"/>
          <w:color w:val="auto"/>
        </w:rPr>
      </w:pPr>
    </w:p>
    <w:p>
      <w:pPr>
        <w:jc w:val="both"/>
        <w:ind w:left="120" w:right="20" w:firstLine="440"/>
        <w:spacing w:after="0" w:line="244" w:lineRule="auto"/>
        <w:rPr>
          <w:sz w:val="20"/>
          <w:szCs w:val="20"/>
          <w:color w:val="auto"/>
        </w:rPr>
      </w:pPr>
      <w:r>
        <w:rPr>
          <w:rFonts w:ascii="Arial" w:cs="Arial" w:eastAsia="Arial" w:hAnsi="Arial"/>
          <w:sz w:val="18"/>
          <w:szCs w:val="18"/>
          <w:b w:val="1"/>
          <w:bCs w:val="1"/>
          <w:color w:val="003B71"/>
        </w:rPr>
        <w:t xml:space="preserve">7.2 Terms of Stock Appreciation Right. </w:t>
      </w:r>
      <w:r>
        <w:rPr>
          <w:rFonts w:ascii="Arial" w:cs="Arial" w:eastAsia="Arial" w:hAnsi="Arial"/>
          <w:sz w:val="18"/>
          <w:szCs w:val="18"/>
          <w:color w:val="000000"/>
        </w:rPr>
        <w:t>Subject to the terms of the Plan and any applicable Award Agreement, the grant price</w:t>
      </w:r>
      <w:r>
        <w:rPr>
          <w:rFonts w:ascii="Arial" w:cs="Arial" w:eastAsia="Arial" w:hAnsi="Arial"/>
          <w:sz w:val="18"/>
          <w:szCs w:val="18"/>
          <w:b w:val="1"/>
          <w:bCs w:val="1"/>
          <w:color w:val="003B71"/>
        </w:rPr>
        <w:t xml:space="preserve"> </w:t>
      </w:r>
      <w:r>
        <w:rPr>
          <w:rFonts w:ascii="Arial" w:cs="Arial" w:eastAsia="Arial" w:hAnsi="Arial"/>
          <w:sz w:val="18"/>
          <w:szCs w:val="18"/>
          <w:color w:val="000000"/>
        </w:rPr>
        <w:t>(which shall not be less than one hundred percent (100%) of the Fair Market Value of a Share on the date of grant), term, methods of exercise, methods of settlement, and any other terms and conditions of any Stock Appreciation Right shall be as determined by the Committee. The Committee may impose such other conditions or restrictions on the exercise of any Stock Appreciation Right as it may deem appropriate. No Stock Appreciation Right shall have a term of more than ten (10) years from the date of grant.</w:t>
      </w:r>
    </w:p>
    <w:p>
      <w:pPr>
        <w:spacing w:after="0" w:line="176" w:lineRule="exact"/>
        <w:rPr>
          <w:sz w:val="20"/>
          <w:szCs w:val="20"/>
          <w:color w:val="auto"/>
        </w:rPr>
      </w:pPr>
    </w:p>
    <w:p>
      <w:pPr>
        <w:jc w:val="both"/>
        <w:ind w:left="120" w:firstLine="440"/>
        <w:spacing w:after="0" w:line="247" w:lineRule="auto"/>
        <w:rPr>
          <w:sz w:val="20"/>
          <w:szCs w:val="20"/>
          <w:color w:val="auto"/>
        </w:rPr>
      </w:pPr>
      <w:r>
        <w:rPr>
          <w:rFonts w:ascii="Arial" w:cs="Arial" w:eastAsia="Arial" w:hAnsi="Arial"/>
          <w:sz w:val="18"/>
          <w:szCs w:val="18"/>
          <w:b w:val="1"/>
          <w:bCs w:val="1"/>
          <w:color w:val="003B71"/>
        </w:rPr>
        <w:t xml:space="preserve">7.3 Tandem Stock Appreciation Rights and Options. </w:t>
      </w:r>
      <w:r>
        <w:rPr>
          <w:rFonts w:ascii="Arial" w:cs="Arial" w:eastAsia="Arial" w:hAnsi="Arial"/>
          <w:sz w:val="18"/>
          <w:szCs w:val="18"/>
          <w:color w:val="000000"/>
        </w:rPr>
        <w:t>A Tandem SAR shall be exercisable only to the extent that the related</w:t>
      </w:r>
      <w:r>
        <w:rPr>
          <w:rFonts w:ascii="Arial" w:cs="Arial" w:eastAsia="Arial" w:hAnsi="Arial"/>
          <w:sz w:val="18"/>
          <w:szCs w:val="18"/>
          <w:b w:val="1"/>
          <w:bCs w:val="1"/>
          <w:color w:val="003B71"/>
        </w:rPr>
        <w:t xml:space="preserve"> </w:t>
      </w:r>
      <w:r>
        <w:rPr>
          <w:rFonts w:ascii="Arial" w:cs="Arial" w:eastAsia="Arial" w:hAnsi="Arial"/>
          <w:sz w:val="18"/>
          <w:szCs w:val="18"/>
          <w:color w:val="000000"/>
        </w:rPr>
        <w:t>Option is exercisable and shall expire no later than the expiration of the related Option. Upon the exercise of all or a portion of a Tandem SAR, a Participant shall be required to forfeit the right to purchase an equivalent portion of the related Option (and, when a Share is purchased under the related Option, the Participant shall be required to forfeit an equivalent portion of the Stock Appreciation Right).</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Article 8. Restricted Stock</w:t>
      </w:r>
    </w:p>
    <w:p>
      <w:pPr>
        <w:spacing w:after="0" w:line="104" w:lineRule="exact"/>
        <w:rPr>
          <w:sz w:val="20"/>
          <w:szCs w:val="20"/>
          <w:color w:val="auto"/>
        </w:rPr>
      </w:pPr>
    </w:p>
    <w:p>
      <w:pPr>
        <w:jc w:val="both"/>
        <w:ind w:left="120" w:firstLine="440"/>
        <w:spacing w:after="0" w:line="247" w:lineRule="auto"/>
        <w:rPr>
          <w:sz w:val="20"/>
          <w:szCs w:val="20"/>
          <w:color w:val="auto"/>
        </w:rPr>
      </w:pPr>
      <w:r>
        <w:rPr>
          <w:rFonts w:ascii="Arial" w:cs="Arial" w:eastAsia="Arial" w:hAnsi="Arial"/>
          <w:sz w:val="18"/>
          <w:szCs w:val="18"/>
          <w:b w:val="1"/>
          <w:bCs w:val="1"/>
          <w:color w:val="003B71"/>
        </w:rPr>
        <w:t xml:space="preserve">8.1 Grant of Restricted Stock. </w:t>
      </w:r>
      <w:r>
        <w:rPr>
          <w:rFonts w:ascii="Arial" w:cs="Arial" w:eastAsia="Arial" w:hAnsi="Arial"/>
          <w:sz w:val="18"/>
          <w:szCs w:val="18"/>
          <w:color w:val="000000"/>
        </w:rPr>
        <w:t>An Award of Restricted Stock is a grant by the Committee of a specified number of Shares to the</w:t>
      </w:r>
      <w:r>
        <w:rPr>
          <w:rFonts w:ascii="Arial" w:cs="Arial" w:eastAsia="Arial" w:hAnsi="Arial"/>
          <w:sz w:val="18"/>
          <w:szCs w:val="18"/>
          <w:b w:val="1"/>
          <w:bCs w:val="1"/>
          <w:color w:val="003B71"/>
        </w:rPr>
        <w:t xml:space="preserve"> </w:t>
      </w:r>
      <w:r>
        <w:rPr>
          <w:rFonts w:ascii="Arial" w:cs="Arial" w:eastAsia="Arial" w:hAnsi="Arial"/>
          <w:sz w:val="18"/>
          <w:szCs w:val="18"/>
          <w:color w:val="000000"/>
        </w:rPr>
        <w:t>Participant, which Shares are subject to forfeiture upon the occurrence of specified events. Restricted Stock shall be evidenced by an Award Agreement, which shall conform to the requirements of the Plan and may contain such other provisions, as the Committee shall deem advisable.</w:t>
      </w:r>
    </w:p>
    <w:p>
      <w:pPr>
        <w:spacing w:after="0" w:line="174"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b w:val="1"/>
          <w:bCs w:val="1"/>
          <w:color w:val="003B71"/>
        </w:rPr>
        <w:t xml:space="preserve">8.2 Terms of Restricted Stock Awards. </w:t>
      </w:r>
      <w:r>
        <w:rPr>
          <w:rFonts w:ascii="Arial" w:cs="Arial" w:eastAsia="Arial" w:hAnsi="Arial"/>
          <w:sz w:val="18"/>
          <w:szCs w:val="18"/>
          <w:color w:val="000000"/>
        </w:rPr>
        <w:t>Each Award Agreement evidencing a Restricted Stock grant shall specify the period(s) of</w:t>
      </w:r>
      <w:r>
        <w:rPr>
          <w:rFonts w:ascii="Arial" w:cs="Arial" w:eastAsia="Arial" w:hAnsi="Arial"/>
          <w:sz w:val="18"/>
          <w:szCs w:val="18"/>
          <w:b w:val="1"/>
          <w:bCs w:val="1"/>
          <w:color w:val="003B71"/>
        </w:rPr>
        <w:t xml:space="preserve"> </w:t>
      </w:r>
      <w:r>
        <w:rPr>
          <w:rFonts w:ascii="Arial" w:cs="Arial" w:eastAsia="Arial" w:hAnsi="Arial"/>
          <w:sz w:val="18"/>
          <w:szCs w:val="18"/>
          <w:color w:val="000000"/>
        </w:rPr>
        <w:t>restriction, the number of Shares of Restricted Stock subject to the Award, the performance, employment or other conditions (including the termination of a Participant’s Service whether due to death, disability or other reason) under which the Restricted Stock may be forfeited to the Company and such other provisions as the Committee shall determine. Any Restricted Stock granted under the Plan shall be evidenced in such manner as the Committee may deem appropriate, including book-entry registration or issuance of a stock certificate or certificates (in which case, the certificate(s) representing such Shares shall be legended as to sale, transfer, assignment, pledge or other encumbrances during the Restriction Period and deposited by the Participant, together with a stock power endorsed in blank, with the Company, to be held in escrow during the Restriction Period). At the end of the Restriction Period, assuming satisfaction of the applicable performance, employment or other conditions, the restrictions imposed hereunder and under the Award Agreement shall lapse with respect to the number of Shares of Restricted Stock as determined by the Committee, and the legend shall be removed and such number of Shares delivered to the Participant (or, where appropriate, the Participant’s legal representative).</w:t>
      </w:r>
    </w:p>
    <w:p>
      <w:pPr>
        <w:spacing w:after="0" w:line="186"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b w:val="1"/>
          <w:bCs w:val="1"/>
          <w:color w:val="003B71"/>
        </w:rPr>
        <w:t xml:space="preserve">8.3 Voting and Dividend Rights. </w:t>
      </w:r>
      <w:r>
        <w:rPr>
          <w:rFonts w:ascii="Arial" w:cs="Arial" w:eastAsia="Arial" w:hAnsi="Arial"/>
          <w:sz w:val="18"/>
          <w:szCs w:val="18"/>
          <w:color w:val="000000"/>
        </w:rPr>
        <w:t>Unless otherwise provided in an Award Agreement, Participants shall have none of the rights of a</w:t>
      </w:r>
      <w:r>
        <w:rPr>
          <w:rFonts w:ascii="Arial" w:cs="Arial" w:eastAsia="Arial" w:hAnsi="Arial"/>
          <w:sz w:val="18"/>
          <w:szCs w:val="18"/>
          <w:b w:val="1"/>
          <w:bCs w:val="1"/>
          <w:color w:val="003B71"/>
        </w:rPr>
        <w:t xml:space="preserve"> </w:t>
      </w:r>
      <w:r>
        <w:rPr>
          <w:rFonts w:ascii="Arial" w:cs="Arial" w:eastAsia="Arial" w:hAnsi="Arial"/>
          <w:sz w:val="18"/>
          <w:szCs w:val="18"/>
          <w:color w:val="000000"/>
        </w:rPr>
        <w:t xml:space="preserve">stockholder of the Company with respect to Restricted Stock until the end of the Restricted Period;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 Committee shall determine and set forth in a Participant’s Award Agreement whether or not a Participant holding Restricted Stock granted hereunder shall have the right to exercise voting rights with respect to the Restricted Stock during the Restriction Period (the Committee may require a Participant to grant an irrevocable proxy and power of substitution);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Participants shall have no right to receive dividends on a current basis with respect to the Restricted Stock during the Restriction Period (although such dividends may be accrued and later paid to the extent the underlying Award vests).</w:t>
      </w:r>
    </w:p>
    <w:p>
      <w:pPr>
        <w:spacing w:after="0" w:line="185" w:lineRule="exact"/>
        <w:rPr>
          <w:sz w:val="20"/>
          <w:szCs w:val="20"/>
          <w:color w:val="auto"/>
        </w:rPr>
      </w:pPr>
    </w:p>
    <w:p>
      <w:pPr>
        <w:jc w:val="both"/>
        <w:ind w:left="120" w:firstLine="440"/>
        <w:spacing w:after="0" w:line="247" w:lineRule="auto"/>
        <w:rPr>
          <w:sz w:val="20"/>
          <w:szCs w:val="20"/>
          <w:color w:val="auto"/>
        </w:rPr>
      </w:pPr>
      <w:r>
        <w:rPr>
          <w:rFonts w:ascii="Arial" w:cs="Arial" w:eastAsia="Arial" w:hAnsi="Arial"/>
          <w:sz w:val="18"/>
          <w:szCs w:val="18"/>
          <w:b w:val="1"/>
          <w:bCs w:val="1"/>
          <w:color w:val="003B71"/>
        </w:rPr>
        <w:t xml:space="preserve">8.4 Performance Goals. </w:t>
      </w:r>
      <w:r>
        <w:rPr>
          <w:rFonts w:ascii="Arial" w:cs="Arial" w:eastAsia="Arial" w:hAnsi="Arial"/>
          <w:sz w:val="18"/>
          <w:szCs w:val="18"/>
          <w:color w:val="000000"/>
        </w:rPr>
        <w:t>The Committee may condition the grant of Restricted Stock or the expiration of the Restriction Period upon</w:t>
      </w:r>
      <w:r>
        <w:rPr>
          <w:rFonts w:ascii="Arial" w:cs="Arial" w:eastAsia="Arial" w:hAnsi="Arial"/>
          <w:sz w:val="18"/>
          <w:szCs w:val="18"/>
          <w:b w:val="1"/>
          <w:bCs w:val="1"/>
          <w:color w:val="003B71"/>
        </w:rPr>
        <w:t xml:space="preserve"> </w:t>
      </w:r>
      <w:r>
        <w:rPr>
          <w:rFonts w:ascii="Arial" w:cs="Arial" w:eastAsia="Arial" w:hAnsi="Arial"/>
          <w:sz w:val="18"/>
          <w:szCs w:val="18"/>
          <w:color w:val="000000"/>
        </w:rPr>
        <w:t>the Participant’s achievement of one or more performance goal(s) (including the Participant’s provision of Services for a designated time period), as specified in the Award Agreement. If the Participant fails to achieve the specified performance goal(s), the Committee shall not grant the Restricted Stock to such Participant or the Participant shall forfeit the Award of Restricted Stock to the Company, as applicable.</w:t>
      </w:r>
    </w:p>
    <w:p>
      <w:pPr>
        <w:spacing w:after="0" w:line="174"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8"/>
          <w:szCs w:val="18"/>
          <w:b w:val="1"/>
          <w:bCs w:val="1"/>
          <w:color w:val="003B71"/>
        </w:rPr>
        <w:t xml:space="preserve">8.5 Section 83(b) Election. </w:t>
      </w:r>
      <w:r>
        <w:rPr>
          <w:rFonts w:ascii="Arial" w:cs="Arial" w:eastAsia="Arial" w:hAnsi="Arial"/>
          <w:sz w:val="18"/>
          <w:szCs w:val="18"/>
          <w:color w:val="000000"/>
        </w:rPr>
        <w:t>If a Participant makes an election pursuant to Section 83(b) of the Code concerning Restricted Stock,</w:t>
      </w:r>
      <w:r>
        <w:rPr>
          <w:rFonts w:ascii="Arial" w:cs="Arial" w:eastAsia="Arial" w:hAnsi="Arial"/>
          <w:sz w:val="18"/>
          <w:szCs w:val="18"/>
          <w:b w:val="1"/>
          <w:bCs w:val="1"/>
          <w:color w:val="003B71"/>
        </w:rPr>
        <w:t xml:space="preserve"> </w:t>
      </w:r>
      <w:r>
        <w:rPr>
          <w:rFonts w:ascii="Arial" w:cs="Arial" w:eastAsia="Arial" w:hAnsi="Arial"/>
          <w:sz w:val="18"/>
          <w:szCs w:val="18"/>
          <w:color w:val="000000"/>
        </w:rPr>
        <w:t>the Participant shall be required to file promptly a copy of such election with the Company.</w:t>
      </w:r>
    </w:p>
    <w:p>
      <w:pPr>
        <w:spacing w:after="0" w:line="100"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A-9</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Article 9. Other Stock-Based Awards; Cash-Based Awards</w:t>
      </w:r>
    </w:p>
    <w:p>
      <w:pPr>
        <w:spacing w:after="0" w:line="104"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b w:val="1"/>
          <w:bCs w:val="1"/>
          <w:color w:val="003B71"/>
        </w:rPr>
        <w:t xml:space="preserve">9.1 Other Stock-Based Awards. </w:t>
      </w:r>
      <w:r>
        <w:rPr>
          <w:rFonts w:ascii="Arial" w:cs="Arial" w:eastAsia="Arial" w:hAnsi="Arial"/>
          <w:sz w:val="18"/>
          <w:szCs w:val="18"/>
          <w:color w:val="000000"/>
        </w:rPr>
        <w:t>The Committee, in its sole discretion, may grant Awards of Shares and Awards that are valued, in</w:t>
      </w:r>
      <w:r>
        <w:rPr>
          <w:rFonts w:ascii="Arial" w:cs="Arial" w:eastAsia="Arial" w:hAnsi="Arial"/>
          <w:sz w:val="18"/>
          <w:szCs w:val="18"/>
          <w:b w:val="1"/>
          <w:bCs w:val="1"/>
          <w:color w:val="003B71"/>
        </w:rPr>
        <w:t xml:space="preserve"> </w:t>
      </w:r>
      <w:r>
        <w:rPr>
          <w:rFonts w:ascii="Arial" w:cs="Arial" w:eastAsia="Arial" w:hAnsi="Arial"/>
          <w:sz w:val="18"/>
          <w:szCs w:val="18"/>
          <w:color w:val="000000"/>
        </w:rPr>
        <w:t>whole or in part, by reference to, or are otherwise based on the Fair Market Value of Shares (the “</w:t>
      </w:r>
      <w:r>
        <w:rPr>
          <w:rFonts w:ascii="Arial" w:cs="Arial" w:eastAsia="Arial" w:hAnsi="Arial"/>
          <w:sz w:val="18"/>
          <w:szCs w:val="18"/>
          <w:u w:val="single" w:color="auto"/>
          <w:color w:val="000000"/>
        </w:rPr>
        <w:t>Other Stock-Based Awards</w:t>
      </w:r>
      <w:r>
        <w:rPr>
          <w:rFonts w:ascii="Arial" w:cs="Arial" w:eastAsia="Arial" w:hAnsi="Arial"/>
          <w:sz w:val="18"/>
          <w:szCs w:val="18"/>
          <w:color w:val="000000"/>
        </w:rPr>
        <w:t>”), including without limitation, restricted stock units and other phantom awards. Such Other Stock-Based Awards shall be in such form, and dependent on such conditions, as the Committee shall determine, including, without limitation, the right to receive one or more Shares (or the equivalent cash value of such Shares) upon the completion of a specified period of Service, the occurrence of an event and/or the attainment of performance objectives. Other Stock-Based Awards may be granted alone or in addition to any other Awards granted under the Plan. Subject to the provisions of the Plan, the Committee shall determine to whom and when Other Stock-Based Awards will be made, the number of Shares to be awarded under (or otherwise related to) such Other Stock-Based Awards, whether such Other Stock-Based Awards shall be settled in cash, Shares or a combination of cash and Shares, and all other terms and conditions of such Awards (including, without limitation, the vesting provisions thereof and provisions ensuring that all Shares so awarded and issued shall be fully paid and non-assessable).</w:t>
      </w:r>
    </w:p>
    <w:p>
      <w:pPr>
        <w:spacing w:after="0" w:line="186"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b w:val="1"/>
          <w:bCs w:val="1"/>
          <w:color w:val="003B71"/>
        </w:rPr>
        <w:t xml:space="preserve">9.2 Cash-Based Awards. </w:t>
      </w:r>
      <w:r>
        <w:rPr>
          <w:rFonts w:ascii="Arial" w:cs="Arial" w:eastAsia="Arial" w:hAnsi="Arial"/>
          <w:sz w:val="18"/>
          <w:szCs w:val="18"/>
          <w:color w:val="000000"/>
        </w:rPr>
        <w:t>The Committee, in its sole discretion, may grant Awards that have a value set by the Committee (the</w:t>
      </w:r>
      <w:r>
        <w:rPr>
          <w:rFonts w:ascii="Arial" w:cs="Arial" w:eastAsia="Arial" w:hAnsi="Arial"/>
          <w:sz w:val="18"/>
          <w:szCs w:val="18"/>
          <w:b w:val="1"/>
          <w:bCs w:val="1"/>
          <w:color w:val="003B71"/>
        </w:rPr>
        <w:t xml:space="preserve"> </w:t>
      </w:r>
      <w:r>
        <w:rPr>
          <w:rFonts w:ascii="Arial" w:cs="Arial" w:eastAsia="Arial" w:hAnsi="Arial"/>
          <w:sz w:val="18"/>
          <w:szCs w:val="18"/>
          <w:color w:val="000000"/>
        </w:rPr>
        <w:t>“</w:t>
      </w:r>
      <w:r>
        <w:rPr>
          <w:rFonts w:ascii="Arial" w:cs="Arial" w:eastAsia="Arial" w:hAnsi="Arial"/>
          <w:sz w:val="18"/>
          <w:szCs w:val="18"/>
          <w:u w:val="single" w:color="auto"/>
          <w:color w:val="000000"/>
        </w:rPr>
        <w:t>Cash-Based Awards</w:t>
      </w:r>
      <w:r>
        <w:rPr>
          <w:rFonts w:ascii="Arial" w:cs="Arial" w:eastAsia="Arial" w:hAnsi="Arial"/>
          <w:sz w:val="18"/>
          <w:szCs w:val="18"/>
          <w:color w:val="000000"/>
        </w:rPr>
        <w:t>”). Such Cash-Based Awards shall be in such form, and dependent on such conditions, as the Committee shall determine, including, without limitation, the right to receive cash or one or more Shares upon the completion of a specified period of Service, the occurrence of an event and/or the attainment of performance objectives. Cash-Based Awards may be granted alone or in addition to any other Awards granted under the Plan. Subject to the provisions of the Plan, the Committee shall determine to whom and when Cash-Based Awards will be made, whether such Cash-Based Awards shall be settled in cash, Shares or a combination of cash and Shares, and all other terms and conditions of such Awards (including, without limitation, the vesting provisions thereof and provisions ensuring that all Shares so awarded and issued shall be fully paid and non-assessable).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Article 10. Performance-Based Compensation</w:t>
      </w:r>
    </w:p>
    <w:p>
      <w:pPr>
        <w:spacing w:after="0" w:line="104"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8"/>
          <w:szCs w:val="18"/>
          <w:b w:val="1"/>
          <w:bCs w:val="1"/>
          <w:color w:val="003B71"/>
        </w:rPr>
        <w:t xml:space="preserve">10.1 Grant of Performance-Based Compensation. </w:t>
      </w:r>
      <w:r>
        <w:rPr>
          <w:rFonts w:ascii="Arial" w:cs="Arial" w:eastAsia="Arial" w:hAnsi="Arial"/>
          <w:sz w:val="18"/>
          <w:szCs w:val="18"/>
          <w:color w:val="000000"/>
        </w:rPr>
        <w:t>The Committee is authorized to design any Award so that the amounts or</w:t>
      </w:r>
      <w:r>
        <w:rPr>
          <w:rFonts w:ascii="Arial" w:cs="Arial" w:eastAsia="Arial" w:hAnsi="Arial"/>
          <w:sz w:val="18"/>
          <w:szCs w:val="18"/>
          <w:b w:val="1"/>
          <w:bCs w:val="1"/>
          <w:color w:val="003B71"/>
        </w:rPr>
        <w:t xml:space="preserve"> </w:t>
      </w:r>
      <w:r>
        <w:rPr>
          <w:rFonts w:ascii="Arial" w:cs="Arial" w:eastAsia="Arial" w:hAnsi="Arial"/>
          <w:sz w:val="18"/>
          <w:szCs w:val="18"/>
          <w:color w:val="000000"/>
        </w:rPr>
        <w:t>Shares payable or distributed pursuant to such Award are contingent upon the achievement of performance goals.</w:t>
      </w:r>
    </w:p>
    <w:p>
      <w:pPr>
        <w:spacing w:after="0" w:line="154" w:lineRule="exact"/>
        <w:rPr>
          <w:sz w:val="20"/>
          <w:szCs w:val="20"/>
          <w:color w:val="auto"/>
        </w:rPr>
      </w:pPr>
    </w:p>
    <w:p>
      <w:pPr>
        <w:jc w:val="both"/>
        <w:ind w:left="120" w:right="20" w:firstLine="440"/>
        <w:spacing w:after="0" w:line="239" w:lineRule="auto"/>
        <w:rPr>
          <w:sz w:val="20"/>
          <w:szCs w:val="20"/>
          <w:color w:val="auto"/>
        </w:rPr>
      </w:pPr>
      <w:r>
        <w:rPr>
          <w:rFonts w:ascii="Arial" w:cs="Arial" w:eastAsia="Arial" w:hAnsi="Arial"/>
          <w:sz w:val="18"/>
          <w:szCs w:val="18"/>
          <w:b w:val="1"/>
          <w:bCs w:val="1"/>
          <w:color w:val="003B71"/>
        </w:rPr>
        <w:t xml:space="preserve">10.2 Performance Measures. </w:t>
      </w:r>
      <w:r>
        <w:rPr>
          <w:rFonts w:ascii="Arial" w:cs="Arial" w:eastAsia="Arial" w:hAnsi="Arial"/>
          <w:sz w:val="18"/>
          <w:szCs w:val="18"/>
          <w:color w:val="000000"/>
        </w:rPr>
        <w:t>The vesting, crediting and/or payment of performance-based Awards may be based on the</w:t>
      </w:r>
      <w:r>
        <w:rPr>
          <w:rFonts w:ascii="Arial" w:cs="Arial" w:eastAsia="Arial" w:hAnsi="Arial"/>
          <w:sz w:val="18"/>
          <w:szCs w:val="18"/>
          <w:b w:val="1"/>
          <w:bCs w:val="1"/>
          <w:color w:val="003B71"/>
        </w:rPr>
        <w:t xml:space="preserve"> </w:t>
      </w:r>
      <w:r>
        <w:rPr>
          <w:rFonts w:ascii="Arial" w:cs="Arial" w:eastAsia="Arial" w:hAnsi="Arial"/>
          <w:sz w:val="18"/>
          <w:szCs w:val="18"/>
          <w:color w:val="000000"/>
        </w:rPr>
        <w:t>achievement of objective performance goals based on one or more of the following Performance Measures: (a) consolidated earnings before or after taxes (including earnings before interest, taxes, depreciation and amortization (“</w:t>
      </w:r>
      <w:r>
        <w:rPr>
          <w:rFonts w:ascii="Arial" w:cs="Arial" w:eastAsia="Arial" w:hAnsi="Arial"/>
          <w:sz w:val="18"/>
          <w:szCs w:val="18"/>
          <w:u w:val="single" w:color="auto"/>
          <w:color w:val="000000"/>
        </w:rPr>
        <w:t>EBITDA</w:t>
      </w:r>
      <w:r>
        <w:rPr>
          <w:rFonts w:ascii="Arial" w:cs="Arial" w:eastAsia="Arial" w:hAnsi="Arial"/>
          <w:sz w:val="18"/>
          <w:szCs w:val="18"/>
          <w:color w:val="000000"/>
        </w:rPr>
        <w:t>”)); (b) net income before or after taxes; (c) operating income; (d) earnings per Share; (e) book value per Share; (f) return on shareholders’ equity; (g) expense management; (h) return on investment; (i) improvements in capital structure; (j) profitability of an identifiable business unit or product;</w:t>
      </w:r>
    </w:p>
    <w:p>
      <w:pPr>
        <w:spacing w:after="0" w:line="4" w:lineRule="exact"/>
        <w:rPr>
          <w:sz w:val="20"/>
          <w:szCs w:val="20"/>
          <w:color w:val="auto"/>
        </w:rPr>
      </w:pPr>
    </w:p>
    <w:p>
      <w:pPr>
        <w:jc w:val="both"/>
        <w:ind w:left="120" w:right="20" w:hanging="4"/>
        <w:spacing w:after="0" w:line="234" w:lineRule="auto"/>
        <w:tabs>
          <w:tab w:leader="none" w:pos="41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maintenance or improvement of profit margins; (l) stock price; (m) market share; (n) revenues or sales; (o) costs; (p) cash flow (including, but not limited to, operating cash flow and free cash flow); (q) working capital; (r) return on assets; (s) attainment of objectives</w:t>
      </w:r>
    </w:p>
    <w:p>
      <w:pPr>
        <w:ind w:left="120"/>
        <w:spacing w:after="0" w:line="236" w:lineRule="auto"/>
        <w:rPr>
          <w:sz w:val="20"/>
          <w:szCs w:val="20"/>
          <w:color w:val="auto"/>
        </w:rPr>
      </w:pPr>
      <w:r>
        <w:rPr>
          <w:rFonts w:ascii="Arial" w:cs="Arial" w:eastAsia="Arial" w:hAnsi="Arial"/>
          <w:sz w:val="18"/>
          <w:szCs w:val="18"/>
          <w:color w:val="auto"/>
        </w:rPr>
        <w:t>relating to store remodels or repair and maintenance; (t) staff training; (u) corporate social responsibility policy implementation;</w:t>
      </w:r>
    </w:p>
    <w:p>
      <w:pPr>
        <w:jc w:val="both"/>
        <w:ind w:left="120" w:hanging="4"/>
        <w:spacing w:after="0" w:line="236" w:lineRule="auto"/>
        <w:tabs>
          <w:tab w:leader="none" w:pos="39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economic value added; (w) debt reduction; (x) completion of acquisitions or divestitures; (y) operating efficiency; (z) sales per square foot; (aa) revenue mix; (bb) capital expenditures versus budgeted expenditures (total, exclusive of IT/Games, or maintenance only); (cc) operating income; (dd) income from franchise units; (ee) unit-level EBITDA less G&amp;A expenses; (ff) manager’s operating contribution; (gg) regional operating contribution; (hh) profitability of various revenue streams; (ii) cash flow per share (before and after dividends or before and after debt payments); (jj) total shareholder return (relative to industry/peer group and/or absolute); (kk) lease executions; (ll) franchise unit growth; (mm) employee turnover/retention (for entire population or a subset of employee population); (nn) employee satisfaction; (oo) guest satisfaction (overall and/or specific metrics); (pp) guest traffic; (qq) guest loyalty (including but not limited to participation and satisfaction); (rr) attainment of strategic and operational initiatives (MBOs); (ss) marketing/brand awareness scores; (tt) third-party operational/compliance audits; (uu) balanced scorecard; (vv) culinary product pipeline goals; (ww) guest experience; (xx) inventory turnover; (yy) brand positioning goals; (zz) comparable store sales (aaa) return on invested capital; (bbb) new store openings; (ccc) development pipeline goals; (ddd) attainment of objectives relating to acquisitions or divestitures; (eee) attainment of specified business expansion goals; (fff) expansion of specified programs or initiatives; and (ggg) any other metric as may be determined by the Committee.</w:t>
      </w:r>
    </w:p>
    <w:p>
      <w:pPr>
        <w:spacing w:after="0" w:line="128" w:lineRule="exact"/>
        <w:rPr>
          <w:sz w:val="20"/>
          <w:szCs w:val="20"/>
          <w:color w:val="auto"/>
        </w:rPr>
      </w:pPr>
    </w:p>
    <w:p>
      <w:pPr>
        <w:ind w:left="120"/>
        <w:spacing w:after="0"/>
        <w:tabs>
          <w:tab w:leader="none" w:pos="55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A-10</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firstLine="440"/>
        <w:spacing w:after="0" w:line="237" w:lineRule="auto"/>
        <w:rPr>
          <w:sz w:val="20"/>
          <w:szCs w:val="20"/>
          <w:color w:val="auto"/>
        </w:rPr>
      </w:pPr>
      <w:r>
        <w:rPr>
          <w:rFonts w:ascii="Arial" w:cs="Arial" w:eastAsia="Arial" w:hAnsi="Arial"/>
          <w:sz w:val="18"/>
          <w:szCs w:val="18"/>
          <w:color w:val="auto"/>
        </w:rPr>
        <w:t>Any Performance Measure may be (i) used to measure the performance of the Company and/or any of its Subsidiaries or Affiliates as a whole, any business unit thereof or any combination thereof against any goal including past performance or (ii) compared to the performance of a group of comparable companies, or a published or special index, in each case that the Committee, in its sole discretion, deems appropriate. The Committee may provide for exclusion of the impact of an event or occurrence which the Committee determines should appropriately be excluded, (including to prorate goals and payments for a partial Plan Year), and including but not limited to in the event of the following occurrences: (A) non-recurring events, including divestitures, spin-offs, or changes in accounting standards or policies; (B) mergers and acquisitions; and (C) financing transactions, including selling accounts receivable.</w:t>
      </w:r>
    </w:p>
    <w:p>
      <w:pPr>
        <w:spacing w:after="0" w:line="181" w:lineRule="exact"/>
        <w:rPr>
          <w:sz w:val="20"/>
          <w:szCs w:val="20"/>
          <w:color w:val="auto"/>
        </w:rPr>
      </w:pPr>
    </w:p>
    <w:p>
      <w:pPr>
        <w:jc w:val="both"/>
        <w:ind w:left="120" w:right="20" w:firstLine="440"/>
        <w:spacing w:after="0" w:line="242" w:lineRule="auto"/>
        <w:rPr>
          <w:sz w:val="20"/>
          <w:szCs w:val="20"/>
          <w:color w:val="auto"/>
        </w:rPr>
      </w:pPr>
      <w:r>
        <w:rPr>
          <w:rFonts w:ascii="Arial" w:cs="Arial" w:eastAsia="Arial" w:hAnsi="Arial"/>
          <w:sz w:val="18"/>
          <w:szCs w:val="18"/>
          <w:b w:val="1"/>
          <w:bCs w:val="1"/>
          <w:color w:val="003B71"/>
        </w:rPr>
        <w:t xml:space="preserve">10.3 Establishment of Performance Goals. </w:t>
      </w:r>
      <w:r>
        <w:rPr>
          <w:rFonts w:ascii="Arial" w:cs="Arial" w:eastAsia="Arial" w:hAnsi="Arial"/>
          <w:sz w:val="18"/>
          <w:szCs w:val="18"/>
          <w:color w:val="000000"/>
        </w:rPr>
        <w:t>No later than ninety (90) days after the commencement of a Performance Period (or</w:t>
      </w:r>
      <w:r>
        <w:rPr>
          <w:rFonts w:ascii="Arial" w:cs="Arial" w:eastAsia="Arial" w:hAnsi="Arial"/>
          <w:sz w:val="18"/>
          <w:szCs w:val="18"/>
          <w:b w:val="1"/>
          <w:bCs w:val="1"/>
          <w:color w:val="003B71"/>
        </w:rPr>
        <w:t xml:space="preserve"> </w:t>
      </w:r>
      <w:r>
        <w:rPr>
          <w:rFonts w:ascii="Arial" w:cs="Arial" w:eastAsia="Arial" w:hAnsi="Arial"/>
          <w:sz w:val="18"/>
          <w:szCs w:val="18"/>
          <w:color w:val="000000"/>
        </w:rPr>
        <w:t>such other period of time as may be determined as appropriate by the Committee), the Committee shall establish in writing: (a) the performance goals applicable to the Performance Period; (b) the Performance Measures to be used to measure the performance goals in terms of an objective formula or standard; (c) the formula for computing the amount of compensation payable to the Participant if such performance goals are obtained; and (d) the Participants or class of Participants to which such performance goals apply. The outcome of such performance goals must be substantially uncertain when the Committee establishes the goals.</w:t>
      </w:r>
    </w:p>
    <w:p>
      <w:pPr>
        <w:spacing w:after="0" w:line="179"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8"/>
          <w:szCs w:val="18"/>
          <w:b w:val="1"/>
          <w:bCs w:val="1"/>
          <w:color w:val="003B71"/>
        </w:rPr>
        <w:t xml:space="preserve">10.4 Adjustment of Performance-Based Compensation. </w:t>
      </w:r>
      <w:r>
        <w:rPr>
          <w:rFonts w:ascii="Arial" w:cs="Arial" w:eastAsia="Arial" w:hAnsi="Arial"/>
          <w:sz w:val="18"/>
          <w:szCs w:val="18"/>
          <w:color w:val="000000"/>
        </w:rPr>
        <w:t>The Committee shall retain the discretion to adjust performance-based</w:t>
      </w:r>
      <w:r>
        <w:rPr>
          <w:rFonts w:ascii="Arial" w:cs="Arial" w:eastAsia="Arial" w:hAnsi="Arial"/>
          <w:sz w:val="18"/>
          <w:szCs w:val="18"/>
          <w:b w:val="1"/>
          <w:bCs w:val="1"/>
          <w:color w:val="003B71"/>
        </w:rPr>
        <w:t xml:space="preserve"> </w:t>
      </w:r>
      <w:r>
        <w:rPr>
          <w:rFonts w:ascii="Arial" w:cs="Arial" w:eastAsia="Arial" w:hAnsi="Arial"/>
          <w:sz w:val="18"/>
          <w:szCs w:val="18"/>
          <w:color w:val="000000"/>
        </w:rPr>
        <w:t>Awards upward or downward, either on a formula or discretionary basis or any combination, as the Committee determines.</w:t>
      </w:r>
    </w:p>
    <w:p>
      <w:pPr>
        <w:spacing w:after="0" w:line="154" w:lineRule="exact"/>
        <w:rPr>
          <w:sz w:val="20"/>
          <w:szCs w:val="20"/>
          <w:color w:val="auto"/>
        </w:rPr>
      </w:pPr>
    </w:p>
    <w:p>
      <w:pPr>
        <w:jc w:val="both"/>
        <w:ind w:left="120" w:right="20" w:firstLine="440"/>
        <w:spacing w:after="0" w:line="247" w:lineRule="auto"/>
        <w:rPr>
          <w:sz w:val="20"/>
          <w:szCs w:val="20"/>
          <w:color w:val="auto"/>
        </w:rPr>
      </w:pPr>
      <w:r>
        <w:rPr>
          <w:rFonts w:ascii="Arial" w:cs="Arial" w:eastAsia="Arial" w:hAnsi="Arial"/>
          <w:sz w:val="18"/>
          <w:szCs w:val="18"/>
          <w:b w:val="1"/>
          <w:bCs w:val="1"/>
          <w:color w:val="003B71"/>
        </w:rPr>
        <w:t xml:space="preserve">10.5 Certification of Performance. </w:t>
      </w:r>
      <w:r>
        <w:rPr>
          <w:rFonts w:ascii="Arial" w:cs="Arial" w:eastAsia="Arial" w:hAnsi="Arial"/>
          <w:sz w:val="18"/>
          <w:szCs w:val="18"/>
          <w:color w:val="000000"/>
        </w:rPr>
        <w:t>Except for Awards that pay compensation attributable solely to an increase in the value of</w:t>
      </w:r>
      <w:r>
        <w:rPr>
          <w:rFonts w:ascii="Arial" w:cs="Arial" w:eastAsia="Arial" w:hAnsi="Arial"/>
          <w:sz w:val="18"/>
          <w:szCs w:val="18"/>
          <w:b w:val="1"/>
          <w:bCs w:val="1"/>
          <w:color w:val="003B71"/>
        </w:rPr>
        <w:t xml:space="preserve"> </w:t>
      </w:r>
      <w:r>
        <w:rPr>
          <w:rFonts w:ascii="Arial" w:cs="Arial" w:eastAsia="Arial" w:hAnsi="Arial"/>
          <w:sz w:val="18"/>
          <w:szCs w:val="18"/>
          <w:color w:val="000000"/>
        </w:rPr>
        <w:t>Shares, no Award designed as performance-based shall be vested, credited or paid, as applicable, with respect to any Participant until the Committee certifies in writing that the performance goals and any other material terms applicable to such Performance Period have been satisfied.</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Article 11. Compliance with Section 409A of the Code and Section 457A of the Code</w:t>
      </w:r>
    </w:p>
    <w:p>
      <w:pPr>
        <w:spacing w:after="0" w:line="104" w:lineRule="exact"/>
        <w:rPr>
          <w:sz w:val="20"/>
          <w:szCs w:val="20"/>
          <w:color w:val="auto"/>
        </w:rPr>
      </w:pPr>
    </w:p>
    <w:p>
      <w:pPr>
        <w:jc w:val="both"/>
        <w:ind w:left="120" w:firstLine="440"/>
        <w:spacing w:after="0" w:line="239" w:lineRule="auto"/>
        <w:rPr>
          <w:sz w:val="20"/>
          <w:szCs w:val="20"/>
          <w:color w:val="auto"/>
        </w:rPr>
      </w:pPr>
      <w:r>
        <w:rPr>
          <w:rFonts w:ascii="Arial" w:cs="Arial" w:eastAsia="Arial" w:hAnsi="Arial"/>
          <w:sz w:val="18"/>
          <w:szCs w:val="18"/>
          <w:b w:val="1"/>
          <w:bCs w:val="1"/>
          <w:color w:val="003B71"/>
        </w:rPr>
        <w:t xml:space="preserve">11.1 General. </w:t>
      </w:r>
      <w:r>
        <w:rPr>
          <w:rFonts w:ascii="Arial" w:cs="Arial" w:eastAsia="Arial" w:hAnsi="Arial"/>
          <w:sz w:val="18"/>
          <w:szCs w:val="18"/>
          <w:color w:val="000000"/>
        </w:rPr>
        <w:t>The Company intends that all Awards be structured in compliance with, or to satisfy an exemption from, Section 409A</w:t>
      </w:r>
      <w:r>
        <w:rPr>
          <w:rFonts w:ascii="Arial" w:cs="Arial" w:eastAsia="Arial" w:hAnsi="Arial"/>
          <w:sz w:val="18"/>
          <w:szCs w:val="18"/>
          <w:b w:val="1"/>
          <w:bCs w:val="1"/>
          <w:color w:val="003B71"/>
        </w:rPr>
        <w:t xml:space="preserve"> </w:t>
      </w:r>
      <w:r>
        <w:rPr>
          <w:rFonts w:ascii="Arial" w:cs="Arial" w:eastAsia="Arial" w:hAnsi="Arial"/>
          <w:sz w:val="18"/>
          <w:szCs w:val="18"/>
          <w:color w:val="000000"/>
        </w:rPr>
        <w:t>of the Code and all regulations, guidance, compliance programs and other interpretative authority thereunder (“</w:t>
      </w:r>
      <w:r>
        <w:rPr>
          <w:rFonts w:ascii="Arial" w:cs="Arial" w:eastAsia="Arial" w:hAnsi="Arial"/>
          <w:sz w:val="18"/>
          <w:szCs w:val="18"/>
          <w:u w:val="single" w:color="auto"/>
          <w:color w:val="000000"/>
        </w:rPr>
        <w:t>Section 409A</w:t>
      </w:r>
      <w:r>
        <w:rPr>
          <w:rFonts w:ascii="Arial" w:cs="Arial" w:eastAsia="Arial" w:hAnsi="Arial"/>
          <w:sz w:val="18"/>
          <w:szCs w:val="18"/>
          <w:color w:val="000000"/>
        </w:rPr>
        <w:t>”), such that there are no adverse tax consequences, interest, or penalties as a result of the Awards. Notwithstanding the Company’s intention, in the event any Award is subject to Section 409A, the Committee may, in its sole discretion and without a Participant’s prior consent, amend the Plan and/or Awards, adopt policies and procedures, or take any other actions (including amendments, policies, procedures and actions with retroactive effect) as are necessary or appropriate to (a) exempt the Plan and/or any Award from the application of Section 409A,</w:t>
      </w:r>
    </w:p>
    <w:p>
      <w:pPr>
        <w:jc w:val="both"/>
        <w:ind w:left="120" w:right="20" w:hanging="4"/>
        <w:spacing w:after="0"/>
        <w:tabs>
          <w:tab w:leader="none" w:pos="42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preserve the intended tax treatment of any such Award, or (c) comply with the requirements of Section 409A, including without limitation any such regulations guidance, compliance programs and other interpretative authority that may be issued after the date of grant of an Award.</w:t>
      </w:r>
    </w:p>
    <w:p>
      <w:pPr>
        <w:spacing w:after="0" w:line="181"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b w:val="1"/>
          <w:bCs w:val="1"/>
          <w:color w:val="003B71"/>
        </w:rPr>
        <w:t xml:space="preserve">11.2 Payments to Specified Employees. </w:t>
      </w:r>
      <w:r>
        <w:rPr>
          <w:rFonts w:ascii="Arial" w:cs="Arial" w:eastAsia="Arial" w:hAnsi="Arial"/>
          <w:sz w:val="18"/>
          <w:szCs w:val="18"/>
          <w:color w:val="000000"/>
        </w:rPr>
        <w:t>Notwithstanding any contrary provision in the Plan or Award Agreement, any payment(s)</w:t>
      </w:r>
      <w:r>
        <w:rPr>
          <w:rFonts w:ascii="Arial" w:cs="Arial" w:eastAsia="Arial" w:hAnsi="Arial"/>
          <w:sz w:val="18"/>
          <w:szCs w:val="18"/>
          <w:b w:val="1"/>
          <w:bCs w:val="1"/>
          <w:color w:val="003B71"/>
        </w:rPr>
        <w:t xml:space="preserve"> </w:t>
      </w:r>
      <w:r>
        <w:rPr>
          <w:rFonts w:ascii="Arial" w:cs="Arial" w:eastAsia="Arial" w:hAnsi="Arial"/>
          <w:sz w:val="18"/>
          <w:szCs w:val="18"/>
          <w:color w:val="000000"/>
        </w:rPr>
        <w:t>of nonqualified deferred compensation (within the meaning of Section 409A) that are otherwise required to be made under the Plan to a “specified employee” (as defined under Section 409A) as a result of his or her separation from service (other than a payment that is not subject to Section 409A) shall, solely to the extent necessary to avoid the imposition of taxes thereunder, be delayed for the first six months following such separation from service (or, if earlier, the date of death of the specified employee) and shall instead be paid (in a manner set forth in the Award Agreement) on the payment date that immediately follows the end of such six-month period or as soon as administratively practicable within thirty (30) days thereafter, but in no event later than the end of the applicable taxable year.</w:t>
      </w:r>
    </w:p>
    <w:p>
      <w:pPr>
        <w:spacing w:after="0" w:line="185" w:lineRule="exact"/>
        <w:rPr>
          <w:sz w:val="20"/>
          <w:szCs w:val="20"/>
          <w:color w:val="auto"/>
        </w:rPr>
      </w:pPr>
    </w:p>
    <w:p>
      <w:pPr>
        <w:jc w:val="both"/>
        <w:ind w:left="120" w:firstLine="440"/>
        <w:spacing w:after="0" w:line="244" w:lineRule="auto"/>
        <w:rPr>
          <w:sz w:val="20"/>
          <w:szCs w:val="20"/>
          <w:color w:val="auto"/>
        </w:rPr>
      </w:pPr>
      <w:r>
        <w:rPr>
          <w:rFonts w:ascii="Arial" w:cs="Arial" w:eastAsia="Arial" w:hAnsi="Arial"/>
          <w:sz w:val="18"/>
          <w:szCs w:val="18"/>
          <w:b w:val="1"/>
          <w:bCs w:val="1"/>
          <w:color w:val="003B71"/>
        </w:rPr>
        <w:t xml:space="preserve">11.3 Separation from Service. </w:t>
      </w:r>
      <w:r>
        <w:rPr>
          <w:rFonts w:ascii="Arial" w:cs="Arial" w:eastAsia="Arial" w:hAnsi="Arial"/>
          <w:sz w:val="18"/>
          <w:szCs w:val="18"/>
          <w:color w:val="000000"/>
        </w:rPr>
        <w:t>A termination of employment shall not be deemed to have occurred for purposes of any provision of</w:t>
      </w:r>
      <w:r>
        <w:rPr>
          <w:rFonts w:ascii="Arial" w:cs="Arial" w:eastAsia="Arial" w:hAnsi="Arial"/>
          <w:sz w:val="18"/>
          <w:szCs w:val="18"/>
          <w:b w:val="1"/>
          <w:bCs w:val="1"/>
          <w:color w:val="003B71"/>
        </w:rPr>
        <w:t xml:space="preserve"> </w:t>
      </w:r>
      <w:r>
        <w:rPr>
          <w:rFonts w:ascii="Arial" w:cs="Arial" w:eastAsia="Arial" w:hAnsi="Arial"/>
          <w:sz w:val="18"/>
          <w:szCs w:val="18"/>
          <w:color w:val="000000"/>
        </w:rPr>
        <w:t>the Plan or any Award Agreement providing for the payment of any amounts or benefits that are considered nonqualified deferred compensation under Section 409A upon or following a termination of employment, unless such termination is also a “separation from service” within the meaning of Section 409A and the payment thereof prior to a “separation from service” would violate Section 409A. For purposes of any such provision of the</w:t>
      </w:r>
    </w:p>
    <w:p>
      <w:pPr>
        <w:spacing w:after="0" w:line="122" w:lineRule="exact"/>
        <w:rPr>
          <w:sz w:val="20"/>
          <w:szCs w:val="20"/>
          <w:color w:val="auto"/>
        </w:rPr>
      </w:pPr>
    </w:p>
    <w:p>
      <w:pPr>
        <w:ind w:left="120"/>
        <w:spacing w:after="0"/>
        <w:tabs>
          <w:tab w:leader="none" w:pos="55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A-11</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Plan or any Award Agreement relating to any such payments or benefits, references to a “termination,” “termination of employment” or like terms shall mean “separation from service.”</w:t>
      </w:r>
    </w:p>
    <w:p>
      <w:pPr>
        <w:spacing w:after="0" w:line="175" w:lineRule="exact"/>
        <w:rPr>
          <w:sz w:val="20"/>
          <w:szCs w:val="20"/>
          <w:color w:val="auto"/>
        </w:rPr>
      </w:pPr>
    </w:p>
    <w:p>
      <w:pPr>
        <w:jc w:val="both"/>
        <w:ind w:left="120" w:firstLine="440"/>
        <w:spacing w:after="0" w:line="239" w:lineRule="auto"/>
        <w:rPr>
          <w:sz w:val="20"/>
          <w:szCs w:val="20"/>
          <w:color w:val="auto"/>
        </w:rPr>
      </w:pPr>
      <w:r>
        <w:rPr>
          <w:rFonts w:ascii="Arial" w:cs="Arial" w:eastAsia="Arial" w:hAnsi="Arial"/>
          <w:sz w:val="18"/>
          <w:szCs w:val="18"/>
          <w:b w:val="1"/>
          <w:bCs w:val="1"/>
          <w:color w:val="003B71"/>
        </w:rPr>
        <w:t xml:space="preserve">11.4 Section 457A. </w:t>
      </w:r>
      <w:r>
        <w:rPr>
          <w:rFonts w:ascii="Arial" w:cs="Arial" w:eastAsia="Arial" w:hAnsi="Arial"/>
          <w:sz w:val="18"/>
          <w:szCs w:val="18"/>
          <w:color w:val="000000"/>
        </w:rPr>
        <w:t>The Company intends that all Awards be structured in compliance with, or to satisfy an exemption from,</w:t>
      </w:r>
      <w:r>
        <w:rPr>
          <w:rFonts w:ascii="Arial" w:cs="Arial" w:eastAsia="Arial" w:hAnsi="Arial"/>
          <w:sz w:val="18"/>
          <w:szCs w:val="18"/>
          <w:b w:val="1"/>
          <w:bCs w:val="1"/>
          <w:color w:val="003B71"/>
        </w:rPr>
        <w:t xml:space="preserve"> </w:t>
      </w:r>
      <w:r>
        <w:rPr>
          <w:rFonts w:ascii="Arial" w:cs="Arial" w:eastAsia="Arial" w:hAnsi="Arial"/>
          <w:sz w:val="18"/>
          <w:szCs w:val="18"/>
          <w:color w:val="000000"/>
        </w:rPr>
        <w:t>Section 457A of the Code and all regulations, guidance, compliance programs and other interpretative authority thereunder (“</w:t>
      </w:r>
      <w:r>
        <w:rPr>
          <w:rFonts w:ascii="Arial" w:cs="Arial" w:eastAsia="Arial" w:hAnsi="Arial"/>
          <w:sz w:val="18"/>
          <w:szCs w:val="18"/>
          <w:u w:val="single" w:color="auto"/>
          <w:color w:val="000000"/>
        </w:rPr>
        <w:t>Section</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457A</w:t>
      </w:r>
      <w:r>
        <w:rPr>
          <w:rFonts w:ascii="Arial" w:cs="Arial" w:eastAsia="Arial" w:hAnsi="Arial"/>
          <w:sz w:val="18"/>
          <w:szCs w:val="18"/>
          <w:color w:val="000000"/>
        </w:rPr>
        <w:t>”), such that there are no adverse tax consequences, interest, or penalties as a result of the Awards. Notwithstanding the Company’s intention, in the event any Award is subject to Section 457A, the Committee may, in its sole discretion and without a Participant’s prior consent, amend the Plan and/or Awards, adopt policies and procedures, or take any other actions (including amendments, policies, procedures and actions with retroactive effect) as are necessary or appropriate to (a) exempt the Plan and/or any Award from the application of Section 457A, (b) preserve the intended tax treatment of any such Award, or (c) comply with the requirements of Section 457A, including without limitation any such regulations, guidance, compliance programs and other interpretative authority that may be issued after the date of the grant.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Article 12. Adjustments</w:t>
      </w:r>
    </w:p>
    <w:p>
      <w:pPr>
        <w:spacing w:after="0" w:line="104" w:lineRule="exact"/>
        <w:rPr>
          <w:sz w:val="20"/>
          <w:szCs w:val="20"/>
          <w:color w:val="auto"/>
        </w:rPr>
      </w:pPr>
    </w:p>
    <w:p>
      <w:pPr>
        <w:jc w:val="both"/>
        <w:ind w:left="120" w:right="20" w:firstLine="440"/>
        <w:spacing w:after="0" w:line="239" w:lineRule="auto"/>
        <w:rPr>
          <w:sz w:val="20"/>
          <w:szCs w:val="20"/>
          <w:color w:val="auto"/>
        </w:rPr>
      </w:pPr>
      <w:r>
        <w:rPr>
          <w:rFonts w:ascii="Arial" w:cs="Arial" w:eastAsia="Arial" w:hAnsi="Arial"/>
          <w:sz w:val="18"/>
          <w:szCs w:val="18"/>
          <w:b w:val="1"/>
          <w:bCs w:val="1"/>
          <w:color w:val="003B71"/>
        </w:rPr>
        <w:t xml:space="preserve">12.1 Adjustments in Authorized Shares. </w:t>
      </w:r>
      <w:r>
        <w:rPr>
          <w:rFonts w:ascii="Arial" w:cs="Arial" w:eastAsia="Arial" w:hAnsi="Arial"/>
          <w:sz w:val="18"/>
          <w:szCs w:val="18"/>
          <w:color w:val="000000"/>
        </w:rPr>
        <w:t>In the event of any corporate event or transaction involving the Company, a Subsidiary</w:t>
      </w:r>
      <w:r>
        <w:rPr>
          <w:rFonts w:ascii="Arial" w:cs="Arial" w:eastAsia="Arial" w:hAnsi="Arial"/>
          <w:sz w:val="18"/>
          <w:szCs w:val="18"/>
          <w:b w:val="1"/>
          <w:bCs w:val="1"/>
          <w:color w:val="003B71"/>
        </w:rPr>
        <w:t xml:space="preserve"> </w:t>
      </w:r>
      <w:r>
        <w:rPr>
          <w:rFonts w:ascii="Arial" w:cs="Arial" w:eastAsia="Arial" w:hAnsi="Arial"/>
          <w:sz w:val="18"/>
          <w:szCs w:val="18"/>
          <w:color w:val="000000"/>
        </w:rPr>
        <w:t>and/or an Affiliate (including, but not limited to, a change in the Shares of the Company or the capitalization of the Company) such as a merger, consolidation, reorganization, recapitalization, separation, extraordinary stock dividend, stock split, reverse stock split, split up, spin-off, combination of Shares, exchange of Shares, dividend in kind, amalgamation, or other like change in capital structure (other than regular cash or stock dividends to shareholders of the Company), or any similar corporate event or transaction, the Committee, to prevent dilution or enlargement of Participants’ rights under the Plan, shall substitute or adjust, in its sole discretion, the number and kind of Shares or other property that may be issued under the Plan or under particular forms of Awards, the number and kind of Shares or other property subject to outstanding Awards, the Option Price, grant price or purchase price applicable to outstanding Awards, the Annual Award Limits, and/or other value determinations applicable to the Plan or outstanding Awards.</w:t>
      </w:r>
    </w:p>
    <w:p>
      <w:pPr>
        <w:spacing w:after="0" w:line="183" w:lineRule="exact"/>
        <w:rPr>
          <w:sz w:val="20"/>
          <w:szCs w:val="20"/>
          <w:color w:val="auto"/>
        </w:rPr>
      </w:pPr>
    </w:p>
    <w:p>
      <w:pPr>
        <w:jc w:val="both"/>
        <w:ind w:left="120" w:firstLine="440"/>
        <w:spacing w:after="0" w:line="241" w:lineRule="auto"/>
        <w:rPr>
          <w:sz w:val="20"/>
          <w:szCs w:val="20"/>
          <w:color w:val="auto"/>
        </w:rPr>
      </w:pPr>
      <w:r>
        <w:rPr>
          <w:rFonts w:ascii="Arial" w:cs="Arial" w:eastAsia="Arial" w:hAnsi="Arial"/>
          <w:sz w:val="18"/>
          <w:szCs w:val="18"/>
          <w:b w:val="1"/>
          <w:bCs w:val="1"/>
          <w:color w:val="003B71"/>
        </w:rPr>
        <w:t xml:space="preserve">12.2 Change of Control. </w:t>
      </w:r>
      <w:r>
        <w:rPr>
          <w:rFonts w:ascii="Arial" w:cs="Arial" w:eastAsia="Arial" w:hAnsi="Arial"/>
          <w:sz w:val="18"/>
          <w:szCs w:val="18"/>
          <w:color w:val="000000"/>
        </w:rPr>
        <w:t>Upon the occurrence of a Change of Control after the Effective Date, unless otherwise specifically</w:t>
      </w:r>
      <w:r>
        <w:rPr>
          <w:rFonts w:ascii="Arial" w:cs="Arial" w:eastAsia="Arial" w:hAnsi="Arial"/>
          <w:sz w:val="18"/>
          <w:szCs w:val="18"/>
          <w:b w:val="1"/>
          <w:bCs w:val="1"/>
          <w:color w:val="003B71"/>
        </w:rPr>
        <w:t xml:space="preserve"> </w:t>
      </w:r>
      <w:r>
        <w:rPr>
          <w:rFonts w:ascii="Arial" w:cs="Arial" w:eastAsia="Arial" w:hAnsi="Arial"/>
          <w:sz w:val="18"/>
          <w:szCs w:val="18"/>
          <w:color w:val="000000"/>
        </w:rPr>
        <w:t>prohibited under applicable laws or by the rules and regulations of any governing governmental agencies or national securities exchanges, or unless the Committee shall determine otherwise in the Award Agreement, the Committee is authorized (but not obligated) to make adjustments to the terms and conditions of outstanding Awards, including without limitation the following (or any combination thereof):</w:t>
      </w:r>
    </w:p>
    <w:p>
      <w:pPr>
        <w:spacing w:after="0" w:line="1" w:lineRule="exact"/>
        <w:rPr>
          <w:sz w:val="20"/>
          <w:szCs w:val="20"/>
          <w:color w:val="auto"/>
        </w:rPr>
      </w:pPr>
    </w:p>
    <w:p>
      <w:pPr>
        <w:jc w:val="both"/>
        <w:ind w:left="120" w:hanging="4"/>
        <w:spacing w:after="0" w:line="251" w:lineRule="auto"/>
        <w:tabs>
          <w:tab w:leader="none" w:pos="39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continuation or assumption of such outstanding Awards under the Plan by the Company (if it is the surviving company or corporation) or by the surviving company or corporation or its parent; (b) substitution by the surviving company or corporation or its parent of awards with substantially the same terms for such outstanding Awards; (c) accelerated exercisability, vesting and/or lapse of restrictions under outstanding Awards immediately prior to the occurrence of such event; (d) upon written notice, provide that any outstanding Awards must be exercised, to the extent then exercisable, during a reasonable period of time immediately prior to the scheduled consummation of the event, or such other period as determined by the Committee (contingent upon the consummation of the event), and at the end of such period, such Awards shall terminate to the extent not so exercised within the relevant period; and (e) cancellation of all or any portion of outstanding Awards for fair value (as determined in the sole discretion of the Committee and which may be zero) which, in the case of Options and Stock Appreciation Rights or similar Awards, if the Committee so determines, may equal the excess, if any, of the value of the consideration to be paid in the Change of Control transaction to holders of the same number of Shares subject to such Awards (or, if no such consideration is paid, Fair Market Value of the Shares subject to such outstanding Awards or portion thereof being canceled) over the aggregate Option Price or grant price, as applicable, with respect to such Awards or portion thereof being canceled (which may be zero).</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Article 13. Duration, Amendment, Modification, Suspension and Termination</w:t>
      </w:r>
    </w:p>
    <w:p>
      <w:pPr>
        <w:spacing w:after="0" w:line="104"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8"/>
          <w:szCs w:val="18"/>
          <w:b w:val="1"/>
          <w:bCs w:val="1"/>
          <w:color w:val="003B71"/>
        </w:rPr>
        <w:t xml:space="preserve">13.1 Duration of the Plan. </w:t>
      </w:r>
      <w:r>
        <w:rPr>
          <w:rFonts w:ascii="Arial" w:cs="Arial" w:eastAsia="Arial" w:hAnsi="Arial"/>
          <w:sz w:val="18"/>
          <w:szCs w:val="18"/>
          <w:color w:val="000000"/>
        </w:rPr>
        <w:t>Unless sooner terminated as provided in Section 13.2, the Plan shall terminate on the tenth anniversary</w:t>
      </w:r>
      <w:r>
        <w:rPr>
          <w:rFonts w:ascii="Arial" w:cs="Arial" w:eastAsia="Arial" w:hAnsi="Arial"/>
          <w:sz w:val="18"/>
          <w:szCs w:val="18"/>
          <w:b w:val="1"/>
          <w:bCs w:val="1"/>
          <w:color w:val="003B71"/>
        </w:rPr>
        <w:t xml:space="preserve"> </w:t>
      </w:r>
      <w:r>
        <w:rPr>
          <w:rFonts w:ascii="Arial" w:cs="Arial" w:eastAsia="Arial" w:hAnsi="Arial"/>
          <w:sz w:val="18"/>
          <w:szCs w:val="18"/>
          <w:color w:val="000000"/>
        </w:rPr>
        <w:t>of the Effective Date.</w:t>
      </w:r>
    </w:p>
    <w:p>
      <w:pPr>
        <w:spacing w:after="0" w:line="154"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b w:val="1"/>
          <w:bCs w:val="1"/>
          <w:color w:val="003B71"/>
        </w:rPr>
        <w:t xml:space="preserve">13.2 Amendment, Modification, Suspension and Termination of Plan. </w:t>
      </w:r>
      <w:r>
        <w:rPr>
          <w:rFonts w:ascii="Arial" w:cs="Arial" w:eastAsia="Arial" w:hAnsi="Arial"/>
          <w:sz w:val="18"/>
          <w:szCs w:val="18"/>
          <w:color w:val="000000"/>
        </w:rPr>
        <w:t>The Committee may amend, alter, suspend, discontinue,</w:t>
      </w:r>
      <w:r>
        <w:rPr>
          <w:rFonts w:ascii="Arial" w:cs="Arial" w:eastAsia="Arial" w:hAnsi="Arial"/>
          <w:sz w:val="18"/>
          <w:szCs w:val="18"/>
          <w:b w:val="1"/>
          <w:bCs w:val="1"/>
          <w:color w:val="003B71"/>
        </w:rPr>
        <w:t xml:space="preserve"> </w:t>
      </w:r>
      <w:r>
        <w:rPr>
          <w:rFonts w:ascii="Arial" w:cs="Arial" w:eastAsia="Arial" w:hAnsi="Arial"/>
          <w:sz w:val="18"/>
          <w:szCs w:val="18"/>
          <w:color w:val="000000"/>
        </w:rPr>
        <w:t>or terminate (for purposes of this Section 13.2, an “</w:t>
      </w:r>
      <w:r>
        <w:rPr>
          <w:rFonts w:ascii="Arial" w:cs="Arial" w:eastAsia="Arial" w:hAnsi="Arial"/>
          <w:sz w:val="18"/>
          <w:szCs w:val="18"/>
          <w:u w:val="single" w:color="auto"/>
          <w:color w:val="000000"/>
        </w:rPr>
        <w:t>Action</w:t>
      </w:r>
      <w:r>
        <w:rPr>
          <w:rFonts w:ascii="Arial" w:cs="Arial" w:eastAsia="Arial" w:hAnsi="Arial"/>
          <w:sz w:val="18"/>
          <w:szCs w:val="18"/>
          <w:color w:val="000000"/>
        </w:rPr>
        <w:t xml:space="preserve">”) the Plan or any portion thereof or any Award (or Award Agreement) thereunder at any time; </w:t>
      </w:r>
      <w:r>
        <w:rPr>
          <w:rFonts w:ascii="Arial" w:cs="Arial" w:eastAsia="Arial" w:hAnsi="Arial"/>
          <w:sz w:val="18"/>
          <w:szCs w:val="18"/>
          <w:u w:val="single" w:color="auto"/>
          <w:color w:val="000000"/>
        </w:rPr>
        <w:t>provided</w:t>
      </w:r>
      <w:r>
        <w:rPr>
          <w:rFonts w:ascii="Arial" w:cs="Arial" w:eastAsia="Arial" w:hAnsi="Arial"/>
          <w:sz w:val="18"/>
          <w:szCs w:val="18"/>
          <w:color w:val="000000"/>
        </w:rPr>
        <w:t>, that no such Action shall be made, other than as</w:t>
      </w:r>
    </w:p>
    <w:p>
      <w:pPr>
        <w:spacing w:after="0" w:line="115" w:lineRule="exact"/>
        <w:rPr>
          <w:sz w:val="20"/>
          <w:szCs w:val="20"/>
          <w:color w:val="auto"/>
        </w:rPr>
      </w:pPr>
    </w:p>
    <w:p>
      <w:pPr>
        <w:ind w:left="120"/>
        <w:spacing w:after="0"/>
        <w:tabs>
          <w:tab w:leader="none" w:pos="55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A-12</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34" w:lineRule="auto"/>
        <w:rPr>
          <w:sz w:val="20"/>
          <w:szCs w:val="20"/>
          <w:color w:val="auto"/>
        </w:rPr>
      </w:pPr>
      <w:r>
        <w:rPr>
          <w:rFonts w:ascii="Arial" w:cs="Arial" w:eastAsia="Arial" w:hAnsi="Arial"/>
          <w:sz w:val="18"/>
          <w:szCs w:val="18"/>
          <w:color w:val="auto"/>
        </w:rPr>
        <w:t>permitted under Article 11 or 12, (a) without shareholder approval (i) if such approval is necessary to comply with any tax or regulatory requirement applicable to the Plan, (ii) if such Action increases the number of Shares available under the Plan (other than an increase permitted under Article 5 absent shareholder approval), (iii) if such Action results in a material increase in benefits permitted under the Plan (but excluding increases that are immaterial or that are minor and to benefit the administration of the Plan, to take account of any changes in applicable law, or to obtain or maintain favorable tax, exchange, or regulatory treatment for the Company, a Subsidiary, and/or an Affiliate) or a change in eligibility requirements under the Plan, or (iv) for any Action that results in a reduction of the Option Price or grant price per Share, as applicable, of any outstanding Options or Stock Appreciation Rights or cancellation of any outstanding Options or Stock Appreciation Rights in exchange for cash, or for other Awards, such as other Options or Stock Appreciation Rights, with an Option Price or grant price per Share, as applicable, that is less than such price of the original Options or Stock Appreciation Rights, and</w:t>
      </w:r>
    </w:p>
    <w:p>
      <w:pPr>
        <w:spacing w:after="0" w:line="6" w:lineRule="exact"/>
        <w:rPr>
          <w:sz w:val="20"/>
          <w:szCs w:val="20"/>
          <w:color w:val="auto"/>
        </w:rPr>
      </w:pPr>
    </w:p>
    <w:p>
      <w:pPr>
        <w:jc w:val="both"/>
        <w:ind w:left="120" w:right="20" w:hanging="4"/>
        <w:spacing w:after="0" w:line="238" w:lineRule="auto"/>
        <w:tabs>
          <w:tab w:leader="none" w:pos="4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without the written consent of the affected Participant, if such Action would materially diminish the rights of any Participant under any Award theretofore granted to such Participant;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i w:val="1"/>
          <w:iCs w:val="1"/>
          <w:color w:val="auto"/>
        </w:rPr>
        <w:t>,</w:t>
      </w:r>
      <w:r>
        <w:rPr>
          <w:rFonts w:ascii="Arial" w:cs="Arial" w:eastAsia="Arial" w:hAnsi="Arial"/>
          <w:sz w:val="18"/>
          <w:szCs w:val="18"/>
          <w:color w:val="auto"/>
        </w:rPr>
        <w:t xml:space="preserve"> that the Committee may amend the Plan, any Award or any Award Agreement without such consent of the Participant in such manner as it deems necessary to comply with applicable laws, including without limitation, the Dodd-Frank Wall Street Reform and Consumer Protection Act.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Article 14. General Provisions</w:t>
      </w:r>
    </w:p>
    <w:p>
      <w:pPr>
        <w:spacing w:after="0" w:line="104" w:lineRule="exact"/>
        <w:rPr>
          <w:sz w:val="20"/>
          <w:szCs w:val="20"/>
          <w:color w:val="auto"/>
        </w:rPr>
      </w:pPr>
    </w:p>
    <w:p>
      <w:pPr>
        <w:jc w:val="both"/>
        <w:ind w:left="120" w:firstLine="440"/>
        <w:spacing w:after="0" w:line="242" w:lineRule="auto"/>
        <w:rPr>
          <w:sz w:val="20"/>
          <w:szCs w:val="20"/>
          <w:color w:val="auto"/>
        </w:rPr>
      </w:pPr>
      <w:r>
        <w:rPr>
          <w:rFonts w:ascii="Arial" w:cs="Arial" w:eastAsia="Arial" w:hAnsi="Arial"/>
          <w:sz w:val="18"/>
          <w:szCs w:val="18"/>
          <w:b w:val="1"/>
          <w:bCs w:val="1"/>
          <w:color w:val="003B71"/>
        </w:rPr>
        <w:t xml:space="preserve">14.1 No Right to Service. </w:t>
      </w:r>
      <w:r>
        <w:rPr>
          <w:rFonts w:ascii="Arial" w:cs="Arial" w:eastAsia="Arial" w:hAnsi="Arial"/>
          <w:sz w:val="18"/>
          <w:szCs w:val="18"/>
          <w:color w:val="000000"/>
        </w:rPr>
        <w:t>The granting of an Award under the Plan shall impose no obligation on the Company, any Subsidiary or</w:t>
      </w:r>
      <w:r>
        <w:rPr>
          <w:rFonts w:ascii="Arial" w:cs="Arial" w:eastAsia="Arial" w:hAnsi="Arial"/>
          <w:sz w:val="18"/>
          <w:szCs w:val="18"/>
          <w:b w:val="1"/>
          <w:bCs w:val="1"/>
          <w:color w:val="003B71"/>
        </w:rPr>
        <w:t xml:space="preserve"> </w:t>
      </w:r>
      <w:r>
        <w:rPr>
          <w:rFonts w:ascii="Arial" w:cs="Arial" w:eastAsia="Arial" w:hAnsi="Arial"/>
          <w:sz w:val="18"/>
          <w:szCs w:val="18"/>
          <w:color w:val="000000"/>
        </w:rPr>
        <w:t>any Affiliate to continue the Service of a Participant and shall not lessen or affect any right that the Company, any Subsidiary or any Affiliate may have to terminate the Service of such Participant. No Participant or other Person shall have any claim to be granted any Award, and there is no obligation for uniformity of treatment of Participants, or holders or beneficiaries of Awards. The terms and conditions of Awards and the Committee’s determinations and interpretations with respect thereto need not be the same with respect to each Participant (whether or not such Participants are similarly situated).</w:t>
      </w:r>
    </w:p>
    <w:p>
      <w:pPr>
        <w:spacing w:after="0" w:line="179"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b w:val="1"/>
          <w:bCs w:val="1"/>
          <w:color w:val="003B71"/>
        </w:rPr>
        <w:t xml:space="preserve">14.2 Settlement of Awards; Fractional Shares. </w:t>
      </w:r>
      <w:r>
        <w:rPr>
          <w:rFonts w:ascii="Arial" w:cs="Arial" w:eastAsia="Arial" w:hAnsi="Arial"/>
          <w:sz w:val="18"/>
          <w:szCs w:val="18"/>
          <w:color w:val="000000"/>
        </w:rPr>
        <w:t>Each Award Agreement shall establish the form in which the Award shall be</w:t>
      </w:r>
      <w:r>
        <w:rPr>
          <w:rFonts w:ascii="Arial" w:cs="Arial" w:eastAsia="Arial" w:hAnsi="Arial"/>
          <w:sz w:val="18"/>
          <w:szCs w:val="18"/>
          <w:b w:val="1"/>
          <w:bCs w:val="1"/>
          <w:color w:val="003B71"/>
        </w:rPr>
        <w:t xml:space="preserve"> </w:t>
      </w:r>
      <w:r>
        <w:rPr>
          <w:rFonts w:ascii="Arial" w:cs="Arial" w:eastAsia="Arial" w:hAnsi="Arial"/>
          <w:sz w:val="18"/>
          <w:szCs w:val="18"/>
          <w:color w:val="000000"/>
        </w:rPr>
        <w:t>settled. The Committee shall determine whether cash, Awards, other securities or other property shall be issued or paid in lieu of fractional Shares or whether such fractional Shares or any rights thereto shall be rounded, forfeited or otherwise eliminated.</w:t>
      </w:r>
    </w:p>
    <w:p>
      <w:pPr>
        <w:spacing w:after="0" w:line="169"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b w:val="1"/>
          <w:bCs w:val="1"/>
          <w:color w:val="003B71"/>
        </w:rPr>
        <w:t xml:space="preserve">14.3 Tax Withholding. </w:t>
      </w:r>
      <w:r>
        <w:rPr>
          <w:rFonts w:ascii="Arial" w:cs="Arial" w:eastAsia="Arial" w:hAnsi="Arial"/>
          <w:sz w:val="18"/>
          <w:szCs w:val="18"/>
          <w:color w:val="000000"/>
        </w:rPr>
        <w:t>The Company shall have the power and the right to deduct or withhold automatically from any amount</w:t>
      </w:r>
      <w:r>
        <w:rPr>
          <w:rFonts w:ascii="Arial" w:cs="Arial" w:eastAsia="Arial" w:hAnsi="Arial"/>
          <w:sz w:val="18"/>
          <w:szCs w:val="18"/>
          <w:b w:val="1"/>
          <w:bCs w:val="1"/>
          <w:color w:val="003B71"/>
        </w:rPr>
        <w:t xml:space="preserve"> </w:t>
      </w:r>
      <w:r>
        <w:rPr>
          <w:rFonts w:ascii="Arial" w:cs="Arial" w:eastAsia="Arial" w:hAnsi="Arial"/>
          <w:sz w:val="18"/>
          <w:szCs w:val="18"/>
          <w:color w:val="000000"/>
        </w:rPr>
        <w:t>deliverable under the Award or otherwise, or require a Participant to remit to the Company, the minimum statutory amount to satisfy federal, state, and local taxes, domestic or foreign, required by law or regulation to be withheld with respect to any taxable event arising as a result of the Plan. With respect to required withholding, Participants may elect (subject to the Company’s automatic withholding right set out above), subject to the approval of the Committee, to satisfy the withholding requirement, in whole or in part, by having the Company withhold Shares having a Fair Market Value on the date the tax is to be determined equal to the minimum statutory total tax that could be imposed on the transaction.</w:t>
      </w:r>
    </w:p>
    <w:p>
      <w:pPr>
        <w:spacing w:after="0" w:line="185" w:lineRule="exact"/>
        <w:rPr>
          <w:sz w:val="20"/>
          <w:szCs w:val="20"/>
          <w:color w:val="auto"/>
        </w:rPr>
      </w:pPr>
    </w:p>
    <w:p>
      <w:pPr>
        <w:jc w:val="both"/>
        <w:ind w:left="120" w:firstLine="440"/>
        <w:spacing w:after="0" w:line="242" w:lineRule="auto"/>
        <w:rPr>
          <w:sz w:val="20"/>
          <w:szCs w:val="20"/>
          <w:color w:val="auto"/>
        </w:rPr>
      </w:pPr>
      <w:r>
        <w:rPr>
          <w:rFonts w:ascii="Arial" w:cs="Arial" w:eastAsia="Arial" w:hAnsi="Arial"/>
          <w:sz w:val="18"/>
          <w:szCs w:val="18"/>
          <w:b w:val="1"/>
          <w:bCs w:val="1"/>
          <w:color w:val="003B71"/>
        </w:rPr>
        <w:t xml:space="preserve">14.4 No Guarantees Regarding Tax Treatment. </w:t>
      </w:r>
      <w:r>
        <w:rPr>
          <w:rFonts w:ascii="Arial" w:cs="Arial" w:eastAsia="Arial" w:hAnsi="Arial"/>
          <w:sz w:val="18"/>
          <w:szCs w:val="18"/>
          <w:color w:val="000000"/>
        </w:rPr>
        <w:t>Participants (or their beneficiaries) shall be responsible for all taxes with respect to</w:t>
      </w:r>
      <w:r>
        <w:rPr>
          <w:rFonts w:ascii="Arial" w:cs="Arial" w:eastAsia="Arial" w:hAnsi="Arial"/>
          <w:sz w:val="18"/>
          <w:szCs w:val="18"/>
          <w:b w:val="1"/>
          <w:bCs w:val="1"/>
          <w:color w:val="003B71"/>
        </w:rPr>
        <w:t xml:space="preserve"> </w:t>
      </w:r>
      <w:r>
        <w:rPr>
          <w:rFonts w:ascii="Arial" w:cs="Arial" w:eastAsia="Arial" w:hAnsi="Arial"/>
          <w:sz w:val="18"/>
          <w:szCs w:val="18"/>
          <w:color w:val="000000"/>
        </w:rPr>
        <w:t>any Awards under the Plan. The Committee and the Company make no guarantees to any Person regarding the tax treatment of Awards or payments made under the Plan. Neither the Committee nor the Company has any obligation to take any action to prevent the assessment of any tax on any Person with respect to any Award under Section 409A of the Code or Section 457A of the Code or otherwise and none of the Company, any of its Subsidiaries or Affiliates, or any of their employees or representatives shall have any liability to a Participant with respect thereto.</w:t>
      </w:r>
    </w:p>
    <w:p>
      <w:pPr>
        <w:spacing w:after="0" w:line="179" w:lineRule="exact"/>
        <w:rPr>
          <w:sz w:val="20"/>
          <w:szCs w:val="20"/>
          <w:color w:val="auto"/>
        </w:rPr>
      </w:pPr>
    </w:p>
    <w:p>
      <w:pPr>
        <w:jc w:val="both"/>
        <w:ind w:left="120" w:firstLine="440"/>
        <w:spacing w:after="0" w:line="242" w:lineRule="auto"/>
        <w:rPr>
          <w:sz w:val="20"/>
          <w:szCs w:val="20"/>
          <w:color w:val="auto"/>
        </w:rPr>
      </w:pPr>
      <w:r>
        <w:rPr>
          <w:rFonts w:ascii="Arial" w:cs="Arial" w:eastAsia="Arial" w:hAnsi="Arial"/>
          <w:sz w:val="18"/>
          <w:szCs w:val="18"/>
          <w:b w:val="1"/>
          <w:bCs w:val="1"/>
          <w:color w:val="003B71"/>
        </w:rPr>
        <w:t xml:space="preserve">14.5 Non-Transferability of Awards. </w:t>
      </w:r>
      <w:r>
        <w:rPr>
          <w:rFonts w:ascii="Arial" w:cs="Arial" w:eastAsia="Arial" w:hAnsi="Arial"/>
          <w:sz w:val="18"/>
          <w:szCs w:val="18"/>
          <w:color w:val="000000"/>
        </w:rPr>
        <w:t>Unless otherwise determined by the Committee, an Award shall not be transferable or</w:t>
      </w:r>
      <w:r>
        <w:rPr>
          <w:rFonts w:ascii="Arial" w:cs="Arial" w:eastAsia="Arial" w:hAnsi="Arial"/>
          <w:sz w:val="18"/>
          <w:szCs w:val="18"/>
          <w:b w:val="1"/>
          <w:bCs w:val="1"/>
          <w:color w:val="003B71"/>
        </w:rPr>
        <w:t xml:space="preserve"> </w:t>
      </w:r>
      <w:r>
        <w:rPr>
          <w:rFonts w:ascii="Arial" w:cs="Arial" w:eastAsia="Arial" w:hAnsi="Arial"/>
          <w:sz w:val="18"/>
          <w:szCs w:val="18"/>
          <w:color w:val="000000"/>
        </w:rPr>
        <w:t>assignable by the Participant except in the event of his death (subject to the applicable laws of descent and distribution) and any such purported assignment, alienation, pledge, attachment, sale, transfer or encumbrance shall be void and unenforceable against the Company or any Affiliate. No transfer shall be permitted for value or consideration. An award exercisable after the death of a Participant may be exercised by the heirs, legatees, personal representatives or distributees of the Participant. Any permitted transfer of the Awards to heirs, legatees, personal representatives or distributees of the Participant shall not be effective to bind the Company unless the</w:t>
      </w:r>
    </w:p>
    <w:p>
      <w:pPr>
        <w:spacing w:after="0" w:line="125" w:lineRule="exact"/>
        <w:rPr>
          <w:sz w:val="20"/>
          <w:szCs w:val="20"/>
          <w:color w:val="auto"/>
        </w:rPr>
      </w:pPr>
    </w:p>
    <w:p>
      <w:pPr>
        <w:ind w:left="120"/>
        <w:spacing w:after="0"/>
        <w:tabs>
          <w:tab w:leader="none" w:pos="55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A-13</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Committee shall have been furnished with written notice thereof and a copy of such evidence as the Committee may deem necessary to establish the validity of the transfer and the acceptance by the transferee or transferees of the terms and conditions hereof.</w:t>
      </w:r>
    </w:p>
    <w:p>
      <w:pPr>
        <w:spacing w:after="0" w:line="175" w:lineRule="exact"/>
        <w:rPr>
          <w:sz w:val="20"/>
          <w:szCs w:val="20"/>
          <w:color w:val="auto"/>
        </w:rPr>
      </w:pPr>
    </w:p>
    <w:p>
      <w:pPr>
        <w:jc w:val="both"/>
        <w:ind w:left="120" w:right="20" w:firstLine="440"/>
        <w:spacing w:after="0" w:line="242" w:lineRule="auto"/>
        <w:rPr>
          <w:sz w:val="20"/>
          <w:szCs w:val="20"/>
          <w:color w:val="auto"/>
        </w:rPr>
      </w:pPr>
      <w:r>
        <w:rPr>
          <w:rFonts w:ascii="Arial" w:cs="Arial" w:eastAsia="Arial" w:hAnsi="Arial"/>
          <w:sz w:val="18"/>
          <w:szCs w:val="18"/>
          <w:b w:val="1"/>
          <w:bCs w:val="1"/>
          <w:color w:val="003B71"/>
        </w:rPr>
        <w:t xml:space="preserve">14.6 Conditions and Restrictions on Shares. </w:t>
      </w:r>
      <w:r>
        <w:rPr>
          <w:rFonts w:ascii="Arial" w:cs="Arial" w:eastAsia="Arial" w:hAnsi="Arial"/>
          <w:sz w:val="18"/>
          <w:szCs w:val="18"/>
          <w:color w:val="000000"/>
        </w:rPr>
        <w:t>The Committee may impose such other conditions or restrictions on any Shares</w:t>
      </w:r>
      <w:r>
        <w:rPr>
          <w:rFonts w:ascii="Arial" w:cs="Arial" w:eastAsia="Arial" w:hAnsi="Arial"/>
          <w:sz w:val="18"/>
          <w:szCs w:val="18"/>
          <w:b w:val="1"/>
          <w:bCs w:val="1"/>
          <w:color w:val="003B71"/>
        </w:rPr>
        <w:t xml:space="preserve"> </w:t>
      </w:r>
      <w:r>
        <w:rPr>
          <w:rFonts w:ascii="Arial" w:cs="Arial" w:eastAsia="Arial" w:hAnsi="Arial"/>
          <w:sz w:val="18"/>
          <w:szCs w:val="18"/>
          <w:color w:val="000000"/>
        </w:rPr>
        <w:t>received in connection with an Award as it may deem advisable or desirable. These restrictions may include, but shall not be limited to, a requirement that the Participant hold the Shares received for a specified period of time or a requirement that a Participant represent and warrant in writing that the Participant is acquiring the Shares for investment and without any present intention to sell or distribute such Shares. The certificates for Shares may include any legend which the Committee deems appropriate to reflect any conditions and restrictions applicable to such Shares.</w:t>
      </w:r>
    </w:p>
    <w:p>
      <w:pPr>
        <w:spacing w:after="0" w:line="179"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b w:val="1"/>
          <w:bCs w:val="1"/>
          <w:color w:val="003B71"/>
        </w:rPr>
        <w:t xml:space="preserve">14.7 Compliance with Law. </w:t>
      </w:r>
      <w:r>
        <w:rPr>
          <w:rFonts w:ascii="Arial" w:cs="Arial" w:eastAsia="Arial" w:hAnsi="Arial"/>
          <w:sz w:val="18"/>
          <w:szCs w:val="18"/>
          <w:color w:val="000000"/>
        </w:rPr>
        <w:t>The granting of Awards and the issuance of Shares under the Plan shall be subject to all applicable</w:t>
      </w:r>
      <w:r>
        <w:rPr>
          <w:rFonts w:ascii="Arial" w:cs="Arial" w:eastAsia="Arial" w:hAnsi="Arial"/>
          <w:sz w:val="18"/>
          <w:szCs w:val="18"/>
          <w:b w:val="1"/>
          <w:bCs w:val="1"/>
          <w:color w:val="003B71"/>
        </w:rPr>
        <w:t xml:space="preserve"> </w:t>
      </w:r>
      <w:r>
        <w:rPr>
          <w:rFonts w:ascii="Arial" w:cs="Arial" w:eastAsia="Arial" w:hAnsi="Arial"/>
          <w:sz w:val="18"/>
          <w:szCs w:val="18"/>
          <w:color w:val="000000"/>
        </w:rPr>
        <w:t>laws, rules, and regulations, and to such approvals by any governmental agencies, or any stock exchanges on which the Shares are admitted to trading or listed, as may be required. The Company shall have no obligation to issue or deliver evidence of title for Shares issued under the Plan prior to: (a) obtaining any approvals from governmental agencies that the Company determines are necessary or advisable; and (b) completion of any registration or other qualification of the Shares under any applicable national, state or foreign law or ruling of any governmental body that the Company determines to be necessary or advisable. The restrictions contained in this Section 14.7 shall be in addition to any conditions or restrictions that the Committee may impose pursuant to Section 14.6. The inability of the Company to obtain authority from any regulatory body having jurisdiction, which authority is deemed by the Company’s counsel to be necessary to the lawful issuance and sale of any Shares hereunder, shall relieve the Company, its Subsidiaries and Affiliates, and all of their employees and representatives of any liability in respect of the failure to issue or sell such Shares as to which such requisite authority shall not have been obtained.</w:t>
      </w:r>
    </w:p>
    <w:p>
      <w:pPr>
        <w:spacing w:after="0" w:line="186"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b w:val="1"/>
          <w:bCs w:val="1"/>
          <w:color w:val="003B71"/>
        </w:rPr>
        <w:t xml:space="preserve">14.8 Awards to Non-U.S. Employees or Directors. </w:t>
      </w:r>
      <w:r>
        <w:rPr>
          <w:rFonts w:ascii="Arial" w:cs="Arial" w:eastAsia="Arial" w:hAnsi="Arial"/>
          <w:sz w:val="18"/>
          <w:szCs w:val="18"/>
          <w:color w:val="000000"/>
        </w:rPr>
        <w:t>To comply with the laws in countries other than the United States in which the</w:t>
      </w:r>
      <w:r>
        <w:rPr>
          <w:rFonts w:ascii="Arial" w:cs="Arial" w:eastAsia="Arial" w:hAnsi="Arial"/>
          <w:sz w:val="18"/>
          <w:szCs w:val="18"/>
          <w:b w:val="1"/>
          <w:bCs w:val="1"/>
          <w:color w:val="003B71"/>
        </w:rPr>
        <w:t xml:space="preserve"> </w:t>
      </w:r>
      <w:r>
        <w:rPr>
          <w:rFonts w:ascii="Arial" w:cs="Arial" w:eastAsia="Arial" w:hAnsi="Arial"/>
          <w:sz w:val="18"/>
          <w:szCs w:val="18"/>
          <w:color w:val="000000"/>
        </w:rPr>
        <w:t>Company or any of its Subsidiaries or Affiliates operates or has Employees, Directors or Consultants, the Committee, in its sole discretion, shall have the power and authority to:</w:t>
      </w:r>
    </w:p>
    <w:p>
      <w:pPr>
        <w:spacing w:after="0" w:line="191" w:lineRule="exact"/>
        <w:rPr>
          <w:sz w:val="20"/>
          <w:szCs w:val="20"/>
          <w:color w:val="auto"/>
        </w:rPr>
      </w:pPr>
    </w:p>
    <w:p>
      <w:pPr>
        <w:ind w:left="820" w:hanging="264"/>
        <w:spacing w:after="0"/>
        <w:tabs>
          <w:tab w:leader="none" w:pos="8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Determine which Subsidiaries or Affiliates shall be covered by the Plan;</w:t>
      </w:r>
    </w:p>
    <w:p>
      <w:pPr>
        <w:spacing w:after="0" w:line="211" w:lineRule="exact"/>
        <w:rPr>
          <w:rFonts w:ascii="Arial" w:cs="Arial" w:eastAsia="Arial" w:hAnsi="Arial"/>
          <w:sz w:val="18"/>
          <w:szCs w:val="18"/>
          <w:color w:val="auto"/>
        </w:rPr>
      </w:pPr>
    </w:p>
    <w:p>
      <w:pPr>
        <w:ind w:left="820" w:hanging="264"/>
        <w:spacing w:after="0"/>
        <w:tabs>
          <w:tab w:leader="none" w:pos="8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Determine which Employees, Directors or Consultants outside the United States are eligible to participate in the Plan;</w:t>
      </w:r>
    </w:p>
    <w:p>
      <w:pPr>
        <w:spacing w:after="0" w:line="211" w:lineRule="exact"/>
        <w:rPr>
          <w:rFonts w:ascii="Arial" w:cs="Arial" w:eastAsia="Arial" w:hAnsi="Arial"/>
          <w:sz w:val="18"/>
          <w:szCs w:val="18"/>
          <w:color w:val="auto"/>
        </w:rPr>
      </w:pPr>
    </w:p>
    <w:p>
      <w:pPr>
        <w:ind w:left="120" w:right="20" w:firstLine="436"/>
        <w:spacing w:after="0" w:line="246" w:lineRule="auto"/>
        <w:tabs>
          <w:tab w:leader="none" w:pos="85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Employees, Directors or Consultants outside the United States to comply with applicable foreign laws;</w:t>
      </w:r>
    </w:p>
    <w:p>
      <w:pPr>
        <w:spacing w:after="0" w:line="196" w:lineRule="exact"/>
        <w:rPr>
          <w:rFonts w:ascii="Arial" w:cs="Arial" w:eastAsia="Arial" w:hAnsi="Arial"/>
          <w:sz w:val="18"/>
          <w:szCs w:val="18"/>
          <w:color w:val="auto"/>
        </w:rPr>
      </w:pPr>
    </w:p>
    <w:p>
      <w:pPr>
        <w:ind w:left="120" w:right="20" w:firstLine="436"/>
        <w:spacing w:after="0" w:line="246" w:lineRule="auto"/>
        <w:tabs>
          <w:tab w:leader="none" w:pos="83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 and</w:t>
      </w:r>
    </w:p>
    <w:p>
      <w:pPr>
        <w:spacing w:after="0" w:line="196" w:lineRule="exact"/>
        <w:rPr>
          <w:rFonts w:ascii="Arial" w:cs="Arial" w:eastAsia="Arial" w:hAnsi="Arial"/>
          <w:sz w:val="18"/>
          <w:szCs w:val="18"/>
          <w:color w:val="auto"/>
        </w:rPr>
      </w:pPr>
    </w:p>
    <w:p>
      <w:pPr>
        <w:jc w:val="both"/>
        <w:ind w:left="120" w:firstLine="436"/>
        <w:spacing w:after="0"/>
        <w:tabs>
          <w:tab w:leader="none" w:pos="87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14.8 by the Committee shall be attached to this Plan document as appendices.</w:t>
      </w:r>
    </w:p>
    <w:p>
      <w:pPr>
        <w:spacing w:after="0" w:line="181"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b w:val="1"/>
          <w:bCs w:val="1"/>
          <w:color w:val="003B71"/>
        </w:rPr>
        <w:t xml:space="preserve">14.9 Rights as a Shareholder; Dividend Equivalents. </w:t>
      </w:r>
      <w:r>
        <w:rPr>
          <w:rFonts w:ascii="Arial" w:cs="Arial" w:eastAsia="Arial" w:hAnsi="Arial"/>
          <w:sz w:val="18"/>
          <w:szCs w:val="18"/>
          <w:color w:val="000000"/>
        </w:rPr>
        <w:t>Except as otherwise provided herein or in the applicable Award Agreement,</w:t>
      </w:r>
      <w:r>
        <w:rPr>
          <w:rFonts w:ascii="Arial" w:cs="Arial" w:eastAsia="Arial" w:hAnsi="Arial"/>
          <w:sz w:val="18"/>
          <w:szCs w:val="18"/>
          <w:b w:val="1"/>
          <w:bCs w:val="1"/>
          <w:color w:val="003B71"/>
        </w:rPr>
        <w:t xml:space="preserve"> </w:t>
      </w:r>
      <w:r>
        <w:rPr>
          <w:rFonts w:ascii="Arial" w:cs="Arial" w:eastAsia="Arial" w:hAnsi="Arial"/>
          <w:sz w:val="18"/>
          <w:szCs w:val="18"/>
          <w:color w:val="000000"/>
        </w:rPr>
        <w:t>a Participant shall have none of the rights of a shareholder with respect to Shares covered by any Award until the Participant becomes the record holder of such Shares.</w:t>
      </w:r>
    </w:p>
    <w:p>
      <w:pPr>
        <w:spacing w:after="0" w:line="191" w:lineRule="exact"/>
        <w:rPr>
          <w:sz w:val="20"/>
          <w:szCs w:val="20"/>
          <w:color w:val="auto"/>
        </w:rPr>
      </w:pPr>
    </w:p>
    <w:p>
      <w:pPr>
        <w:jc w:val="both"/>
        <w:ind w:left="120" w:firstLine="440"/>
        <w:spacing w:after="0" w:line="237" w:lineRule="auto"/>
        <w:rPr>
          <w:sz w:val="20"/>
          <w:szCs w:val="20"/>
          <w:color w:val="auto"/>
        </w:rPr>
      </w:pPr>
      <w:r>
        <w:rPr>
          <w:rFonts w:ascii="Arial" w:cs="Arial" w:eastAsia="Arial" w:hAnsi="Arial"/>
          <w:sz w:val="18"/>
          <w:szCs w:val="18"/>
          <w:color w:val="auto"/>
        </w:rPr>
        <w:t>Subject to the provisions of the Plan and any Award Agreement, the recipient of an Award other than an Option or Stock Appreciation Right may, if so determined by the Committee, be entitled to receive, amounts equivalent to cash, stock or other property dividends on Shares (“Dividend Equivalents”) with respect to the number of Shares covered by the Award, as determined by the Committee, in its sole discretion. The Committee may provide that the Dividend Equivalents (if any) shall be deemed to have been reinvested in additional Shares or otherwise reinvested. Notwithstanding the foregoing, Dividend Equivalents credited in connection with an unvested Award shall be subject to restrictions and risk of forfeiture to the same extent as the underlying Award and shall not be paid unless and until the underlying Award vests.</w:t>
      </w:r>
    </w:p>
    <w:p>
      <w:pPr>
        <w:spacing w:after="0" w:line="127" w:lineRule="exact"/>
        <w:rPr>
          <w:sz w:val="20"/>
          <w:szCs w:val="20"/>
          <w:color w:val="auto"/>
        </w:rPr>
      </w:pPr>
    </w:p>
    <w:p>
      <w:pPr>
        <w:ind w:left="120"/>
        <w:spacing w:after="0"/>
        <w:tabs>
          <w:tab w:leader="none" w:pos="55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A-14</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firstLine="440"/>
        <w:spacing w:after="0" w:line="242" w:lineRule="auto"/>
        <w:rPr>
          <w:sz w:val="20"/>
          <w:szCs w:val="20"/>
          <w:color w:val="auto"/>
        </w:rPr>
      </w:pPr>
      <w:r>
        <w:rPr>
          <w:rFonts w:ascii="Arial" w:cs="Arial" w:eastAsia="Arial" w:hAnsi="Arial"/>
          <w:sz w:val="18"/>
          <w:szCs w:val="18"/>
          <w:b w:val="1"/>
          <w:bCs w:val="1"/>
          <w:color w:val="003B71"/>
        </w:rPr>
        <w:t xml:space="preserve">14.10 Severability. </w:t>
      </w:r>
      <w:r>
        <w:rPr>
          <w:rFonts w:ascii="Arial" w:cs="Arial" w:eastAsia="Arial" w:hAnsi="Arial"/>
          <w:sz w:val="18"/>
          <w:szCs w:val="18"/>
          <w:color w:val="000000"/>
        </w:rPr>
        <w:t>If any provision of the Plan or any Award is or becomes or is deemed to be invalid, illegal, or unenforceable in</w:t>
      </w:r>
      <w:r>
        <w:rPr>
          <w:rFonts w:ascii="Arial" w:cs="Arial" w:eastAsia="Arial" w:hAnsi="Arial"/>
          <w:sz w:val="18"/>
          <w:szCs w:val="18"/>
          <w:b w:val="1"/>
          <w:bCs w:val="1"/>
          <w:color w:val="003B71"/>
        </w:rPr>
        <w:t xml:space="preserve"> </w:t>
      </w:r>
      <w:r>
        <w:rPr>
          <w:rFonts w:ascii="Arial" w:cs="Arial" w:eastAsia="Arial" w:hAnsi="Arial"/>
          <w:sz w:val="18"/>
          <w:szCs w:val="18"/>
          <w:color w:val="000000"/>
        </w:rPr>
        <w:t>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79"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b w:val="1"/>
          <w:bCs w:val="1"/>
          <w:color w:val="003B71"/>
        </w:rPr>
        <w:t xml:space="preserve">14.11 Unfunded Plan. </w:t>
      </w:r>
      <w:r>
        <w:rPr>
          <w:rFonts w:ascii="Arial" w:cs="Arial" w:eastAsia="Arial" w:hAnsi="Arial"/>
          <w:sz w:val="18"/>
          <w:szCs w:val="18"/>
          <w:color w:val="000000"/>
        </w:rPr>
        <w:t>Participants shall have no right, title, or interest whatsoever in or to any investments that the Company or any</w:t>
      </w:r>
      <w:r>
        <w:rPr>
          <w:rFonts w:ascii="Arial" w:cs="Arial" w:eastAsia="Arial" w:hAnsi="Arial"/>
          <w:sz w:val="18"/>
          <w:szCs w:val="18"/>
          <w:b w:val="1"/>
          <w:bCs w:val="1"/>
          <w:color w:val="003B71"/>
        </w:rPr>
        <w:t xml:space="preserve"> </w:t>
      </w:r>
      <w:r>
        <w:rPr>
          <w:rFonts w:ascii="Arial" w:cs="Arial" w:eastAsia="Arial" w:hAnsi="Arial"/>
          <w:sz w:val="18"/>
          <w:szCs w:val="18"/>
          <w:color w:val="000000"/>
        </w:rPr>
        <w:t>of its Subsidiaries or Affiliates may make to aid it in meeting its obligations under the Plan. Nothing contained in the Plan, and no action taken pursuant to its provisions, shall create or be construed to create a trust of any kind, or a fiduciary relationship between the Company and any Participant, beneficiary, legal representative, or any other Person. To the extent that any Person acquires a right to receive payments from the Company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The Plan is not subject to the U.S. Employee Retirement Income Security Act of 1974, as amended from time to time.</w:t>
      </w:r>
    </w:p>
    <w:p>
      <w:pPr>
        <w:spacing w:after="0" w:line="180" w:lineRule="exact"/>
        <w:rPr>
          <w:sz w:val="20"/>
          <w:szCs w:val="20"/>
          <w:color w:val="auto"/>
        </w:rPr>
      </w:pPr>
    </w:p>
    <w:p>
      <w:pPr>
        <w:jc w:val="both"/>
        <w:ind w:left="120" w:right="20" w:firstLine="440"/>
        <w:spacing w:after="0" w:line="247" w:lineRule="auto"/>
        <w:rPr>
          <w:sz w:val="20"/>
          <w:szCs w:val="20"/>
          <w:color w:val="auto"/>
        </w:rPr>
      </w:pPr>
      <w:r>
        <w:rPr>
          <w:rFonts w:ascii="Arial" w:cs="Arial" w:eastAsia="Arial" w:hAnsi="Arial"/>
          <w:sz w:val="18"/>
          <w:szCs w:val="18"/>
          <w:b w:val="1"/>
          <w:bCs w:val="1"/>
          <w:color w:val="003B71"/>
        </w:rPr>
        <w:t xml:space="preserve">14.12 No Constraint on Corporate Action. </w:t>
      </w:r>
      <w:r>
        <w:rPr>
          <w:rFonts w:ascii="Arial" w:cs="Arial" w:eastAsia="Arial" w:hAnsi="Arial"/>
          <w:sz w:val="18"/>
          <w:szCs w:val="18"/>
          <w:color w:val="000000"/>
        </w:rPr>
        <w:t>Nothing in the Plan shall be construed to (a) limit, impair, or otherwise affect the</w:t>
      </w:r>
      <w:r>
        <w:rPr>
          <w:rFonts w:ascii="Arial" w:cs="Arial" w:eastAsia="Arial" w:hAnsi="Arial"/>
          <w:sz w:val="18"/>
          <w:szCs w:val="18"/>
          <w:b w:val="1"/>
          <w:bCs w:val="1"/>
          <w:color w:val="003B71"/>
        </w:rPr>
        <w:t xml:space="preserve"> </w:t>
      </w:r>
      <w:r>
        <w:rPr>
          <w:rFonts w:ascii="Arial" w:cs="Arial" w:eastAsia="Arial" w:hAnsi="Arial"/>
          <w:sz w:val="18"/>
          <w:szCs w:val="18"/>
          <w:color w:val="000000"/>
        </w:rPr>
        <w:t>Company’s right or power to make adjustments, reclassifications, reorganizations, or changes of its capital or business structure, or to merge or consolidate, or dissolve, liquidate, sell, or transfer all or any part of its business or assets, or (b) limit the right or power of the Company to take any action which such entity deems to be necessary or appropriate.</w:t>
      </w:r>
    </w:p>
    <w:p>
      <w:pPr>
        <w:spacing w:after="0" w:line="174"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b w:val="1"/>
          <w:bCs w:val="1"/>
          <w:color w:val="003B71"/>
        </w:rPr>
        <w:t xml:space="preserve">14.13 Successors. </w:t>
      </w:r>
      <w:r>
        <w:rPr>
          <w:rFonts w:ascii="Arial" w:cs="Arial" w:eastAsia="Arial" w:hAnsi="Arial"/>
          <w:sz w:val="18"/>
          <w:szCs w:val="18"/>
          <w:color w:val="000000"/>
        </w:rPr>
        <w:t>All obligations of the Company under the Plan with respect to Awards granted hereunder shall be binding on any</w:t>
      </w:r>
      <w:r>
        <w:rPr>
          <w:rFonts w:ascii="Arial" w:cs="Arial" w:eastAsia="Arial" w:hAnsi="Arial"/>
          <w:sz w:val="18"/>
          <w:szCs w:val="18"/>
          <w:b w:val="1"/>
          <w:bCs w:val="1"/>
          <w:color w:val="003B71"/>
        </w:rPr>
        <w:t xml:space="preserve"> </w:t>
      </w:r>
      <w:r>
        <w:rPr>
          <w:rFonts w:ascii="Arial" w:cs="Arial" w:eastAsia="Arial" w:hAnsi="Arial"/>
          <w:sz w:val="18"/>
          <w:szCs w:val="18"/>
          <w:color w:val="000000"/>
        </w:rPr>
        <w:t>successor to the Company, whether the existence of such successor is the result of a direct or indirect purchase, merger, consolidation, or otherwise, of all or substantially all of the business or assets of the Company.</w:t>
      </w:r>
    </w:p>
    <w:p>
      <w:pPr>
        <w:spacing w:after="0" w:line="169" w:lineRule="exact"/>
        <w:rPr>
          <w:sz w:val="20"/>
          <w:szCs w:val="20"/>
          <w:color w:val="auto"/>
        </w:rPr>
      </w:pPr>
    </w:p>
    <w:p>
      <w:pPr>
        <w:jc w:val="both"/>
        <w:ind w:left="120" w:firstLine="440"/>
        <w:spacing w:after="0" w:line="237" w:lineRule="auto"/>
        <w:rPr>
          <w:sz w:val="20"/>
          <w:szCs w:val="20"/>
          <w:color w:val="auto"/>
        </w:rPr>
      </w:pPr>
      <w:r>
        <w:rPr>
          <w:rFonts w:ascii="Arial" w:cs="Arial" w:eastAsia="Arial" w:hAnsi="Arial"/>
          <w:sz w:val="18"/>
          <w:szCs w:val="18"/>
          <w:b w:val="1"/>
          <w:bCs w:val="1"/>
          <w:color w:val="003B71"/>
        </w:rPr>
        <w:t xml:space="preserve">14.14 Governing Law; Jurisdiction; Waiver of Jury Trial. </w:t>
      </w:r>
      <w:r>
        <w:rPr>
          <w:rFonts w:ascii="Arial" w:cs="Arial" w:eastAsia="Arial" w:hAnsi="Arial"/>
          <w:sz w:val="18"/>
          <w:szCs w:val="18"/>
          <w:color w:val="000000"/>
        </w:rPr>
        <w:t>The Plan and each Award Agreement and all claims, causes of action or</w:t>
      </w:r>
      <w:r>
        <w:rPr>
          <w:rFonts w:ascii="Arial" w:cs="Arial" w:eastAsia="Arial" w:hAnsi="Arial"/>
          <w:sz w:val="18"/>
          <w:szCs w:val="18"/>
          <w:b w:val="1"/>
          <w:bCs w:val="1"/>
          <w:color w:val="003B71"/>
        </w:rPr>
        <w:t xml:space="preserve"> </w:t>
      </w:r>
      <w:r>
        <w:rPr>
          <w:rFonts w:ascii="Arial" w:cs="Arial" w:eastAsia="Arial" w:hAnsi="Arial"/>
          <w:sz w:val="18"/>
          <w:szCs w:val="18"/>
          <w:color w:val="000000"/>
        </w:rPr>
        <w:t>proceedings (whether in contract, in tort, at law or otherwise) that may be based upon, arise out of or relate to the Plan and each Award Agreement shall be governed by the internal laws of the State of Delaware, excluding any conflicts or choice-of-law rule or principle that might otherwise refer construction or interpretation of the Plan to the substantive law of another jurisdiction. Each Participant and each party to an Award Agreement agrees that it shall bring all claims, causes of action and proceedings (whether in contract, in tort, at law or otherwise) that may be based upon, arise out of or be related to the Plan and each Award Agreement exclusively in the Delaware Court of Chancery or, in the event (but only in the event) that such court does not have subject matter jurisdiction over such claim, cause of action or proceeding, exclusively in the United States District Court for the District of Delaware (the “</w:t>
      </w:r>
      <w:r>
        <w:rPr>
          <w:rFonts w:ascii="Arial" w:cs="Arial" w:eastAsia="Arial" w:hAnsi="Arial"/>
          <w:sz w:val="18"/>
          <w:szCs w:val="18"/>
          <w:u w:val="single" w:color="auto"/>
          <w:color w:val="000000"/>
        </w:rPr>
        <w:t>Chosen Court</w:t>
      </w:r>
      <w:r>
        <w:rPr>
          <w:rFonts w:ascii="Arial" w:cs="Arial" w:eastAsia="Arial" w:hAnsi="Arial"/>
          <w:sz w:val="18"/>
          <w:szCs w:val="18"/>
          <w:color w:val="000000"/>
        </w:rPr>
        <w:t>”), and hereby (i) irrevocably submits to the exclusive jurisdiction of the Chosen Court, (ii) waives any objection to laying venue in any such proceeding in the Chosen Court, (iii) waives any objection that the Chosen Court is an inconvenient forum or does not have jurisdiction over any party and</w:t>
      </w:r>
    </w:p>
    <w:p>
      <w:pPr>
        <w:spacing w:after="0" w:line="3" w:lineRule="exact"/>
        <w:rPr>
          <w:sz w:val="20"/>
          <w:szCs w:val="20"/>
          <w:color w:val="auto"/>
        </w:rPr>
      </w:pPr>
    </w:p>
    <w:p>
      <w:pPr>
        <w:jc w:val="both"/>
        <w:ind w:left="120" w:hanging="4"/>
        <w:spacing w:after="0" w:line="238" w:lineRule="auto"/>
        <w:tabs>
          <w:tab w:leader="none" w:pos="42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agrees that service of process upon such party in any such claim or cause of action shall be effective if notice is given in accordance with an Award Agreement. EACH PARTICIPANT AND EACH PARTY TO AN AWARD AGREEMENT IRREVOCABLY WAIVES ALL RIGHT TO A TRIAL BY JURY IN ANY CLAIM OR CAUSE OF ACTION (WHETHER IN CONTRACT, IN TORT, AT LAW OR OTHERWISE) INSTITUTED BY OR AGAINST SUCH PARTY IN RESPECT OF ITS, HIS OR HER OBLIGATIONS HEREUNDER OR UNDER AN AWARD AGREEMENT.</w:t>
      </w:r>
    </w:p>
    <w:p>
      <w:pPr>
        <w:spacing w:after="0" w:line="180" w:lineRule="exact"/>
        <w:rPr>
          <w:sz w:val="20"/>
          <w:szCs w:val="20"/>
          <w:color w:val="auto"/>
        </w:rPr>
      </w:pPr>
    </w:p>
    <w:p>
      <w:pPr>
        <w:jc w:val="both"/>
        <w:ind w:left="120" w:firstLine="440"/>
        <w:spacing w:after="0" w:line="242" w:lineRule="auto"/>
        <w:rPr>
          <w:sz w:val="20"/>
          <w:szCs w:val="20"/>
          <w:color w:val="auto"/>
        </w:rPr>
      </w:pPr>
      <w:r>
        <w:rPr>
          <w:rFonts w:ascii="Arial" w:cs="Arial" w:eastAsia="Arial" w:hAnsi="Arial"/>
          <w:sz w:val="18"/>
          <w:szCs w:val="18"/>
          <w:b w:val="1"/>
          <w:bCs w:val="1"/>
          <w:color w:val="003B71"/>
        </w:rPr>
        <w:t xml:space="preserve">14.15 Waiver of Certain Claims. </w:t>
      </w:r>
      <w:r>
        <w:rPr>
          <w:rFonts w:ascii="Arial" w:cs="Arial" w:eastAsia="Arial" w:hAnsi="Arial"/>
          <w:sz w:val="18"/>
          <w:szCs w:val="18"/>
          <w:color w:val="000000"/>
        </w:rPr>
        <w:t>By participating in the Plan, the Participant waives all and any rights to compensation or damages</w:t>
      </w:r>
      <w:r>
        <w:rPr>
          <w:rFonts w:ascii="Arial" w:cs="Arial" w:eastAsia="Arial" w:hAnsi="Arial"/>
          <w:sz w:val="18"/>
          <w:szCs w:val="18"/>
          <w:b w:val="1"/>
          <w:bCs w:val="1"/>
          <w:color w:val="003B71"/>
        </w:rPr>
        <w:t xml:space="preserve"> </w:t>
      </w:r>
      <w:r>
        <w:rPr>
          <w:rFonts w:ascii="Arial" w:cs="Arial" w:eastAsia="Arial" w:hAnsi="Arial"/>
          <w:sz w:val="18"/>
          <w:szCs w:val="18"/>
          <w:color w:val="000000"/>
        </w:rPr>
        <w:t>in consequence of the termination of his or her office or Service with the Company, any Subsidiary or Affiliate for any reason whatsoever, whether lawfully or otherwise, insofar as those rights arise or may arise from his or her ceasing to have rights under the Plan as a result of such termination, or from the loss or diminution in value of such rights or entitlements, including by reason of the operation of the terms of the Plan, any determination by the Board or Committee pursuant to a discretion contained in the Plan or any Award Agreement or the provisions of any statute or law relating to taxation.</w:t>
      </w:r>
    </w:p>
    <w:p>
      <w:pPr>
        <w:spacing w:after="0" w:line="179"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8"/>
          <w:szCs w:val="18"/>
          <w:b w:val="1"/>
          <w:bCs w:val="1"/>
          <w:color w:val="003B71"/>
        </w:rPr>
        <w:t xml:space="preserve">14.16 Data Protection. </w:t>
      </w:r>
      <w:r>
        <w:rPr>
          <w:rFonts w:ascii="Arial" w:cs="Arial" w:eastAsia="Arial" w:hAnsi="Arial"/>
          <w:sz w:val="18"/>
          <w:szCs w:val="18"/>
          <w:color w:val="000000"/>
        </w:rPr>
        <w:t>By participating in the Plan, the Participant consents to the collection, processing, transmission and storage</w:t>
      </w:r>
      <w:r>
        <w:rPr>
          <w:rFonts w:ascii="Arial" w:cs="Arial" w:eastAsia="Arial" w:hAnsi="Arial"/>
          <w:sz w:val="18"/>
          <w:szCs w:val="18"/>
          <w:b w:val="1"/>
          <w:bCs w:val="1"/>
          <w:color w:val="003B71"/>
        </w:rPr>
        <w:t xml:space="preserve"> </w:t>
      </w:r>
      <w:r>
        <w:rPr>
          <w:rFonts w:ascii="Arial" w:cs="Arial" w:eastAsia="Arial" w:hAnsi="Arial"/>
          <w:sz w:val="18"/>
          <w:szCs w:val="18"/>
          <w:color w:val="000000"/>
        </w:rPr>
        <w:t>by the Company in any form whatsoever, of any data of a professional or personal nature</w:t>
      </w:r>
    </w:p>
    <w:p>
      <w:pPr>
        <w:spacing w:after="0" w:line="100" w:lineRule="exact"/>
        <w:rPr>
          <w:sz w:val="20"/>
          <w:szCs w:val="20"/>
          <w:color w:val="auto"/>
        </w:rPr>
      </w:pPr>
    </w:p>
    <w:p>
      <w:pPr>
        <w:ind w:left="120"/>
        <w:spacing w:after="0"/>
        <w:tabs>
          <w:tab w:leader="none" w:pos="55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A-15</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which is necessary for the purposes of introducing and administering the Plan. The Company may share such information with any Subsidiary or Affiliate, the trustee of any employee benefit trust, its registrars, trustees, brokers, other third-party administrator or any Person who obtains control of the Company or acquires the Company, undertaking or part-undertaking which employs the Participant, wherever situated.</w:t>
      </w:r>
    </w:p>
    <w:p>
      <w:pPr>
        <w:spacing w:after="0" w:line="183"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b w:val="1"/>
          <w:bCs w:val="1"/>
          <w:color w:val="003B71"/>
        </w:rPr>
        <w:t xml:space="preserve">14.17 Accounting Restatement. </w:t>
      </w:r>
      <w:r>
        <w:rPr>
          <w:rFonts w:ascii="Arial" w:cs="Arial" w:eastAsia="Arial" w:hAnsi="Arial"/>
          <w:sz w:val="18"/>
          <w:szCs w:val="18"/>
          <w:color w:val="000000"/>
        </w:rPr>
        <w:t>If a Participant receives compensation pursuant to an Award based on financial statements that</w:t>
      </w:r>
      <w:r>
        <w:rPr>
          <w:rFonts w:ascii="Arial" w:cs="Arial" w:eastAsia="Arial" w:hAnsi="Arial"/>
          <w:sz w:val="18"/>
          <w:szCs w:val="18"/>
          <w:b w:val="1"/>
          <w:bCs w:val="1"/>
          <w:color w:val="003B71"/>
        </w:rPr>
        <w:t xml:space="preserve"> </w:t>
      </w:r>
      <w:r>
        <w:rPr>
          <w:rFonts w:ascii="Arial" w:cs="Arial" w:eastAsia="Arial" w:hAnsi="Arial"/>
          <w:sz w:val="18"/>
          <w:szCs w:val="18"/>
          <w:color w:val="000000"/>
        </w:rPr>
        <w:t>are subsequently required to be restated in a way that would decrease the value of such compensation, the Participant will, upon the written request of the Committee, in the Committee’s sole discretion, forfeit and repay to the Company the difference between what the Participant received and what the Participant should have received based on the accounting restatement, in accordance with (a) the Company’s compensation recovery, “clawback” or similar policy, if any, as may be in effect from time to time and (b) any compensation recovery, “clawback” or similar policy made applicable by law including the provisions of Section 945 of the Dodd-Frank Wall Street Reform and Consumer Protection Act and the rules, regulations and requirements adopted thereunder by the Securities and Exchange Commission and/or any national securities exchange on which the Company’s equity securities may be listed.</w:t>
      </w:r>
    </w:p>
    <w:p>
      <w:pPr>
        <w:spacing w:after="0" w:line="180" w:lineRule="exact"/>
        <w:rPr>
          <w:sz w:val="20"/>
          <w:szCs w:val="20"/>
          <w:color w:val="auto"/>
        </w:rPr>
      </w:pPr>
    </w:p>
    <w:p>
      <w:pPr>
        <w:jc w:val="both"/>
        <w:ind w:left="120" w:firstLine="440"/>
        <w:spacing w:after="0" w:line="242" w:lineRule="auto"/>
        <w:rPr>
          <w:sz w:val="20"/>
          <w:szCs w:val="20"/>
          <w:color w:val="auto"/>
        </w:rPr>
      </w:pPr>
      <w:r>
        <w:rPr>
          <w:rFonts w:ascii="Arial" w:cs="Arial" w:eastAsia="Arial" w:hAnsi="Arial"/>
          <w:sz w:val="18"/>
          <w:szCs w:val="18"/>
          <w:b w:val="1"/>
          <w:bCs w:val="1"/>
          <w:color w:val="003B71"/>
        </w:rPr>
        <w:t xml:space="preserve">14.18 Prohibition on Repricing. </w:t>
      </w:r>
      <w:r>
        <w:rPr>
          <w:rFonts w:ascii="Arial" w:cs="Arial" w:eastAsia="Arial" w:hAnsi="Arial"/>
          <w:sz w:val="18"/>
          <w:szCs w:val="18"/>
          <w:color w:val="000000"/>
        </w:rPr>
        <w:t>Other than pursuant to Section 12.1, the Committee shall not without the approval of the</w:t>
      </w:r>
      <w:r>
        <w:rPr>
          <w:rFonts w:ascii="Arial" w:cs="Arial" w:eastAsia="Arial" w:hAnsi="Arial"/>
          <w:sz w:val="18"/>
          <w:szCs w:val="18"/>
          <w:b w:val="1"/>
          <w:bCs w:val="1"/>
          <w:color w:val="003B71"/>
        </w:rPr>
        <w:t xml:space="preserve"> </w:t>
      </w:r>
      <w:r>
        <w:rPr>
          <w:rFonts w:ascii="Arial" w:cs="Arial" w:eastAsia="Arial" w:hAnsi="Arial"/>
          <w:sz w:val="18"/>
          <w:szCs w:val="18"/>
          <w:color w:val="000000"/>
        </w:rPr>
        <w:t>Company’s shareholders (a) lower the option price per Share of an Option or Stock Appreciation Right after it is granted, (b) cancel an Option or Stock Appreciation Right when the option price (or stock appreciation right base price) per Share exceeds the Fair Market Value of one Share in exchange for cash or another Award (other than in connection with a Change in Control), or (c) take any other action with respect to an Option or Stock Appreciation Right that would be treated as a repricing under the rules and regulations of the principal U.S. national securities exchange on which the Shares are listed.</w:t>
      </w:r>
    </w:p>
    <w:p>
      <w:pPr>
        <w:spacing w:after="0" w:line="179"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b w:val="1"/>
          <w:bCs w:val="1"/>
          <w:color w:val="003B71"/>
        </w:rPr>
        <w:t xml:space="preserve">14.19 Effective Date. </w:t>
      </w:r>
      <w:r>
        <w:rPr>
          <w:rFonts w:ascii="Arial" w:cs="Arial" w:eastAsia="Arial" w:hAnsi="Arial"/>
          <w:sz w:val="18"/>
          <w:szCs w:val="18"/>
          <w:color w:val="000000"/>
        </w:rPr>
        <w:t>The Plan became effective on October 6, 2014 (the “Effective Date”). The amendment and restatement of the</w:t>
      </w:r>
      <w:r>
        <w:rPr>
          <w:rFonts w:ascii="Arial" w:cs="Arial" w:eastAsia="Arial" w:hAnsi="Arial"/>
          <w:sz w:val="18"/>
          <w:szCs w:val="18"/>
          <w:b w:val="1"/>
          <w:bCs w:val="1"/>
          <w:color w:val="003B71"/>
        </w:rPr>
        <w:t xml:space="preserve"> </w:t>
      </w:r>
      <w:r>
        <w:rPr>
          <w:rFonts w:ascii="Arial" w:cs="Arial" w:eastAsia="Arial" w:hAnsi="Arial"/>
          <w:sz w:val="18"/>
          <w:szCs w:val="18"/>
          <w:color w:val="000000"/>
        </w:rPr>
        <w:t>Plan was duly adopted and approved by the Board of Directors of the Company by resolution at a meeting held on April 24, 2020, subject to shareholder approval as provided in Section 14.20 below.</w:t>
      </w:r>
    </w:p>
    <w:p>
      <w:pPr>
        <w:spacing w:after="0" w:line="169" w:lineRule="exact"/>
        <w:rPr>
          <w:sz w:val="20"/>
          <w:szCs w:val="20"/>
          <w:color w:val="auto"/>
        </w:rPr>
      </w:pPr>
    </w:p>
    <w:p>
      <w:pPr>
        <w:jc w:val="both"/>
        <w:ind w:left="120" w:firstLine="440"/>
        <w:spacing w:after="0" w:line="244" w:lineRule="auto"/>
        <w:rPr>
          <w:sz w:val="20"/>
          <w:szCs w:val="20"/>
          <w:color w:val="auto"/>
        </w:rPr>
      </w:pPr>
      <w:r>
        <w:rPr>
          <w:rFonts w:ascii="Arial" w:cs="Arial" w:eastAsia="Arial" w:hAnsi="Arial"/>
          <w:sz w:val="18"/>
          <w:szCs w:val="18"/>
          <w:b w:val="1"/>
          <w:bCs w:val="1"/>
          <w:color w:val="003B71"/>
        </w:rPr>
        <w:t xml:space="preserve">14.20 Shareholder Approval. </w:t>
      </w:r>
      <w:r>
        <w:rPr>
          <w:rFonts w:ascii="Arial" w:cs="Arial" w:eastAsia="Arial" w:hAnsi="Arial"/>
          <w:sz w:val="18"/>
          <w:szCs w:val="18"/>
          <w:color w:val="000000"/>
        </w:rPr>
        <w:t>The amendment and restatement of the Plan will be submitted for approval by the shareholders of the</w:t>
      </w:r>
      <w:r>
        <w:rPr>
          <w:rFonts w:ascii="Arial" w:cs="Arial" w:eastAsia="Arial" w:hAnsi="Arial"/>
          <w:sz w:val="18"/>
          <w:szCs w:val="18"/>
          <w:b w:val="1"/>
          <w:bCs w:val="1"/>
          <w:color w:val="003B71"/>
        </w:rPr>
        <w:t xml:space="preserve"> </w:t>
      </w:r>
      <w:r>
        <w:rPr>
          <w:rFonts w:ascii="Arial" w:cs="Arial" w:eastAsia="Arial" w:hAnsi="Arial"/>
          <w:sz w:val="18"/>
          <w:szCs w:val="18"/>
          <w:color w:val="000000"/>
        </w:rPr>
        <w:t>Company at the next meeting of shareholders following the adoption and approval by the Board of Directors. Any Awards granted under the Plan prior to such approval of shareholders shall be effective as of the date of grant, but no such Award may be exercised or settled and no restrictions relating to any Award may lapse prior to such shareholder approval, and if shareholders fail to approve the Plan as specified hereunder, the Plan and any Award shall be terminated and cancelled without consideration.</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w:t>
      </w:r>
    </w:p>
    <w:p>
      <w:pPr>
        <w:spacing w:after="0" w:line="21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This Amended and Restated 2014 Omnibus Incentive Plan was duly adopted and approved by the Board of Directors of the Company by resolution at a meeting held on April 24, 2020.</w:t>
      </w:r>
    </w:p>
    <w:p>
      <w:pPr>
        <w:spacing w:after="0" w:line="121" w:lineRule="exact"/>
        <w:rPr>
          <w:sz w:val="20"/>
          <w:szCs w:val="20"/>
          <w:color w:val="auto"/>
        </w:rPr>
      </w:pPr>
    </w:p>
    <w:p>
      <w:pPr>
        <w:ind w:left="120"/>
        <w:spacing w:after="0"/>
        <w:tabs>
          <w:tab w:leader="none" w:pos="55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A-16</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1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220"/>
        <w:spacing w:after="0"/>
        <w:rPr>
          <w:sz w:val="20"/>
          <w:szCs w:val="20"/>
          <w:color w:val="auto"/>
        </w:rPr>
      </w:pPr>
      <w:r>
        <w:rPr>
          <w:rFonts w:ascii="Arial" w:cs="Arial" w:eastAsia="Arial" w:hAnsi="Arial"/>
          <w:sz w:val="14"/>
          <w:szCs w:val="14"/>
          <w:color w:val="auto"/>
        </w:rPr>
        <w:t>004CTN2BAD</w:t>
      </w:r>
    </w:p>
    <w:p>
      <w:pPr>
        <w:sectPr>
          <w:pgSz w:w="11900" w:h="16838" w:orient="portrait"/>
          <w:cols w:equalWidth="0" w:num="1">
            <w:col w:w="11140"/>
          </w:cols>
          <w:pgMar w:left="320" w:top="459" w:right="439" w:bottom="1105" w:gutter="0" w:footer="0" w:header="0"/>
          <w:type w:val="continuous"/>
        </w:sectPr>
      </w:pPr>
    </w:p>
    <w:bookmarkStart w:id="87" w:name="page88"/>
    <w:bookmarkEnd w:id="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5246370" cy="67894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5246370" cy="67894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5246370" cy="67894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5246370" cy="67894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lvl w:ilvl="1">
      <w:lvlJc w:val="left"/>
      <w:lvlText w:val="(%2)"/>
      <w:numFmt w:val="decimal"/>
      <w:start w:val="1"/>
    </w:lvl>
  </w:abstractNum>
  <w:abstractNum w:abstractNumId="5">
    <w:nsid w:val="5F5E7FD0"/>
    <w:multiLevelType w:val="hybridMultilevel"/>
    <w:lvl w:ilvl="0">
      <w:lvlJc w:val="left"/>
      <w:lvlText w:val="(%1)"/>
      <w:numFmt w:val="decimal"/>
      <w:start w:val="3"/>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I"/>
      <w:numFmt w:val="bullet"/>
      <w:start w:val="1"/>
    </w:lvl>
  </w:abstractNum>
  <w:abstractNum w:abstractNumId="8">
    <w:nsid w:val="6B94764"/>
    <w:multiLevelType w:val="hybridMultilevel"/>
    <w:lvl w:ilvl="0">
      <w:lvlJc w:val="left"/>
      <w:lvlText w:val="C"/>
      <w:numFmt w:val="bullet"/>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lvl w:ilvl="1">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lvl w:ilvl="1">
      <w:lvlJc w:val="left"/>
      <w:lvlText w:val="•"/>
      <w:numFmt w:val="bullet"/>
      <w:start w:val="1"/>
    </w:lvl>
  </w:abstractNum>
  <w:abstractNum w:abstractNumId="22">
    <w:nsid w:val="8F2B15E"/>
    <w:multiLevelType w:val="hybridMultilevel"/>
    <w:lvl w:ilvl="0">
      <w:lvlJc w:val="left"/>
      <w:lvlText w:val="-"/>
      <w:numFmt w:val="bullet"/>
      <w:start w:val="1"/>
    </w:lvl>
    <w:lvl w:ilvl="1">
      <w:lvlJc w:val="left"/>
      <w:lvlText w:val="•"/>
      <w:numFmt w:val="bullet"/>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lvl w:ilvl="1">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lvl w:ilvl="1">
      <w:lvlJc w:val="left"/>
      <w:lvlText w:va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
      <w:numFmt w:val="bullet"/>
      <w:start w:val="1"/>
    </w:lvl>
    <w:lvl w:ilvl="1">
      <w:lvlJc w:val="left"/>
      <w:lvlText w:val="•"/>
      <w:numFmt w:val="bullet"/>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lvl w:ilvl="1">
      <w:lvlJc w:val="left"/>
      <w:lvlText w:val="•"/>
      <w:numFmt w:val="bullet"/>
      <w:start w:val="1"/>
    </w:lvl>
  </w:abstractNum>
  <w:abstractNum w:abstractNumId="37">
    <w:nsid w:val="94211F2"/>
    <w:multiLevelType w:val="hybridMultilevel"/>
    <w:lvl w:ilvl="0">
      <w:lvlJc w:val="left"/>
      <w:lvlText w:val="-"/>
      <w:numFmt w:val="bullet"/>
      <w:start w:val="1"/>
    </w:lvl>
  </w:abstractNum>
  <w:abstractNum w:abstractNumId="38">
    <w:nsid w:val="885E1B"/>
    <w:multiLevelType w:val="hybridMultilevel"/>
    <w:lvl w:ilvl="0">
      <w:lvlJc w:val="left"/>
      <w:lvlText w:val="-"/>
      <w:numFmt w:val="bullet"/>
      <w:start w:val="1"/>
    </w:lvl>
    <w:lvl w:ilvl="1">
      <w:lvlJc w:val="left"/>
      <w:lvlText w:val="•"/>
      <w:numFmt w:val="bullet"/>
      <w:start w:val="1"/>
    </w:lvl>
  </w:abstractNum>
  <w:abstractNum w:abstractNumId="39">
    <w:nsid w:val="76272110"/>
    <w:multiLevelType w:val="hybridMultilevel"/>
    <w:lvl w:ilvl="0">
      <w:lvlJc w:val="left"/>
      <w:lvlText w:val="-"/>
      <w:numFmt w:val="bullet"/>
      <w:start w:val="1"/>
    </w:lvl>
    <w:lvl w:ilvl="1">
      <w:lvlJc w:val="left"/>
      <w:lvlText w:val="•"/>
      <w:numFmt w:val="bullet"/>
      <w:start w:val="1"/>
    </w:lvl>
  </w:abstractNum>
  <w:abstractNum w:abstractNumId="40">
    <w:nsid w:val="4C04A8AF"/>
    <w:multiLevelType w:val="hybridMultilevel"/>
    <w:lvl w:ilvl="0">
      <w:lvlJc w:val="left"/>
      <w:lvlText w:val="-"/>
      <w:numFmt w:val="bullet"/>
      <w:start w:val="1"/>
    </w:lvl>
    <w:lvl w:ilvl="1">
      <w:lvlJc w:val="left"/>
      <w:lvlText w:val="•"/>
      <w:numFmt w:val="bullet"/>
      <w:start w:val="1"/>
    </w:lvl>
  </w:abstractNum>
  <w:abstractNum w:abstractNumId="41">
    <w:nsid w:val="1716703B"/>
    <w:multiLevelType w:val="hybridMultilevel"/>
    <w:lvl w:ilvl="0">
      <w:lvlJc w:val="left"/>
      <w:lvlText w:val="-"/>
      <w:numFmt w:val="bullet"/>
      <w:start w:val="1"/>
    </w:lvl>
    <w:lvl w:ilvl="1">
      <w:lvlJc w:val="left"/>
      <w:lvlText w:val="•"/>
      <w:numFmt w:val="bullet"/>
      <w:start w:val="1"/>
    </w:lvl>
  </w:abstractNum>
  <w:abstractNum w:abstractNumId="42">
    <w:nsid w:val="14E17E33"/>
    <w:multiLevelType w:val="hybridMultilevel"/>
    <w:lvl w:ilvl="0">
      <w:lvlJc w:val="left"/>
      <w:lvlText w:val="-"/>
      <w:numFmt w:val="bullet"/>
      <w:start w:val="1"/>
    </w:lvl>
    <w:lvl w:ilvl="1">
      <w:lvlJc w:val="left"/>
      <w:lvlText w:val="•"/>
      <w:numFmt w:val="bullet"/>
      <w:start w:val="1"/>
    </w:lvl>
  </w:abstractNum>
  <w:abstractNum w:abstractNumId="43">
    <w:nsid w:val="3222E7CD"/>
    <w:multiLevelType w:val="hybridMultilevel"/>
    <w:lvl w:ilvl="0">
      <w:lvlJc w:val="left"/>
      <w:lvlText w:val="-"/>
      <w:numFmt w:val="bullet"/>
      <w:start w:val="1"/>
    </w:lvl>
  </w:abstractNum>
  <w:abstractNum w:abstractNumId="44">
    <w:nsid w:val="74DE0EE3"/>
    <w:multiLevelType w:val="hybridMultilevel"/>
    <w:lvl w:ilvl="0">
      <w:lvlJc w:val="left"/>
      <w:lvlText w:val="-"/>
      <w:numFmt w:val="bullet"/>
      <w:start w:val="1"/>
    </w:lvl>
  </w:abstractNum>
  <w:abstractNum w:abstractNumId="45">
    <w:nsid w:val="68EBC550"/>
    <w:multiLevelType w:val="hybridMultilevel"/>
    <w:lvl w:ilvl="0">
      <w:lvlJc w:val="left"/>
      <w:lvlText w:val="-"/>
      <w:numFmt w:val="bullet"/>
      <w:start w:val="1"/>
    </w:lvl>
    <w:lvl w:ilvl="1">
      <w:lvlJc w:val="left"/>
      <w:lvlText w:val="•"/>
      <w:numFmt w:val="bullet"/>
      <w:start w:val="1"/>
    </w:lvl>
  </w:abstractNum>
  <w:abstractNum w:abstractNumId="46">
    <w:nsid w:val="2DF6D648"/>
    <w:multiLevelType w:val="hybridMultilevel"/>
    <w:lvl w:ilvl="0">
      <w:lvlJc w:val="left"/>
      <w:lvlText w:val="-"/>
      <w:numFmt w:val="bullet"/>
      <w:start w:val="1"/>
    </w:lvl>
    <w:lvl w:ilvl="1">
      <w:lvlJc w:val="left"/>
      <w:lvlText w:val="•"/>
      <w:numFmt w:val="bullet"/>
      <w:start w:val="1"/>
    </w:lvl>
  </w:abstractNum>
  <w:abstractNum w:abstractNumId="47">
    <w:nsid w:val="46B7D447"/>
    <w:multiLevelType w:val="hybridMultilevel"/>
    <w:lvl w:ilvl="0">
      <w:lvlJc w:val="left"/>
      <w:lvlText w:val="-"/>
      <w:numFmt w:val="bullet"/>
      <w:start w:val="1"/>
    </w:lvl>
    <w:lvl w:ilvl="1">
      <w:lvlJc w:val="left"/>
      <w:lvlText w:val="•"/>
      <w:numFmt w:val="bullet"/>
      <w:start w:val="1"/>
    </w:lvl>
  </w:abstractNum>
  <w:abstractNum w:abstractNumId="48">
    <w:nsid w:val="4A2AC315"/>
    <w:multiLevelType w:val="hybridMultilevel"/>
    <w:lvl w:ilvl="0">
      <w:lvlJc w:val="left"/>
      <w:lvlText w:val="-"/>
      <w:numFmt w:val="bullet"/>
      <w:start w:val="1"/>
    </w:lvl>
    <w:lvl w:ilvl="1">
      <w:lvlJc w:val="left"/>
      <w:lvlText w:val="•"/>
      <w:numFmt w:val="bullet"/>
      <w:start w:val="1"/>
    </w:lvl>
  </w:abstractNum>
  <w:abstractNum w:abstractNumId="49">
    <w:nsid w:val="39EE015C"/>
    <w:multiLevelType w:val="hybridMultilevel"/>
    <w:lvl w:ilvl="0">
      <w:lvlJc w:val="left"/>
      <w:lvlText w:val="-"/>
      <w:numFmt w:val="bullet"/>
      <w:start w:val="1"/>
    </w:lvl>
  </w:abstractNum>
  <w:abstractNum w:abstractNumId="50">
    <w:nsid w:val="57FC4FBB"/>
    <w:multiLevelType w:val="hybridMultilevel"/>
    <w:lvl w:ilvl="0">
      <w:lvlJc w:val="left"/>
      <w:lvlText w:val="-"/>
      <w:numFmt w:val="bullet"/>
      <w:start w:val="1"/>
    </w:lvl>
  </w:abstractNum>
  <w:abstractNum w:abstractNumId="51">
    <w:nsid w:val="CC1016F"/>
    <w:multiLevelType w:val="hybridMultilevel"/>
    <w:lvl w:ilvl="0">
      <w:lvlJc w:val="left"/>
      <w:lvlText w:val="-"/>
      <w:numFmt w:val="bullet"/>
      <w:start w:val="1"/>
    </w:lvl>
  </w:abstractNum>
  <w:abstractNum w:abstractNumId="52">
    <w:nsid w:val="43F18422"/>
    <w:multiLevelType w:val="hybridMultilevel"/>
    <w:lvl w:ilvl="0">
      <w:lvlJc w:val="left"/>
      <w:lvlText w:val="-"/>
      <w:numFmt w:val="bullet"/>
      <w:start w:val="1"/>
    </w:lvl>
    <w:lvl w:ilvl="1">
      <w:lvlJc w:val="left"/>
      <w:lvlText w:val="•"/>
      <w:numFmt w:val="bullet"/>
      <w:start w:val="1"/>
    </w:lvl>
  </w:abstractNum>
  <w:abstractNum w:abstractNumId="53">
    <w:nsid w:val="60EF0119"/>
    <w:multiLevelType w:val="hybridMultilevel"/>
    <w:lvl w:ilvl="0">
      <w:lvlJc w:val="left"/>
      <w:lvlText w:val="-"/>
      <w:numFmt w:val="bullet"/>
      <w:start w:val="1"/>
    </w:lvl>
    <w:lvl w:ilvl="1">
      <w:lvlJc w:val="left"/>
      <w:lvlText w:val="•"/>
      <w:numFmt w:val="bullet"/>
      <w:start w:val="1"/>
    </w:lvl>
  </w:abstractNum>
  <w:abstractNum w:abstractNumId="54">
    <w:nsid w:val="26F324BA"/>
    <w:multiLevelType w:val="hybridMultilevel"/>
    <w:lvl w:ilvl="0">
      <w:lvlJc w:val="left"/>
      <w:lvlText w:val="-"/>
      <w:numFmt w:val="bullet"/>
      <w:start w:val="1"/>
    </w:lvl>
  </w:abstractNum>
  <w:abstractNum w:abstractNumId="55">
    <w:nsid w:val="7F01579B"/>
    <w:multiLevelType w:val="hybridMultilevel"/>
    <w:lvl w:ilvl="0">
      <w:lvlJc w:val="left"/>
      <w:lvlText w:val="-"/>
      <w:numFmt w:val="bullet"/>
      <w:start w:val="1"/>
    </w:lvl>
  </w:abstractNum>
  <w:abstractNum w:abstractNumId="56">
    <w:nsid w:val="49DA307D"/>
    <w:multiLevelType w:val="hybridMultilevel"/>
    <w:lvl w:ilvl="0">
      <w:lvlJc w:val="left"/>
      <w:lvlText w:val="•"/>
      <w:numFmt w:val="bullet"/>
      <w:start w:val="1"/>
    </w:lvl>
  </w:abstractNum>
  <w:abstractNum w:abstractNumId="57">
    <w:nsid w:val="7055A5F5"/>
    <w:multiLevelType w:val="hybridMultilevel"/>
    <w:lvl w:ilvl="0">
      <w:lvlJc w:val="left"/>
      <w:lvlText w:val="-"/>
      <w:numFmt w:val="bullet"/>
      <w:start w:val="1"/>
    </w:lvl>
  </w:abstractNum>
  <w:abstractNum w:abstractNumId="58">
    <w:nsid w:val="5FB8370B"/>
    <w:multiLevelType w:val="hybridMultilevel"/>
    <w:lvl w:ilvl="0">
      <w:lvlJc w:val="left"/>
      <w:lvlText w:val="-"/>
      <w:numFmt w:val="bullet"/>
      <w:start w:val="1"/>
    </w:lvl>
  </w:abstractNum>
  <w:abstractNum w:abstractNumId="59">
    <w:nsid w:val="50801EE1"/>
    <w:multiLevelType w:val="hybridMultilevel"/>
    <w:lvl w:ilvl="0">
      <w:lvlJc w:val="left"/>
      <w:lvlText w:val="-"/>
      <w:numFmt w:val="bullet"/>
      <w:start w:val="1"/>
    </w:lvl>
    <w:lvl w:ilvl="1">
      <w:lvlJc w:val="left"/>
      <w:lvlText w:val="•"/>
      <w:numFmt w:val="bullet"/>
      <w:start w:val="1"/>
    </w:lvl>
  </w:abstractNum>
  <w:abstractNum w:abstractNumId="60">
    <w:nsid w:val="488AC1A"/>
    <w:multiLevelType w:val="hybridMultilevel"/>
    <w:lvl w:ilvl="0">
      <w:lvlJc w:val="left"/>
      <w:lvlText w:val="-"/>
      <w:numFmt w:val="bullet"/>
      <w:start w:val="1"/>
    </w:lvl>
    <w:lvl w:ilvl="1">
      <w:lvlJc w:val="left"/>
      <w:lvlText w:val="•"/>
      <w:numFmt w:val="bullet"/>
      <w:start w:val="1"/>
    </w:lvl>
  </w:abstractNum>
  <w:abstractNum w:abstractNumId="61">
    <w:nsid w:val="5FB8011C"/>
    <w:multiLevelType w:val="hybridMultilevel"/>
    <w:lvl w:ilvl="0">
      <w:lvlJc w:val="left"/>
      <w:lvlText w:val="-"/>
      <w:numFmt w:val="bullet"/>
      <w:start w:val="1"/>
    </w:lvl>
    <w:lvl w:ilvl="1">
      <w:lvlJc w:val="left"/>
      <w:lvlText w:val="•"/>
      <w:numFmt w:val="bullet"/>
      <w:start w:val="1"/>
    </w:lvl>
  </w:abstractNum>
  <w:abstractNum w:abstractNumId="62">
    <w:nsid w:val="6AA78F7F"/>
    <w:multiLevelType w:val="hybridMultilevel"/>
    <w:lvl w:ilvl="0">
      <w:lvlJc w:val="left"/>
      <w:lvlText w:val="-"/>
      <w:numFmt w:val="bullet"/>
      <w:start w:val="1"/>
    </w:lvl>
  </w:abstractNum>
  <w:abstractNum w:abstractNumId="63">
    <w:nsid w:val="7672BD23"/>
    <w:multiLevelType w:val="hybridMultilevel"/>
    <w:lvl w:ilvl="0">
      <w:lvlJc w:val="left"/>
      <w:lvlText w:val="(%1)"/>
      <w:numFmt w:val="decimal"/>
      <w:start w:val="1"/>
    </w:lvl>
  </w:abstractNum>
  <w:abstractNum w:abstractNumId="64">
    <w:nsid w:val="6FC75AF8"/>
    <w:multiLevelType w:val="hybridMultilevel"/>
    <w:lvl w:ilvl="0">
      <w:lvlJc w:val="left"/>
      <w:lvlText w:val="•"/>
      <w:numFmt w:val="bullet"/>
      <w:start w:val="1"/>
    </w:lvl>
  </w:abstractNum>
  <w:abstractNum w:abstractNumId="65">
    <w:nsid w:val="6A5F7029"/>
    <w:multiLevelType w:val="hybridMultilevel"/>
    <w:lvl w:ilvl="0">
      <w:lvlJc w:val="left"/>
      <w:lvlText w:val="•"/>
      <w:numFmt w:val="bullet"/>
      <w:start w:val="1"/>
    </w:lvl>
  </w:abstractNum>
  <w:abstractNum w:abstractNumId="66">
    <w:nsid w:val="7D5E18F8"/>
    <w:multiLevelType w:val="hybridMultilevel"/>
    <w:lvl w:ilvl="0">
      <w:lvlJc w:val="left"/>
      <w:lvlText w:val="•"/>
      <w:numFmt w:val="bullet"/>
      <w:start w:val="1"/>
    </w:lvl>
  </w:abstractNum>
  <w:abstractNum w:abstractNumId="67">
    <w:nsid w:val="5F3534A4"/>
    <w:multiLevelType w:val="hybridMultilevel"/>
    <w:lvl w:ilvl="0">
      <w:lvlJc w:val="left"/>
      <w:lvlText w:val="•"/>
      <w:numFmt w:val="bullet"/>
      <w:start w:val="1"/>
    </w:lvl>
    <w:lvl w:ilvl="1">
      <w:lvlJc w:val="left"/>
      <w:lvlText w:val="¡"/>
      <w:numFmt w:val="bullet"/>
      <w:start w:val="1"/>
    </w:lvl>
  </w:abstractNum>
  <w:abstractNum w:abstractNumId="68">
    <w:nsid w:val="73A1821B"/>
    <w:multiLevelType w:val="hybridMultilevel"/>
    <w:lvl w:ilvl="0">
      <w:lvlJc w:val="left"/>
      <w:lvlText w:val="•"/>
      <w:numFmt w:val="bullet"/>
      <w:start w:val="1"/>
    </w:lvl>
    <w:lvl w:ilvl="1">
      <w:lvlJc w:val="left"/>
      <w:lvlText w:val="¡"/>
      <w:numFmt w:val="bullet"/>
      <w:start w:val="1"/>
    </w:lvl>
  </w:abstractNum>
  <w:abstractNum w:abstractNumId="69">
    <w:nsid w:val="7DE67713"/>
    <w:multiLevelType w:val="hybridMultilevel"/>
    <w:lvl w:ilvl="0">
      <w:lvlJc w:val="left"/>
      <w:lvlText w:val="(%1)"/>
      <w:numFmt w:val="decimal"/>
      <w:start w:val="1"/>
    </w:lvl>
  </w:abstractNum>
  <w:abstractNum w:abstractNumId="70">
    <w:nsid w:val="555C55B5"/>
    <w:multiLevelType w:val="hybridMultilevel"/>
    <w:lvl w:ilvl="0">
      <w:lvlJc w:val="left"/>
      <w:lvlText w:val="•"/>
      <w:numFmt w:val="bullet"/>
      <w:start w:val="1"/>
    </w:lvl>
  </w:abstractNum>
  <w:abstractNum w:abstractNumId="71">
    <w:nsid w:val="3FA62ACA"/>
    <w:multiLevelType w:val="hybridMultilevel"/>
    <w:lvl w:ilvl="0">
      <w:lvlJc w:val="left"/>
      <w:lvlText w:val="(%1)"/>
      <w:numFmt w:val="decimal"/>
      <w:start w:val="1"/>
    </w:lvl>
  </w:abstractNum>
  <w:abstractNum w:abstractNumId="72">
    <w:nsid w:val="14FCE74E"/>
    <w:multiLevelType w:val="hybridMultilevel"/>
    <w:lvl w:ilvl="0">
      <w:lvlJc w:val="left"/>
      <w:lvlText w:val="(%1)"/>
      <w:numFmt w:val="decimal"/>
      <w:start w:val="5"/>
    </w:lvl>
  </w:abstractNum>
  <w:abstractNum w:abstractNumId="73">
    <w:nsid w:val="6A3DD3E8"/>
    <w:multiLevelType w:val="hybridMultilevel"/>
    <w:lvl w:ilvl="0">
      <w:lvlJc w:val="left"/>
      <w:lvlText w:val="•"/>
      <w:numFmt w:val="bullet"/>
      <w:start w:val="1"/>
    </w:lvl>
  </w:abstractNum>
  <w:abstractNum w:abstractNumId="74">
    <w:nsid w:val="71C91298"/>
    <w:multiLevelType w:val="hybridMultilevel"/>
    <w:lvl w:ilvl="0">
      <w:lvlJc w:val="left"/>
      <w:lvlText w:val="(%1)"/>
      <w:numFmt w:val="decimal"/>
      <w:start w:val="1"/>
    </w:lvl>
  </w:abstractNum>
  <w:abstractNum w:abstractNumId="75">
    <w:nsid w:val="9DAF632"/>
    <w:multiLevelType w:val="hybridMultilevel"/>
    <w:lvl w:ilvl="0">
      <w:lvlJc w:val="left"/>
      <w:lvlText w:val="(%1)"/>
      <w:numFmt w:val="decimal"/>
      <w:start w:val="19"/>
    </w:lvl>
  </w:abstractNum>
  <w:abstractNum w:abstractNumId="76">
    <w:nsid w:val="53299938"/>
    <w:multiLevelType w:val="hybridMultilevel"/>
    <w:lvl w:ilvl="0">
      <w:lvlJc w:val="left"/>
      <w:lvlText w:val="\endash "/>
      <w:numFmt w:val="bullet"/>
      <w:start w:val="1"/>
    </w:lvl>
  </w:abstractNum>
  <w:abstractNum w:abstractNumId="77">
    <w:nsid w:val="1FBFE8E0"/>
    <w:multiLevelType w:val="hybridMultilevel"/>
    <w:lvl w:ilvl="0">
      <w:lvlJc w:val="left"/>
      <w:lvlText w:val="\endash "/>
      <w:numFmt w:val="bullet"/>
      <w:start w:val="1"/>
    </w:lvl>
    <w:lvl w:ilvl="1">
      <w:lvlJc w:val="left"/>
      <w:lvlText w:val="•"/>
      <w:numFmt w:val="bullet"/>
      <w:start w:val="1"/>
    </w:lvl>
  </w:abstractNum>
  <w:abstractNum w:abstractNumId="78">
    <w:nsid w:val="5092CA79"/>
    <w:multiLevelType w:val="hybridMultilevel"/>
    <w:lvl w:ilvl="0">
      <w:lvlJc w:val="left"/>
      <w:lvlText w:val="\endash "/>
      <w:numFmt w:val="bullet"/>
      <w:start w:val="1"/>
    </w:lvl>
    <w:lvl w:ilvl="1">
      <w:lvlJc w:val="left"/>
      <w:lvlText w:val="•"/>
      <w:numFmt w:val="bullet"/>
      <w:start w:val="1"/>
    </w:lvl>
  </w:abstractNum>
  <w:abstractNum w:abstractNumId="79">
    <w:nsid w:val="1D545C4D"/>
    <w:multiLevelType w:val="hybridMultilevel"/>
    <w:lvl w:ilvl="0">
      <w:lvlJc w:val="left"/>
      <w:lvlText w:val="\endash "/>
      <w:numFmt w:val="bullet"/>
      <w:start w:val="1"/>
    </w:lvl>
  </w:abstractNum>
  <w:abstractNum w:abstractNumId="80">
    <w:nsid w:val="59ADEA3D"/>
    <w:multiLevelType w:val="hybridMultilevel"/>
    <w:lvl w:ilvl="0">
      <w:lvlJc w:val="left"/>
      <w:lvlText w:val="\endash "/>
      <w:numFmt w:val="bullet"/>
      <w:start w:val="1"/>
    </w:lvl>
  </w:abstractNum>
  <w:abstractNum w:abstractNumId="81">
    <w:nsid w:val="288F1A34"/>
    <w:multiLevelType w:val="hybridMultilevel"/>
    <w:lvl w:ilvl="0">
      <w:lvlJc w:val="left"/>
      <w:lvlText w:val="\endash "/>
      <w:numFmt w:val="bullet"/>
      <w:start w:val="1"/>
    </w:lvl>
    <w:lvl w:ilvl="1">
      <w:lvlJc w:val="left"/>
      <w:lvlText w:val="•"/>
      <w:numFmt w:val="bullet"/>
      <w:start w:val="1"/>
    </w:lvl>
  </w:abstractNum>
  <w:abstractNum w:abstractNumId="82">
    <w:nsid w:val="2A155DBC"/>
    <w:multiLevelType w:val="hybridMultilevel"/>
    <w:lvl w:ilvl="0">
      <w:lvlJc w:val="left"/>
      <w:lvlText w:val="\endash "/>
      <w:numFmt w:val="bullet"/>
      <w:start w:val="1"/>
    </w:lvl>
  </w:abstractNum>
  <w:abstractNum w:abstractNumId="83">
    <w:nsid w:val="1D9F6E5F"/>
    <w:multiLevelType w:val="hybridMultilevel"/>
    <w:lvl w:ilvl="0">
      <w:lvlJc w:val="left"/>
      <w:lvlText w:val="\endash "/>
      <w:numFmt w:val="bullet"/>
      <w:start w:val="1"/>
    </w:lvl>
    <w:lvl w:ilvl="1">
      <w:lvlJc w:val="left"/>
      <w:lvlText w:val="•"/>
      <w:numFmt w:val="bullet"/>
      <w:start w:val="1"/>
    </w:lvl>
  </w:abstractNum>
  <w:abstractNum w:abstractNumId="84">
    <w:nsid w:val="97E1B4E"/>
    <w:multiLevelType w:val="hybridMultilevel"/>
    <w:lvl w:ilvl="0">
      <w:lvlJc w:val="left"/>
      <w:lvlText w:val="\endash "/>
      <w:numFmt w:val="bullet"/>
      <w:start w:val="1"/>
    </w:lvl>
  </w:abstractNum>
  <w:abstractNum w:abstractNumId="85">
    <w:nsid w:val="51088277"/>
    <w:multiLevelType w:val="hybridMultilevel"/>
    <w:lvl w:ilvl="0">
      <w:lvlJc w:val="left"/>
      <w:lvlText w:val="\endash "/>
      <w:numFmt w:val="bullet"/>
      <w:start w:val="1"/>
    </w:lvl>
    <w:lvl w:ilvl="1">
      <w:lvlJc w:val="left"/>
      <w:lvlText w:val="•"/>
      <w:numFmt w:val="bullet"/>
      <w:start w:val="1"/>
    </w:lvl>
  </w:abstractNum>
  <w:abstractNum w:abstractNumId="86">
    <w:nsid w:val="1CA0C5FA"/>
    <w:multiLevelType w:val="hybridMultilevel"/>
    <w:lvl w:ilvl="0">
      <w:lvlJc w:val="left"/>
      <w:lvlText w:val="\endash "/>
      <w:numFmt w:val="bullet"/>
      <w:start w:val="1"/>
    </w:lvl>
    <w:lvl w:ilvl="1">
      <w:lvlJc w:val="left"/>
      <w:lvlText w:val="•"/>
      <w:numFmt w:val="bullet"/>
      <w:start w:val="1"/>
    </w:lvl>
  </w:abstractNum>
  <w:abstractNum w:abstractNumId="87">
    <w:nsid w:val="53584BCB"/>
    <w:multiLevelType w:val="hybridMultilevel"/>
    <w:lvl w:ilvl="0">
      <w:lvlJc w:val="left"/>
      <w:lvlText w:val="\endash "/>
      <w:numFmt w:val="bullet"/>
      <w:start w:val="1"/>
    </w:lvl>
  </w:abstractNum>
  <w:abstractNum w:abstractNumId="88">
    <w:nsid w:val="415E286C"/>
    <w:multiLevelType w:val="hybridMultilevel"/>
    <w:lvl w:ilvl="0">
      <w:lvlJc w:val="left"/>
      <w:lvlText w:val="\endash "/>
      <w:numFmt w:val="bullet"/>
      <w:start w:val="1"/>
    </w:lvl>
    <w:lvl w:ilvl="1">
      <w:lvlJc w:val="left"/>
      <w:lvlText w:val="•"/>
      <w:numFmt w:val="bullet"/>
      <w:start w:val="1"/>
    </w:lvl>
  </w:abstractNum>
  <w:abstractNum w:abstractNumId="89">
    <w:nsid w:val="7C58FD05"/>
    <w:multiLevelType w:val="hybridMultilevel"/>
    <w:lvl w:ilvl="0">
      <w:lvlJc w:val="left"/>
      <w:lvlText w:val="\endash "/>
      <w:numFmt w:val="bullet"/>
      <w:start w:val="1"/>
    </w:lvl>
  </w:abstractNum>
  <w:abstractNum w:abstractNumId="90">
    <w:nsid w:val="23D86AAC"/>
    <w:multiLevelType w:val="hybridMultilevel"/>
    <w:lvl w:ilvl="0">
      <w:lvlJc w:val="left"/>
      <w:lvlText w:val="\endash "/>
      <w:numFmt w:val="bullet"/>
      <w:start w:val="1"/>
    </w:lvl>
  </w:abstractNum>
  <w:abstractNum w:abstractNumId="91">
    <w:nsid w:val="45E6D486"/>
    <w:multiLevelType w:val="hybridMultilevel"/>
    <w:lvl w:ilvl="0">
      <w:lvlJc w:val="left"/>
      <w:lvlText w:val="\endash "/>
      <w:numFmt w:val="bullet"/>
      <w:start w:val="1"/>
    </w:lvl>
    <w:lvl w:ilvl="1">
      <w:lvlJc w:val="left"/>
      <w:lvlText w:val="•"/>
      <w:numFmt w:val="bullet"/>
      <w:start w:val="1"/>
    </w:lvl>
  </w:abstractNum>
  <w:abstractNum w:abstractNumId="92">
    <w:nsid w:val="5C10FE21"/>
    <w:multiLevelType w:val="hybridMultilevel"/>
    <w:lvl w:ilvl="0">
      <w:lvlJc w:val="left"/>
      <w:lvlText w:val="\endash "/>
      <w:numFmt w:val="bullet"/>
      <w:start w:val="1"/>
    </w:lvl>
  </w:abstractNum>
  <w:abstractNum w:abstractNumId="93">
    <w:nsid w:val="E7FFA2B"/>
    <w:multiLevelType w:val="hybridMultilevel"/>
    <w:lvl w:ilvl="0">
      <w:lvlJc w:val="left"/>
      <w:lvlText w:val="•"/>
      <w:numFmt w:val="bullet"/>
      <w:start w:val="1"/>
    </w:lvl>
  </w:abstractNum>
  <w:abstractNum w:abstractNumId="94">
    <w:nsid w:val="3C5991AA"/>
    <w:multiLevelType w:val="hybridMultilevel"/>
    <w:lvl w:ilvl="0">
      <w:lvlJc w:val="left"/>
      <w:lvlText w:val="(%1)"/>
      <w:numFmt w:val="decimal"/>
      <w:start w:val="1"/>
    </w:lvl>
  </w:abstractNum>
  <w:abstractNum w:abstractNumId="95">
    <w:nsid w:val="4BD8591A"/>
    <w:multiLevelType w:val="hybridMultilevel"/>
    <w:lvl w:ilvl="0">
      <w:lvlJc w:val="left"/>
      <w:lvlText w:val="✓"/>
      <w:numFmt w:val="bullet"/>
      <w:start w:val="1"/>
    </w:lvl>
  </w:abstractNum>
  <w:abstractNum w:abstractNumId="96">
    <w:nsid w:val="78DF6A55"/>
    <w:multiLevelType w:val="hybridMultilevel"/>
    <w:lvl w:ilvl="0">
      <w:lvlJc w:val="left"/>
      <w:lvlText w:val="×"/>
      <w:numFmt w:val="bullet"/>
      <w:start w:val="1"/>
    </w:lvl>
  </w:abstractNum>
  <w:abstractNum w:abstractNumId="97">
    <w:nsid w:val="39B7AAA2"/>
    <w:multiLevelType w:val="hybridMultilevel"/>
    <w:lvl w:ilvl="0">
      <w:lvlJc w:val="left"/>
      <w:lvlText w:val="•"/>
      <w:numFmt w:val="bullet"/>
      <w:start w:val="1"/>
    </w:lvl>
  </w:abstractNum>
  <w:abstractNum w:abstractNumId="98">
    <w:nsid w:val="2B0D8DBE"/>
    <w:multiLevelType w:val="hybridMultilevel"/>
    <w:lvl w:ilvl="0">
      <w:lvlJc w:val="left"/>
      <w:lvlText w:val="•"/>
      <w:numFmt w:val="bullet"/>
      <w:start w:val="1"/>
    </w:lvl>
  </w:abstractNum>
  <w:abstractNum w:abstractNumId="99">
    <w:nsid w:val="6C80EC70"/>
    <w:multiLevelType w:val="hybridMultilevel"/>
    <w:lvl w:ilvl="0">
      <w:lvlJc w:val="left"/>
      <w:lvlText w:val="(%1)"/>
      <w:numFmt w:val="decimal"/>
      <w:start w:val="1"/>
    </w:lvl>
  </w:abstractNum>
  <w:abstractNum w:abstractNumId="100">
    <w:nsid w:val="379E21B5"/>
    <w:multiLevelType w:val="hybridMultilevel"/>
    <w:lvl w:ilvl="0">
      <w:lvlJc w:val="left"/>
      <w:lvlText w:val="(%1)"/>
      <w:numFmt w:val="decimal"/>
      <w:start w:val="1"/>
    </w:lvl>
  </w:abstractNum>
  <w:abstractNum w:abstractNumId="101">
    <w:nsid w:val="69E373"/>
    <w:multiLevelType w:val="hybridMultilevel"/>
    <w:lvl w:ilvl="0">
      <w:lvlJc w:val="left"/>
      <w:lvlText w:val="(%1)"/>
      <w:numFmt w:val="decimal"/>
      <w:start w:val="1"/>
    </w:lvl>
  </w:abstractNum>
  <w:abstractNum w:abstractNumId="102">
    <w:nsid w:val="2C27173B"/>
    <w:multiLevelType w:val="hybridMultilevel"/>
    <w:lvl w:ilvl="0">
      <w:lvlJc w:val="left"/>
      <w:lvlText w:val="(%1)"/>
      <w:numFmt w:val="decimal"/>
      <w:start w:val="1"/>
    </w:lvl>
  </w:abstractNum>
  <w:abstractNum w:abstractNumId="103">
    <w:nsid w:val="4C9B0904"/>
    <w:multiLevelType w:val="hybridMultilevel"/>
    <w:lvl w:ilvl="0">
      <w:lvlJc w:val="left"/>
      <w:lvlText w:val="(%1)"/>
      <w:numFmt w:val="decimal"/>
      <w:start w:val="1"/>
    </w:lvl>
  </w:abstractNum>
  <w:abstractNum w:abstractNumId="104">
    <w:nsid w:val="6AA7B75C"/>
    <w:multiLevelType w:val="hybridMultilevel"/>
    <w:lvl w:ilvl="0">
      <w:lvlJc w:val="left"/>
      <w:lvlText w:val="(%1)"/>
      <w:numFmt w:val="decimal"/>
      <w:start w:val="1"/>
    </w:lvl>
  </w:abstractNum>
  <w:abstractNum w:abstractNumId="105">
    <w:nsid w:val="1DF029D3"/>
    <w:multiLevelType w:val="hybridMultilevel"/>
    <w:lvl w:ilvl="0">
      <w:lvlJc w:val="left"/>
      <w:lvlText w:val="(%1)"/>
      <w:numFmt w:val="decimal"/>
      <w:start w:val="1"/>
    </w:lvl>
  </w:abstractNum>
  <w:abstractNum w:abstractNumId="106">
    <w:nsid w:val="5675FF36"/>
    <w:multiLevelType w:val="hybridMultilevel"/>
    <w:lvl w:ilvl="0">
      <w:lvlJc w:val="left"/>
      <w:lvlText w:val="•"/>
      <w:numFmt w:val="bullet"/>
      <w:start w:val="1"/>
    </w:lvl>
  </w:abstractNum>
  <w:abstractNum w:abstractNumId="107">
    <w:nsid w:val="3DD15094"/>
    <w:multiLevelType w:val="hybridMultilevel"/>
    <w:lvl w:ilvl="0">
      <w:lvlJc w:val="left"/>
      <w:lvlText w:val="(%1)"/>
      <w:numFmt w:val="decimal"/>
      <w:start w:val="1"/>
    </w:lvl>
  </w:abstractNum>
  <w:abstractNum w:abstractNumId="108">
    <w:nsid w:val="3DB012B3"/>
    <w:multiLevelType w:val="hybridMultilevel"/>
    <w:lvl w:ilvl="0">
      <w:lvlJc w:val="left"/>
      <w:lvlText w:val="(%1)"/>
      <w:numFmt w:val="decimal"/>
      <w:start w:val="7"/>
    </w:lvl>
  </w:abstractNum>
  <w:abstractNum w:abstractNumId="109">
    <w:nsid w:val="2708C9AF"/>
    <w:multiLevelType w:val="hybridMultilevel"/>
    <w:lvl w:ilvl="0">
      <w:lvlJc w:val="left"/>
      <w:lvlText w:val="(%1)"/>
      <w:numFmt w:val="lowerLetter"/>
      <w:start w:val="1"/>
    </w:lvl>
  </w:abstractNum>
  <w:abstractNum w:abstractNumId="110">
    <w:nsid w:val="5B25ACE2"/>
    <w:multiLevelType w:val="hybridMultilevel"/>
    <w:lvl w:ilvl="0">
      <w:lvlJc w:val="left"/>
      <w:lvlText w:val="(%1)"/>
      <w:numFmt w:val="decimal"/>
      <w:start w:val="1"/>
    </w:lvl>
  </w:abstractNum>
  <w:abstractNum w:abstractNumId="111">
    <w:nsid w:val="175DFCF0"/>
    <w:multiLevelType w:val="hybridMultilevel"/>
    <w:lvl w:ilvl="0">
      <w:lvlJc w:val="left"/>
      <w:lvlText w:val="(%1)"/>
      <w:numFmt w:val="decimal"/>
      <w:start w:val="2"/>
    </w:lvl>
  </w:abstractNum>
  <w:abstractNum w:abstractNumId="112">
    <w:nsid w:val="4F97E3E4"/>
    <w:multiLevelType w:val="hybridMultilevel"/>
    <w:lvl w:ilvl="0">
      <w:lvlJc w:val="left"/>
      <w:lvlText w:val="(%1)"/>
      <w:numFmt w:val="decimal"/>
      <w:start w:val="1"/>
    </w:lvl>
  </w:abstractNum>
  <w:abstractNum w:abstractNumId="113">
    <w:nsid w:val="53B0A9E"/>
    <w:multiLevelType w:val="hybridMultilevel"/>
    <w:lvl w:ilvl="0">
      <w:lvlJc w:val="left"/>
      <w:lvlText w:val="(%1)"/>
      <w:numFmt w:val="decimal"/>
      <w:start w:val="2"/>
    </w:lvl>
  </w:abstractNum>
  <w:abstractNum w:abstractNumId="114">
    <w:nsid w:val="34FD6B4F"/>
    <w:multiLevelType w:val="hybridMultilevel"/>
    <w:lvl w:ilvl="0">
      <w:lvlJc w:val="left"/>
      <w:lvlText w:val="(%1)"/>
      <w:numFmt w:val="decimal"/>
      <w:start w:val="1"/>
    </w:lvl>
  </w:abstractNum>
  <w:abstractNum w:abstractNumId="115">
    <w:nsid w:val="5915FF32"/>
    <w:multiLevelType w:val="hybridMultilevel"/>
    <w:lvl w:ilvl="0">
      <w:lvlJc w:val="left"/>
      <w:lvlText w:val="(%1)"/>
      <w:numFmt w:val="decimal"/>
      <w:start w:val="1"/>
    </w:lvl>
  </w:abstractNum>
  <w:abstractNum w:abstractNumId="116">
    <w:nsid w:val="56438D15"/>
    <w:multiLevelType w:val="hybridMultilevel"/>
    <w:lvl w:ilvl="0">
      <w:lvlJc w:val="left"/>
      <w:lvlText w:val="(%1)"/>
      <w:numFmt w:val="lowerRoman"/>
      <w:start w:val="2"/>
    </w:lvl>
  </w:abstractNum>
  <w:abstractNum w:abstractNumId="117">
    <w:nsid w:val="519E3149"/>
    <w:multiLevelType w:val="hybridMultilevel"/>
    <w:lvl w:ilvl="0">
      <w:lvlJc w:val="left"/>
      <w:lvlText w:val="(%1)"/>
      <w:numFmt w:val="decimal"/>
      <w:start w:val="1"/>
    </w:lvl>
  </w:abstractNum>
  <w:abstractNum w:abstractNumId="118">
    <w:nsid w:val="2C6E4AFD"/>
    <w:multiLevelType w:val="hybridMultilevel"/>
    <w:lvl w:ilvl="0">
      <w:lvlJc w:val="left"/>
      <w:lvlText w:val="(%1)"/>
      <w:numFmt w:val="decimal"/>
      <w:start w:val="1"/>
    </w:lvl>
  </w:abstractNum>
  <w:abstractNum w:abstractNumId="119">
    <w:nsid w:val="17A1B582"/>
    <w:multiLevelType w:val="hybridMultilevel"/>
    <w:lvl w:ilvl="0">
      <w:lvlJc w:val="left"/>
      <w:lvlText w:val="(%1)"/>
      <w:numFmt w:val="decimal"/>
      <w:start w:val="1"/>
    </w:lvl>
  </w:abstractNum>
  <w:abstractNum w:abstractNumId="120">
    <w:nsid w:val="4DF72E4E"/>
    <w:multiLevelType w:val="hybridMultilevel"/>
    <w:lvl w:ilvl="0">
      <w:lvlJc w:val="left"/>
      <w:lvlText w:val="(%1)"/>
      <w:numFmt w:val="decimal"/>
      <w:start w:val="1"/>
    </w:lvl>
  </w:abstractNum>
  <w:abstractNum w:abstractNumId="121">
    <w:nsid w:val="5046B5A9"/>
    <w:multiLevelType w:val="hybridMultilevel"/>
    <w:lvl w:ilvl="0">
      <w:lvlJc w:val="left"/>
      <w:lvlText w:val="•"/>
      <w:numFmt w:val="bullet"/>
      <w:start w:val="1"/>
    </w:lvl>
  </w:abstractNum>
  <w:abstractNum w:abstractNumId="122">
    <w:nsid w:val="5D888A08"/>
    <w:multiLevelType w:val="hybridMultilevel"/>
    <w:lvl w:ilvl="0">
      <w:lvlJc w:val="left"/>
      <w:lvlText w:val="%1"/>
      <w:numFmt w:val="lowerLetter"/>
      <w:start w:val="1"/>
    </w:lvl>
    <w:lvl w:ilvl="1">
      <w:lvlJc w:val="left"/>
      <w:lvlText w:val="(%2)"/>
      <w:numFmt w:val="lowerLetter"/>
      <w:start w:val="1"/>
    </w:lvl>
  </w:abstractNum>
  <w:abstractNum w:abstractNumId="123">
    <w:nsid w:val="2A082C70"/>
    <w:multiLevelType w:val="hybridMultilevel"/>
    <w:lvl w:ilvl="0">
      <w:lvlJc w:val="left"/>
      <w:lvlText w:val="(%1)"/>
      <w:numFmt w:val="lowerLetter"/>
      <w:start w:val="9"/>
    </w:lvl>
    <w:lvl w:ilvl="1">
      <w:lvlJc w:val="left"/>
      <w:lvlText w:val="(%2)"/>
      <w:numFmt w:val="lowerLetter"/>
      <w:start w:val="2"/>
    </w:lvl>
  </w:abstractNum>
  <w:abstractNum w:abstractNumId="124">
    <w:nsid w:val="5EC6AFD4"/>
    <w:multiLevelType w:val="hybridMultilevel"/>
    <w:lvl w:ilvl="0">
      <w:lvlJc w:val="left"/>
      <w:lvlText w:val="(%1)"/>
      <w:numFmt w:val="lowerLetter"/>
      <w:start w:val="3"/>
    </w:lvl>
  </w:abstractNum>
  <w:abstractNum w:abstractNumId="125">
    <w:nsid w:val="19E21BB2"/>
    <w:multiLevelType w:val="hybridMultilevel"/>
    <w:lvl w:ilvl="0">
      <w:lvlJc w:val="left"/>
      <w:lvlText w:val="(%1)"/>
      <w:numFmt w:val="lowerLetter"/>
      <w:start w:val="1"/>
    </w:lvl>
  </w:abstractNum>
  <w:abstractNum w:abstractNumId="126">
    <w:nsid w:val="75E0858A"/>
    <w:multiLevelType w:val="hybridMultilevel"/>
    <w:lvl w:ilvl="0">
      <w:lvlJc w:val="left"/>
      <w:lvlText w:val="(%1)"/>
      <w:numFmt w:val="lowerLetter"/>
      <w:start w:val="1"/>
    </w:lvl>
  </w:abstractNum>
  <w:abstractNum w:abstractNumId="127">
    <w:nsid w:val="57A61A29"/>
    <w:multiLevelType w:val="hybridMultilevel"/>
    <w:lvl w:ilvl="0">
      <w:lvlJc w:val="left"/>
      <w:lvlText w:val="(%1)"/>
      <w:numFmt w:val="lowerLetter"/>
      <w:start w:val="11"/>
    </w:lvl>
  </w:abstractNum>
  <w:abstractNum w:abstractNumId="128">
    <w:nsid w:val="5399C654"/>
    <w:multiLevelType w:val="hybridMultilevel"/>
    <w:lvl w:ilvl="0">
      <w:lvlJc w:val="left"/>
      <w:lvlText w:val="(%1)"/>
      <w:numFmt w:val="lowerRoman"/>
      <w:start w:val="5"/>
    </w:lvl>
  </w:abstractNum>
  <w:abstractNum w:abstractNumId="129">
    <w:nsid w:val="20EE1348"/>
    <w:multiLevelType w:val="hybridMultilevel"/>
    <w:lvl w:ilvl="0">
      <w:lvlJc w:val="left"/>
      <w:lvlText w:val="(%1)"/>
      <w:numFmt w:val="lowerLetter"/>
      <w:start w:val="2"/>
    </w:lvl>
  </w:abstractNum>
  <w:abstractNum w:abstractNumId="130">
    <w:nsid w:val="4427069A"/>
    <w:multiLevelType w:val="hybridMultilevel"/>
    <w:lvl w:ilvl="0">
      <w:lvlJc w:val="left"/>
      <w:lvlText w:val="(%1)"/>
      <w:numFmt w:val="lowerLetter"/>
      <w:start w:val="1"/>
    </w:lvl>
  </w:abstractNum>
  <w:abstractNum w:abstractNumId="131">
    <w:nsid w:val="B37E80A"/>
    <w:multiLevelType w:val="hybridMultilevel"/>
    <w:lvl w:ilvl="0">
      <w:lvlJc w:val="left"/>
      <w:lvlText w:val="(%1)"/>
      <w:numFmt w:val="lowerLetter"/>
      <w:start w:val="2"/>
    </w:lvl>
  </w:abstractNum>
  <w:abstractNum w:abstractNumId="132">
    <w:nsid w:val="2157F6BC"/>
    <w:multiLevelType w:val="hybridMultilevel"/>
    <w:lvl w:ilvl="0">
      <w:lvlJc w:val="left"/>
      <w:lvlText w:val="(%1)"/>
      <w:numFmt w:val="lowerLetter"/>
      <w:start w:val="1"/>
    </w:lvl>
  </w:abstractNum>
  <w:abstractNum w:abstractNumId="133">
    <w:nsid w:val="704E1DD5"/>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2020-05-13T15:19:29Z</dcterms:created>
  <dcterms:modified xsi:type="dcterms:W3CDTF">2020-05-13T15:19:29Z</dcterms:modified>
</cp:coreProperties>
</file>